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7B4563" w14:textId="71E67BFD" w:rsidR="00653571" w:rsidRPr="008C5F1C" w:rsidRDefault="00653571" w:rsidP="00653571">
      <w:pPr>
        <w:rPr>
          <w:rFonts w:ascii="Times New Roman" w:hAnsi="Times New Roman" w:cs="Times New Roman"/>
          <w:i/>
          <w:noProof/>
          <w:sz w:val="24"/>
          <w:szCs w:val="24"/>
          <w:u w:val="single"/>
        </w:rPr>
      </w:pPr>
      <w:r w:rsidRPr="008C5F1C">
        <w:rPr>
          <w:rFonts w:ascii="Times New Roman" w:hAnsi="Times New Roman" w:cs="Times New Roman"/>
          <w:i/>
          <w:noProof/>
          <w:sz w:val="24"/>
          <w:szCs w:val="24"/>
          <w:u w:val="single"/>
        </w:rPr>
        <w:t>ANNEX V</w:t>
      </w:r>
    </w:p>
    <w:p w14:paraId="0C21D989" w14:textId="77777777" w:rsidR="00653571" w:rsidRPr="008C5F1C" w:rsidRDefault="00653571" w:rsidP="00653571">
      <w:pPr>
        <w:spacing w:before="120" w:after="120" w:line="240" w:lineRule="auto"/>
        <w:ind w:left="720"/>
        <w:jc w:val="both"/>
        <w:rPr>
          <w:rFonts w:ascii="Times New Roman" w:eastAsia="Calibri" w:hAnsi="Times New Roman" w:cs="Times New Roman"/>
          <w:noProof/>
          <w:sz w:val="24"/>
          <w:szCs w:val="24"/>
          <w:lang w:eastAsia="en-GB"/>
        </w:rPr>
      </w:pPr>
      <w:r w:rsidRPr="008C5F1C">
        <w:rPr>
          <w:rFonts w:ascii="Times New Roman" w:eastAsia="Calibri" w:hAnsi="Times New Roman" w:cs="Times New Roman"/>
          <w:b/>
          <w:noProof/>
          <w:sz w:val="24"/>
          <w:szCs w:val="24"/>
          <w:lang w:eastAsia="en-GB"/>
        </w:rPr>
        <w:t>Template for programmes supported from the ERDF (Investment for Jobs and growth goal), ESF+, the JTF, the Cohesion Fund and the EMFF – Article 16(3)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5"/>
        <w:gridCol w:w="5770"/>
      </w:tblGrid>
      <w:tr w:rsidR="00653571" w:rsidRPr="008C5F1C" w14:paraId="43A05289" w14:textId="77777777" w:rsidTr="0000023E">
        <w:trPr>
          <w:trHeight w:val="222"/>
          <w:jc w:val="center"/>
        </w:trPr>
        <w:tc>
          <w:tcPr>
            <w:tcW w:w="3315" w:type="dxa"/>
            <w:shd w:val="clear" w:color="auto" w:fill="auto"/>
          </w:tcPr>
          <w:p w14:paraId="09A305D5" w14:textId="77777777" w:rsidR="00653571" w:rsidRPr="008C5F1C" w:rsidRDefault="00653571" w:rsidP="00534127">
            <w:pPr>
              <w:spacing w:after="0"/>
              <w:rPr>
                <w:rFonts w:ascii="Times New Roman" w:hAnsi="Times New Roman" w:cs="Times New Roman"/>
                <w:noProof/>
                <w:sz w:val="24"/>
                <w:szCs w:val="24"/>
              </w:rPr>
            </w:pPr>
            <w:r w:rsidRPr="008C5F1C">
              <w:rPr>
                <w:rFonts w:ascii="Times New Roman" w:hAnsi="Times New Roman" w:cs="Times New Roman"/>
                <w:noProof/>
                <w:sz w:val="24"/>
                <w:szCs w:val="24"/>
              </w:rPr>
              <w:t>CCI</w:t>
            </w:r>
          </w:p>
        </w:tc>
        <w:tc>
          <w:tcPr>
            <w:tcW w:w="5770" w:type="dxa"/>
            <w:shd w:val="clear" w:color="auto" w:fill="auto"/>
          </w:tcPr>
          <w:p w14:paraId="4E238489" w14:textId="77777777" w:rsidR="00653571" w:rsidRPr="008C5F1C" w:rsidRDefault="00653571" w:rsidP="00534127">
            <w:pPr>
              <w:spacing w:after="0"/>
              <w:rPr>
                <w:rFonts w:ascii="Times New Roman" w:hAnsi="Times New Roman" w:cs="Times New Roman"/>
                <w:noProof/>
                <w:sz w:val="24"/>
                <w:szCs w:val="24"/>
              </w:rPr>
            </w:pPr>
          </w:p>
        </w:tc>
      </w:tr>
      <w:tr w:rsidR="00653571" w:rsidRPr="008C5F1C" w14:paraId="438BEF55" w14:textId="77777777" w:rsidTr="0000023E">
        <w:trPr>
          <w:trHeight w:val="269"/>
          <w:jc w:val="center"/>
        </w:trPr>
        <w:tc>
          <w:tcPr>
            <w:tcW w:w="3315" w:type="dxa"/>
            <w:shd w:val="clear" w:color="auto" w:fill="auto"/>
          </w:tcPr>
          <w:p w14:paraId="788B38A5" w14:textId="77777777" w:rsidR="00653571" w:rsidRPr="008C5F1C" w:rsidRDefault="00653571" w:rsidP="00534127">
            <w:pPr>
              <w:spacing w:after="0"/>
              <w:rPr>
                <w:rFonts w:ascii="Times New Roman" w:hAnsi="Times New Roman" w:cs="Times New Roman"/>
                <w:noProof/>
                <w:sz w:val="24"/>
                <w:szCs w:val="24"/>
              </w:rPr>
            </w:pPr>
            <w:r w:rsidRPr="008C5F1C">
              <w:rPr>
                <w:rFonts w:ascii="Times New Roman" w:hAnsi="Times New Roman" w:cs="Times New Roman"/>
                <w:noProof/>
                <w:sz w:val="24"/>
                <w:szCs w:val="24"/>
              </w:rPr>
              <w:t>Title in EN</w:t>
            </w:r>
          </w:p>
        </w:tc>
        <w:tc>
          <w:tcPr>
            <w:tcW w:w="5770" w:type="dxa"/>
            <w:shd w:val="clear" w:color="auto" w:fill="auto"/>
          </w:tcPr>
          <w:p w14:paraId="1008FAD8" w14:textId="77777777" w:rsidR="00653571" w:rsidRPr="008C5F1C" w:rsidRDefault="00653571" w:rsidP="00534127">
            <w:pPr>
              <w:spacing w:after="0"/>
              <w:rPr>
                <w:rFonts w:ascii="Times New Roman" w:hAnsi="Times New Roman" w:cs="Times New Roman"/>
                <w:noProof/>
                <w:sz w:val="24"/>
                <w:szCs w:val="24"/>
              </w:rPr>
            </w:pPr>
            <w:r w:rsidRPr="008C5F1C">
              <w:rPr>
                <w:rFonts w:ascii="Times New Roman" w:hAnsi="Times New Roman" w:cs="Times New Roman"/>
                <w:noProof/>
                <w:sz w:val="24"/>
                <w:szCs w:val="24"/>
              </w:rPr>
              <w:t>Regional Operational Programme North-West Region 2021-2027</w:t>
            </w:r>
          </w:p>
        </w:tc>
      </w:tr>
      <w:tr w:rsidR="00653571" w:rsidRPr="008C5F1C" w14:paraId="1FC35E26" w14:textId="77777777" w:rsidTr="0000023E">
        <w:trPr>
          <w:trHeight w:val="138"/>
          <w:jc w:val="center"/>
        </w:trPr>
        <w:tc>
          <w:tcPr>
            <w:tcW w:w="3315" w:type="dxa"/>
            <w:shd w:val="clear" w:color="auto" w:fill="auto"/>
          </w:tcPr>
          <w:p w14:paraId="6A6978ED" w14:textId="77777777" w:rsidR="00653571" w:rsidRPr="008C5F1C" w:rsidRDefault="00653571" w:rsidP="00534127">
            <w:pPr>
              <w:spacing w:after="0"/>
              <w:rPr>
                <w:rFonts w:ascii="Times New Roman" w:hAnsi="Times New Roman" w:cs="Times New Roman"/>
                <w:noProof/>
                <w:sz w:val="24"/>
                <w:szCs w:val="24"/>
              </w:rPr>
            </w:pPr>
            <w:r w:rsidRPr="008C5F1C">
              <w:rPr>
                <w:rFonts w:ascii="Times New Roman" w:hAnsi="Times New Roman" w:cs="Times New Roman"/>
                <w:noProof/>
                <w:sz w:val="24"/>
                <w:szCs w:val="24"/>
              </w:rPr>
              <w:t>Title in national language(s)</w:t>
            </w:r>
          </w:p>
        </w:tc>
        <w:tc>
          <w:tcPr>
            <w:tcW w:w="5770" w:type="dxa"/>
            <w:shd w:val="clear" w:color="auto" w:fill="auto"/>
          </w:tcPr>
          <w:p w14:paraId="6B510F43" w14:textId="77777777" w:rsidR="00653571" w:rsidRPr="008C5F1C" w:rsidRDefault="00653571" w:rsidP="00534127">
            <w:pPr>
              <w:spacing w:after="0"/>
              <w:rPr>
                <w:rFonts w:ascii="Times New Roman" w:hAnsi="Times New Roman" w:cs="Times New Roman"/>
                <w:noProof/>
                <w:sz w:val="24"/>
                <w:szCs w:val="24"/>
              </w:rPr>
            </w:pPr>
            <w:r w:rsidRPr="008C5F1C">
              <w:rPr>
                <w:rFonts w:ascii="Times New Roman" w:hAnsi="Times New Roman" w:cs="Times New Roman"/>
                <w:noProof/>
                <w:sz w:val="24"/>
                <w:szCs w:val="24"/>
              </w:rPr>
              <w:t>Programul Opera</w:t>
            </w:r>
            <w:r w:rsidR="00E22FF2" w:rsidRPr="008C5F1C">
              <w:rPr>
                <w:rFonts w:ascii="Times New Roman" w:hAnsi="Times New Roman" w:cs="Times New Roman"/>
                <w:noProof/>
                <w:sz w:val="24"/>
                <w:szCs w:val="24"/>
              </w:rPr>
              <w:t>ț</w:t>
            </w:r>
            <w:r w:rsidRPr="008C5F1C">
              <w:rPr>
                <w:rFonts w:ascii="Times New Roman" w:hAnsi="Times New Roman" w:cs="Times New Roman"/>
                <w:noProof/>
                <w:sz w:val="24"/>
                <w:szCs w:val="24"/>
              </w:rPr>
              <w:t>ional Regional Nord-Vest 2021-2027</w:t>
            </w:r>
          </w:p>
        </w:tc>
      </w:tr>
      <w:tr w:rsidR="00653571" w:rsidRPr="008C5F1C" w14:paraId="46BD025B" w14:textId="77777777" w:rsidTr="0000023E">
        <w:trPr>
          <w:trHeight w:val="138"/>
          <w:jc w:val="center"/>
        </w:trPr>
        <w:tc>
          <w:tcPr>
            <w:tcW w:w="3315" w:type="dxa"/>
            <w:shd w:val="clear" w:color="auto" w:fill="auto"/>
          </w:tcPr>
          <w:p w14:paraId="24FFA55C" w14:textId="77777777" w:rsidR="00653571" w:rsidRPr="008C5F1C" w:rsidRDefault="00653571" w:rsidP="00534127">
            <w:pPr>
              <w:spacing w:after="0"/>
              <w:rPr>
                <w:rFonts w:ascii="Times New Roman" w:hAnsi="Times New Roman" w:cs="Times New Roman"/>
                <w:noProof/>
                <w:sz w:val="24"/>
                <w:szCs w:val="24"/>
              </w:rPr>
            </w:pPr>
            <w:r w:rsidRPr="008C5F1C">
              <w:rPr>
                <w:rFonts w:ascii="Times New Roman" w:hAnsi="Times New Roman" w:cs="Times New Roman"/>
                <w:noProof/>
                <w:sz w:val="24"/>
                <w:szCs w:val="24"/>
              </w:rPr>
              <w:t>Version</w:t>
            </w:r>
          </w:p>
        </w:tc>
        <w:tc>
          <w:tcPr>
            <w:tcW w:w="5770" w:type="dxa"/>
            <w:shd w:val="clear" w:color="auto" w:fill="auto"/>
          </w:tcPr>
          <w:p w14:paraId="7E776DD2" w14:textId="77777777" w:rsidR="00653571" w:rsidRPr="008C5F1C" w:rsidRDefault="00653571" w:rsidP="00534127">
            <w:pPr>
              <w:spacing w:after="0"/>
              <w:rPr>
                <w:rFonts w:ascii="Times New Roman" w:hAnsi="Times New Roman" w:cs="Times New Roman"/>
                <w:noProof/>
                <w:sz w:val="24"/>
                <w:szCs w:val="24"/>
              </w:rPr>
            </w:pPr>
          </w:p>
        </w:tc>
      </w:tr>
      <w:tr w:rsidR="00653571" w:rsidRPr="008C5F1C" w14:paraId="147223FF" w14:textId="77777777" w:rsidTr="0000023E">
        <w:trPr>
          <w:jc w:val="center"/>
        </w:trPr>
        <w:tc>
          <w:tcPr>
            <w:tcW w:w="3315" w:type="dxa"/>
            <w:shd w:val="clear" w:color="auto" w:fill="auto"/>
          </w:tcPr>
          <w:p w14:paraId="5C103AA5" w14:textId="77777777" w:rsidR="00653571" w:rsidRPr="008C5F1C" w:rsidRDefault="00653571" w:rsidP="00534127">
            <w:pPr>
              <w:spacing w:after="0"/>
              <w:rPr>
                <w:rFonts w:ascii="Times New Roman" w:hAnsi="Times New Roman" w:cs="Times New Roman"/>
                <w:noProof/>
                <w:sz w:val="24"/>
                <w:szCs w:val="24"/>
              </w:rPr>
            </w:pPr>
            <w:r w:rsidRPr="008C5F1C">
              <w:rPr>
                <w:rFonts w:ascii="Times New Roman" w:hAnsi="Times New Roman" w:cs="Times New Roman"/>
                <w:noProof/>
                <w:sz w:val="24"/>
                <w:szCs w:val="24"/>
              </w:rPr>
              <w:t>First year</w:t>
            </w:r>
          </w:p>
        </w:tc>
        <w:tc>
          <w:tcPr>
            <w:tcW w:w="5770" w:type="dxa"/>
            <w:shd w:val="clear" w:color="auto" w:fill="auto"/>
          </w:tcPr>
          <w:p w14:paraId="75A6A0C2" w14:textId="77777777" w:rsidR="00653571" w:rsidRPr="008C5F1C" w:rsidRDefault="00653571" w:rsidP="00534127">
            <w:pPr>
              <w:spacing w:after="0"/>
              <w:rPr>
                <w:rFonts w:ascii="Times New Roman" w:hAnsi="Times New Roman" w:cs="Times New Roman"/>
                <w:noProof/>
                <w:sz w:val="24"/>
                <w:szCs w:val="24"/>
              </w:rPr>
            </w:pPr>
            <w:r w:rsidRPr="008C5F1C">
              <w:rPr>
                <w:rFonts w:ascii="Times New Roman" w:hAnsi="Times New Roman" w:cs="Times New Roman"/>
                <w:noProof/>
                <w:sz w:val="24"/>
                <w:szCs w:val="24"/>
              </w:rPr>
              <w:t>2021</w:t>
            </w:r>
          </w:p>
        </w:tc>
      </w:tr>
      <w:tr w:rsidR="00653571" w:rsidRPr="008C5F1C" w14:paraId="49432B4C" w14:textId="77777777" w:rsidTr="0000023E">
        <w:trPr>
          <w:jc w:val="center"/>
        </w:trPr>
        <w:tc>
          <w:tcPr>
            <w:tcW w:w="3315" w:type="dxa"/>
            <w:shd w:val="clear" w:color="auto" w:fill="auto"/>
          </w:tcPr>
          <w:p w14:paraId="79DBA84D" w14:textId="77777777" w:rsidR="00653571" w:rsidRPr="008C5F1C" w:rsidRDefault="00653571" w:rsidP="00534127">
            <w:pPr>
              <w:spacing w:after="0"/>
              <w:rPr>
                <w:rFonts w:ascii="Times New Roman" w:hAnsi="Times New Roman" w:cs="Times New Roman"/>
                <w:noProof/>
                <w:sz w:val="24"/>
                <w:szCs w:val="24"/>
              </w:rPr>
            </w:pPr>
            <w:r w:rsidRPr="008C5F1C">
              <w:rPr>
                <w:rFonts w:ascii="Times New Roman" w:hAnsi="Times New Roman" w:cs="Times New Roman"/>
                <w:noProof/>
                <w:sz w:val="24"/>
                <w:szCs w:val="24"/>
              </w:rPr>
              <w:t>Last year</w:t>
            </w:r>
          </w:p>
        </w:tc>
        <w:tc>
          <w:tcPr>
            <w:tcW w:w="5770" w:type="dxa"/>
            <w:shd w:val="clear" w:color="auto" w:fill="auto"/>
          </w:tcPr>
          <w:p w14:paraId="7AD49ACA" w14:textId="77777777" w:rsidR="00653571" w:rsidRPr="008C5F1C" w:rsidRDefault="00653571" w:rsidP="00534127">
            <w:pPr>
              <w:spacing w:after="0"/>
              <w:rPr>
                <w:rFonts w:ascii="Times New Roman" w:hAnsi="Times New Roman" w:cs="Times New Roman"/>
                <w:noProof/>
                <w:sz w:val="24"/>
                <w:szCs w:val="24"/>
              </w:rPr>
            </w:pPr>
            <w:r w:rsidRPr="008C5F1C">
              <w:rPr>
                <w:rFonts w:ascii="Times New Roman" w:hAnsi="Times New Roman" w:cs="Times New Roman"/>
                <w:noProof/>
                <w:sz w:val="24"/>
                <w:szCs w:val="24"/>
              </w:rPr>
              <w:t>2029</w:t>
            </w:r>
          </w:p>
        </w:tc>
      </w:tr>
      <w:tr w:rsidR="00653571" w:rsidRPr="008C5F1C" w14:paraId="71EF8A2A" w14:textId="77777777" w:rsidTr="0000023E">
        <w:trPr>
          <w:jc w:val="center"/>
        </w:trPr>
        <w:tc>
          <w:tcPr>
            <w:tcW w:w="3315" w:type="dxa"/>
            <w:shd w:val="clear" w:color="auto" w:fill="auto"/>
          </w:tcPr>
          <w:p w14:paraId="30E0DC73" w14:textId="77777777" w:rsidR="00653571" w:rsidRPr="008C5F1C" w:rsidRDefault="00653571" w:rsidP="00534127">
            <w:pPr>
              <w:spacing w:after="0"/>
              <w:rPr>
                <w:rFonts w:ascii="Times New Roman" w:hAnsi="Times New Roman" w:cs="Times New Roman"/>
                <w:noProof/>
                <w:sz w:val="24"/>
                <w:szCs w:val="24"/>
              </w:rPr>
            </w:pPr>
            <w:r w:rsidRPr="008C5F1C">
              <w:rPr>
                <w:rFonts w:ascii="Times New Roman" w:hAnsi="Times New Roman" w:cs="Times New Roman"/>
                <w:noProof/>
                <w:sz w:val="24"/>
                <w:szCs w:val="24"/>
              </w:rPr>
              <w:t>Eligible from</w:t>
            </w:r>
          </w:p>
        </w:tc>
        <w:tc>
          <w:tcPr>
            <w:tcW w:w="5770" w:type="dxa"/>
            <w:shd w:val="clear" w:color="auto" w:fill="auto"/>
          </w:tcPr>
          <w:p w14:paraId="3D75F973" w14:textId="77777777" w:rsidR="00653571" w:rsidRPr="008C5F1C" w:rsidRDefault="00653571" w:rsidP="00534127">
            <w:pPr>
              <w:spacing w:after="0"/>
              <w:rPr>
                <w:rFonts w:ascii="Times New Roman" w:hAnsi="Times New Roman" w:cs="Times New Roman"/>
                <w:noProof/>
                <w:sz w:val="24"/>
                <w:szCs w:val="24"/>
              </w:rPr>
            </w:pPr>
            <w:r w:rsidRPr="008C5F1C">
              <w:rPr>
                <w:rFonts w:ascii="Times New Roman" w:hAnsi="Times New Roman" w:cs="Times New Roman"/>
                <w:noProof/>
                <w:sz w:val="24"/>
                <w:szCs w:val="24"/>
              </w:rPr>
              <w:t>01.01.2021</w:t>
            </w:r>
          </w:p>
        </w:tc>
      </w:tr>
      <w:tr w:rsidR="00653571" w:rsidRPr="008C5F1C" w14:paraId="48967F78" w14:textId="77777777" w:rsidTr="0000023E">
        <w:trPr>
          <w:jc w:val="center"/>
        </w:trPr>
        <w:tc>
          <w:tcPr>
            <w:tcW w:w="3315" w:type="dxa"/>
            <w:shd w:val="clear" w:color="auto" w:fill="auto"/>
          </w:tcPr>
          <w:p w14:paraId="0D9461DA" w14:textId="77777777" w:rsidR="00653571" w:rsidRPr="008C5F1C" w:rsidRDefault="00653571" w:rsidP="00534127">
            <w:pPr>
              <w:spacing w:after="0"/>
              <w:rPr>
                <w:rFonts w:ascii="Times New Roman" w:hAnsi="Times New Roman" w:cs="Times New Roman"/>
                <w:noProof/>
                <w:sz w:val="24"/>
                <w:szCs w:val="24"/>
              </w:rPr>
            </w:pPr>
            <w:r w:rsidRPr="008C5F1C">
              <w:rPr>
                <w:rFonts w:ascii="Times New Roman" w:hAnsi="Times New Roman" w:cs="Times New Roman"/>
                <w:noProof/>
                <w:sz w:val="24"/>
                <w:szCs w:val="24"/>
              </w:rPr>
              <w:t>Eligible until</w:t>
            </w:r>
          </w:p>
        </w:tc>
        <w:tc>
          <w:tcPr>
            <w:tcW w:w="5770" w:type="dxa"/>
            <w:shd w:val="clear" w:color="auto" w:fill="auto"/>
          </w:tcPr>
          <w:p w14:paraId="107A8D96" w14:textId="77777777" w:rsidR="00653571" w:rsidRPr="008C5F1C" w:rsidRDefault="00653571" w:rsidP="00534127">
            <w:pPr>
              <w:spacing w:after="0"/>
              <w:rPr>
                <w:rFonts w:ascii="Times New Roman" w:hAnsi="Times New Roman" w:cs="Times New Roman"/>
                <w:noProof/>
                <w:sz w:val="24"/>
                <w:szCs w:val="24"/>
              </w:rPr>
            </w:pPr>
            <w:r w:rsidRPr="008C5F1C">
              <w:rPr>
                <w:rFonts w:ascii="Times New Roman" w:hAnsi="Times New Roman" w:cs="Times New Roman"/>
                <w:noProof/>
                <w:sz w:val="24"/>
                <w:szCs w:val="24"/>
              </w:rPr>
              <w:t>31.12.2029</w:t>
            </w:r>
          </w:p>
        </w:tc>
      </w:tr>
      <w:tr w:rsidR="00653571" w:rsidRPr="008C5F1C" w14:paraId="767170BF" w14:textId="77777777" w:rsidTr="0000023E">
        <w:trPr>
          <w:jc w:val="center"/>
        </w:trPr>
        <w:tc>
          <w:tcPr>
            <w:tcW w:w="3315" w:type="dxa"/>
            <w:shd w:val="clear" w:color="auto" w:fill="auto"/>
          </w:tcPr>
          <w:p w14:paraId="50A4FF7A" w14:textId="77777777" w:rsidR="00653571" w:rsidRPr="008C5F1C" w:rsidRDefault="00653571" w:rsidP="00534127">
            <w:pPr>
              <w:spacing w:after="0"/>
              <w:rPr>
                <w:rFonts w:ascii="Times New Roman" w:hAnsi="Times New Roman" w:cs="Times New Roman"/>
                <w:noProof/>
                <w:sz w:val="24"/>
                <w:szCs w:val="24"/>
              </w:rPr>
            </w:pPr>
            <w:r w:rsidRPr="008C5F1C">
              <w:rPr>
                <w:rFonts w:ascii="Times New Roman" w:hAnsi="Times New Roman" w:cs="Times New Roman"/>
                <w:noProof/>
                <w:sz w:val="24"/>
                <w:szCs w:val="24"/>
              </w:rPr>
              <w:t>Commission decision number</w:t>
            </w:r>
          </w:p>
        </w:tc>
        <w:tc>
          <w:tcPr>
            <w:tcW w:w="5770" w:type="dxa"/>
            <w:shd w:val="clear" w:color="auto" w:fill="auto"/>
          </w:tcPr>
          <w:p w14:paraId="64E9BFD6" w14:textId="77777777" w:rsidR="00653571" w:rsidRPr="008C5F1C" w:rsidRDefault="00653571" w:rsidP="00534127">
            <w:pPr>
              <w:spacing w:after="0"/>
              <w:rPr>
                <w:rFonts w:ascii="Times New Roman" w:hAnsi="Times New Roman" w:cs="Times New Roman"/>
                <w:noProof/>
                <w:sz w:val="24"/>
                <w:szCs w:val="24"/>
              </w:rPr>
            </w:pPr>
          </w:p>
        </w:tc>
      </w:tr>
      <w:tr w:rsidR="00653571" w:rsidRPr="008C5F1C" w14:paraId="4C8BC8CA" w14:textId="77777777" w:rsidTr="0000023E">
        <w:trPr>
          <w:jc w:val="center"/>
        </w:trPr>
        <w:tc>
          <w:tcPr>
            <w:tcW w:w="3315" w:type="dxa"/>
            <w:shd w:val="clear" w:color="auto" w:fill="auto"/>
          </w:tcPr>
          <w:p w14:paraId="78FF40D3" w14:textId="77777777" w:rsidR="00653571" w:rsidRPr="008C5F1C" w:rsidRDefault="00653571" w:rsidP="00534127">
            <w:pPr>
              <w:spacing w:after="0"/>
              <w:rPr>
                <w:rFonts w:ascii="Times New Roman" w:hAnsi="Times New Roman" w:cs="Times New Roman"/>
                <w:noProof/>
                <w:sz w:val="24"/>
                <w:szCs w:val="24"/>
              </w:rPr>
            </w:pPr>
            <w:r w:rsidRPr="008C5F1C">
              <w:rPr>
                <w:rFonts w:ascii="Times New Roman" w:hAnsi="Times New Roman" w:cs="Times New Roman"/>
                <w:noProof/>
                <w:sz w:val="24"/>
                <w:szCs w:val="24"/>
              </w:rPr>
              <w:t>Commission decision date</w:t>
            </w:r>
          </w:p>
        </w:tc>
        <w:tc>
          <w:tcPr>
            <w:tcW w:w="5770" w:type="dxa"/>
            <w:shd w:val="clear" w:color="auto" w:fill="auto"/>
          </w:tcPr>
          <w:p w14:paraId="7366DF27" w14:textId="77777777" w:rsidR="00653571" w:rsidRPr="008C5F1C" w:rsidRDefault="00653571" w:rsidP="00534127">
            <w:pPr>
              <w:spacing w:after="0"/>
              <w:rPr>
                <w:rFonts w:ascii="Times New Roman" w:hAnsi="Times New Roman" w:cs="Times New Roman"/>
                <w:noProof/>
                <w:sz w:val="24"/>
                <w:szCs w:val="24"/>
              </w:rPr>
            </w:pPr>
          </w:p>
        </w:tc>
      </w:tr>
      <w:tr w:rsidR="00653571" w:rsidRPr="008C5F1C" w14:paraId="17F07410" w14:textId="77777777" w:rsidTr="0000023E">
        <w:trPr>
          <w:trHeight w:val="163"/>
          <w:jc w:val="center"/>
        </w:trPr>
        <w:tc>
          <w:tcPr>
            <w:tcW w:w="3315" w:type="dxa"/>
            <w:shd w:val="clear" w:color="auto" w:fill="auto"/>
          </w:tcPr>
          <w:p w14:paraId="29A2BD55" w14:textId="77777777" w:rsidR="00653571" w:rsidRPr="008C5F1C" w:rsidRDefault="00653571" w:rsidP="00534127">
            <w:pPr>
              <w:spacing w:after="0"/>
              <w:rPr>
                <w:rFonts w:ascii="Times New Roman" w:hAnsi="Times New Roman" w:cs="Times New Roman"/>
                <w:noProof/>
                <w:sz w:val="24"/>
                <w:szCs w:val="24"/>
              </w:rPr>
            </w:pPr>
            <w:r w:rsidRPr="008C5F1C">
              <w:rPr>
                <w:rFonts w:ascii="Times New Roman" w:hAnsi="Times New Roman" w:cs="Times New Roman"/>
                <w:noProof/>
                <w:sz w:val="24"/>
                <w:szCs w:val="24"/>
              </w:rPr>
              <w:t>Member State amending decision number</w:t>
            </w:r>
          </w:p>
        </w:tc>
        <w:tc>
          <w:tcPr>
            <w:tcW w:w="5770" w:type="dxa"/>
            <w:shd w:val="clear" w:color="auto" w:fill="auto"/>
          </w:tcPr>
          <w:p w14:paraId="63463873" w14:textId="77777777" w:rsidR="00653571" w:rsidRPr="008C5F1C" w:rsidRDefault="00653571" w:rsidP="00534127">
            <w:pPr>
              <w:spacing w:after="0"/>
              <w:rPr>
                <w:rFonts w:ascii="Times New Roman" w:hAnsi="Times New Roman" w:cs="Times New Roman"/>
                <w:noProof/>
                <w:sz w:val="24"/>
                <w:szCs w:val="24"/>
              </w:rPr>
            </w:pPr>
          </w:p>
        </w:tc>
      </w:tr>
      <w:tr w:rsidR="00653571" w:rsidRPr="008C5F1C" w14:paraId="005FC134" w14:textId="77777777" w:rsidTr="0000023E">
        <w:trPr>
          <w:trHeight w:val="163"/>
          <w:jc w:val="center"/>
        </w:trPr>
        <w:tc>
          <w:tcPr>
            <w:tcW w:w="3315" w:type="dxa"/>
            <w:shd w:val="clear" w:color="auto" w:fill="auto"/>
          </w:tcPr>
          <w:p w14:paraId="7EA14CF2" w14:textId="77777777" w:rsidR="00653571" w:rsidRPr="008C5F1C" w:rsidRDefault="00653571" w:rsidP="00534127">
            <w:pPr>
              <w:spacing w:after="0"/>
              <w:rPr>
                <w:rFonts w:ascii="Times New Roman" w:hAnsi="Times New Roman" w:cs="Times New Roman"/>
                <w:noProof/>
                <w:sz w:val="24"/>
                <w:szCs w:val="24"/>
              </w:rPr>
            </w:pPr>
            <w:r w:rsidRPr="008C5F1C">
              <w:rPr>
                <w:rFonts w:ascii="Times New Roman" w:hAnsi="Times New Roman" w:cs="Times New Roman"/>
                <w:noProof/>
                <w:sz w:val="24"/>
                <w:szCs w:val="24"/>
              </w:rPr>
              <w:t>Member State amending decision entry into force date</w:t>
            </w:r>
          </w:p>
        </w:tc>
        <w:tc>
          <w:tcPr>
            <w:tcW w:w="5770" w:type="dxa"/>
            <w:shd w:val="clear" w:color="auto" w:fill="auto"/>
          </w:tcPr>
          <w:p w14:paraId="0D11D687" w14:textId="77777777" w:rsidR="00653571" w:rsidRPr="008C5F1C" w:rsidRDefault="00653571" w:rsidP="00534127">
            <w:pPr>
              <w:spacing w:after="0"/>
              <w:rPr>
                <w:rFonts w:ascii="Times New Roman" w:hAnsi="Times New Roman" w:cs="Times New Roman"/>
                <w:noProof/>
                <w:sz w:val="24"/>
                <w:szCs w:val="24"/>
              </w:rPr>
            </w:pPr>
          </w:p>
        </w:tc>
      </w:tr>
      <w:tr w:rsidR="00653571" w:rsidRPr="008C5F1C" w14:paraId="12B908A0" w14:textId="77777777" w:rsidTr="0000023E">
        <w:trPr>
          <w:trHeight w:val="163"/>
          <w:jc w:val="center"/>
        </w:trPr>
        <w:tc>
          <w:tcPr>
            <w:tcW w:w="3315" w:type="dxa"/>
            <w:shd w:val="clear" w:color="auto" w:fill="auto"/>
          </w:tcPr>
          <w:p w14:paraId="7483984B" w14:textId="77777777" w:rsidR="00653571" w:rsidRPr="008C5F1C" w:rsidRDefault="00653571" w:rsidP="00534127">
            <w:pPr>
              <w:spacing w:after="0"/>
              <w:rPr>
                <w:rFonts w:ascii="Times New Roman" w:hAnsi="Times New Roman" w:cs="Times New Roman"/>
                <w:noProof/>
                <w:sz w:val="24"/>
                <w:szCs w:val="24"/>
              </w:rPr>
            </w:pPr>
            <w:r w:rsidRPr="008C5F1C">
              <w:rPr>
                <w:rFonts w:ascii="Times New Roman" w:hAnsi="Times New Roman" w:cs="Times New Roman"/>
                <w:noProof/>
                <w:sz w:val="24"/>
                <w:szCs w:val="24"/>
              </w:rPr>
              <w:t>Non substantial transfer (art. 19.5)</w:t>
            </w:r>
          </w:p>
        </w:tc>
        <w:tc>
          <w:tcPr>
            <w:tcW w:w="5770" w:type="dxa"/>
            <w:shd w:val="clear" w:color="auto" w:fill="auto"/>
          </w:tcPr>
          <w:p w14:paraId="77765C1F" w14:textId="77777777" w:rsidR="00653571" w:rsidRPr="008C5F1C" w:rsidRDefault="00653571" w:rsidP="00534127">
            <w:pPr>
              <w:spacing w:after="0"/>
              <w:rPr>
                <w:rFonts w:ascii="Times New Roman" w:hAnsi="Times New Roman" w:cs="Times New Roman"/>
                <w:noProof/>
                <w:sz w:val="24"/>
                <w:szCs w:val="24"/>
              </w:rPr>
            </w:pPr>
            <w:r w:rsidRPr="008C5F1C">
              <w:rPr>
                <w:rFonts w:ascii="Times New Roman" w:hAnsi="Times New Roman" w:cs="Times New Roman"/>
                <w:noProof/>
                <w:sz w:val="24"/>
                <w:szCs w:val="24"/>
              </w:rPr>
              <w:t>No</w:t>
            </w:r>
          </w:p>
        </w:tc>
      </w:tr>
      <w:tr w:rsidR="00653571" w:rsidRPr="008C5F1C" w14:paraId="2B9DFCE4" w14:textId="77777777" w:rsidTr="0000023E">
        <w:trPr>
          <w:trHeight w:val="163"/>
          <w:jc w:val="center"/>
        </w:trPr>
        <w:tc>
          <w:tcPr>
            <w:tcW w:w="3315" w:type="dxa"/>
            <w:shd w:val="clear" w:color="auto" w:fill="auto"/>
          </w:tcPr>
          <w:p w14:paraId="5F8CA33C" w14:textId="77777777" w:rsidR="00653571" w:rsidRPr="008C5F1C" w:rsidRDefault="00653571" w:rsidP="00534127">
            <w:pPr>
              <w:spacing w:after="0"/>
              <w:rPr>
                <w:rFonts w:ascii="Times New Roman" w:hAnsi="Times New Roman" w:cs="Times New Roman"/>
                <w:noProof/>
                <w:sz w:val="24"/>
                <w:szCs w:val="24"/>
              </w:rPr>
            </w:pPr>
            <w:r w:rsidRPr="008C5F1C">
              <w:rPr>
                <w:rFonts w:ascii="Times New Roman" w:hAnsi="Times New Roman" w:cs="Times New Roman"/>
                <w:noProof/>
                <w:sz w:val="24"/>
                <w:szCs w:val="24"/>
              </w:rPr>
              <w:t>NUTS regions covered by the programme (not applicable to the EMFF)</w:t>
            </w:r>
          </w:p>
        </w:tc>
        <w:tc>
          <w:tcPr>
            <w:tcW w:w="5770" w:type="dxa"/>
            <w:shd w:val="clear" w:color="auto" w:fill="auto"/>
          </w:tcPr>
          <w:p w14:paraId="315F2F15" w14:textId="77777777" w:rsidR="00653571" w:rsidRPr="008C5F1C" w:rsidRDefault="00653571" w:rsidP="00534127">
            <w:pPr>
              <w:spacing w:after="0"/>
              <w:rPr>
                <w:rFonts w:ascii="Times New Roman" w:hAnsi="Times New Roman" w:cs="Times New Roman"/>
                <w:noProof/>
                <w:sz w:val="24"/>
                <w:szCs w:val="24"/>
              </w:rPr>
            </w:pPr>
            <w:r w:rsidRPr="008C5F1C">
              <w:rPr>
                <w:rFonts w:ascii="Times New Roman" w:hAnsi="Times New Roman" w:cs="Times New Roman"/>
                <w:noProof/>
                <w:sz w:val="24"/>
                <w:szCs w:val="24"/>
              </w:rPr>
              <w:t xml:space="preserve">Regiunea </w:t>
            </w:r>
            <w:r w:rsidR="00B67566" w:rsidRPr="008C5F1C">
              <w:rPr>
                <w:rFonts w:ascii="Times New Roman" w:hAnsi="Times New Roman" w:cs="Times New Roman"/>
                <w:noProof/>
                <w:sz w:val="24"/>
                <w:szCs w:val="24"/>
              </w:rPr>
              <w:t xml:space="preserve">de Dezvoltare </w:t>
            </w:r>
            <w:r w:rsidRPr="008C5F1C">
              <w:rPr>
                <w:rFonts w:ascii="Times New Roman" w:hAnsi="Times New Roman" w:cs="Times New Roman"/>
                <w:noProof/>
                <w:sz w:val="24"/>
                <w:szCs w:val="24"/>
              </w:rPr>
              <w:t>Nord-Vest</w:t>
            </w:r>
          </w:p>
        </w:tc>
      </w:tr>
      <w:tr w:rsidR="00653571" w:rsidRPr="008C5F1C" w14:paraId="51BF1D8C" w14:textId="77777777" w:rsidTr="0000023E">
        <w:trPr>
          <w:trHeight w:val="163"/>
          <w:jc w:val="center"/>
        </w:trPr>
        <w:tc>
          <w:tcPr>
            <w:tcW w:w="3315" w:type="dxa"/>
            <w:vMerge w:val="restart"/>
            <w:shd w:val="clear" w:color="auto" w:fill="auto"/>
          </w:tcPr>
          <w:p w14:paraId="66FB7C82" w14:textId="77777777" w:rsidR="00653571" w:rsidRPr="008C5F1C" w:rsidRDefault="00653571" w:rsidP="00534127">
            <w:pPr>
              <w:spacing w:after="0"/>
              <w:rPr>
                <w:rFonts w:ascii="Times New Roman" w:hAnsi="Times New Roman" w:cs="Times New Roman"/>
                <w:noProof/>
                <w:sz w:val="24"/>
                <w:szCs w:val="24"/>
              </w:rPr>
            </w:pPr>
            <w:r w:rsidRPr="008C5F1C">
              <w:rPr>
                <w:rFonts w:ascii="Times New Roman" w:hAnsi="Times New Roman" w:cs="Times New Roman"/>
                <w:noProof/>
                <w:sz w:val="24"/>
                <w:szCs w:val="24"/>
              </w:rPr>
              <w:t>Fund concerned</w:t>
            </w:r>
          </w:p>
        </w:tc>
        <w:tc>
          <w:tcPr>
            <w:tcW w:w="5770" w:type="dxa"/>
            <w:shd w:val="clear" w:color="auto" w:fill="auto"/>
          </w:tcPr>
          <w:p w14:paraId="58E48495" w14:textId="77777777" w:rsidR="00653571" w:rsidRPr="008C5F1C" w:rsidRDefault="00653571" w:rsidP="00534127">
            <w:pPr>
              <w:spacing w:after="0"/>
              <w:rPr>
                <w:rFonts w:ascii="Times New Roman" w:hAnsi="Times New Roman" w:cs="Times New Roman"/>
                <w:noProof/>
                <w:sz w:val="24"/>
                <w:szCs w:val="24"/>
              </w:rPr>
            </w:pPr>
            <w:r w:rsidRPr="008C5F1C">
              <w:rPr>
                <w:rFonts w:ascii="Times New Roman" w:hAnsi="Times New Roman" w:cs="Times New Roman"/>
                <w:noProof/>
                <w:sz w:val="24"/>
                <w:szCs w:val="24"/>
              </w:rPr>
              <w:fldChar w:fldCharType="begin">
                <w:ffData>
                  <w:name w:val="Check1"/>
                  <w:enabled/>
                  <w:calcOnExit w:val="0"/>
                  <w:checkBox>
                    <w:sizeAuto/>
                    <w:default w:val="1"/>
                  </w:checkBox>
                </w:ffData>
              </w:fldChar>
            </w:r>
            <w:bookmarkStart w:id="0" w:name="Check1"/>
            <w:r w:rsidRPr="008C5F1C">
              <w:rPr>
                <w:rFonts w:ascii="Times New Roman" w:hAnsi="Times New Roman" w:cs="Times New Roman"/>
                <w:noProof/>
                <w:sz w:val="24"/>
                <w:szCs w:val="24"/>
              </w:rPr>
              <w:instrText xml:space="preserve"> FORMCHECKBOX </w:instrText>
            </w:r>
            <w:r w:rsidR="00AD12F7">
              <w:rPr>
                <w:rFonts w:ascii="Times New Roman" w:hAnsi="Times New Roman" w:cs="Times New Roman"/>
                <w:noProof/>
                <w:sz w:val="24"/>
                <w:szCs w:val="24"/>
              </w:rPr>
            </w:r>
            <w:r w:rsidR="00AD12F7">
              <w:rPr>
                <w:rFonts w:ascii="Times New Roman" w:hAnsi="Times New Roman" w:cs="Times New Roman"/>
                <w:noProof/>
                <w:sz w:val="24"/>
                <w:szCs w:val="24"/>
              </w:rPr>
              <w:fldChar w:fldCharType="separate"/>
            </w:r>
            <w:r w:rsidRPr="008C5F1C">
              <w:rPr>
                <w:rFonts w:ascii="Times New Roman" w:hAnsi="Times New Roman" w:cs="Times New Roman"/>
                <w:noProof/>
                <w:sz w:val="24"/>
                <w:szCs w:val="24"/>
              </w:rPr>
              <w:fldChar w:fldCharType="end"/>
            </w:r>
            <w:bookmarkEnd w:id="0"/>
            <w:r w:rsidRPr="008C5F1C">
              <w:rPr>
                <w:rFonts w:ascii="Times New Roman" w:hAnsi="Times New Roman" w:cs="Times New Roman"/>
                <w:noProof/>
                <w:sz w:val="24"/>
                <w:szCs w:val="24"/>
              </w:rPr>
              <w:t xml:space="preserve"> ERDF</w:t>
            </w:r>
          </w:p>
        </w:tc>
      </w:tr>
      <w:tr w:rsidR="00653571" w:rsidRPr="008C5F1C" w14:paraId="1E44297C" w14:textId="77777777" w:rsidTr="0000023E">
        <w:trPr>
          <w:trHeight w:val="163"/>
          <w:jc w:val="center"/>
        </w:trPr>
        <w:tc>
          <w:tcPr>
            <w:tcW w:w="3315" w:type="dxa"/>
            <w:vMerge/>
            <w:shd w:val="clear" w:color="auto" w:fill="auto"/>
          </w:tcPr>
          <w:p w14:paraId="2BDD6066" w14:textId="77777777" w:rsidR="00653571" w:rsidRPr="008C5F1C" w:rsidRDefault="00653571" w:rsidP="00534127">
            <w:pPr>
              <w:spacing w:after="0"/>
              <w:rPr>
                <w:rFonts w:ascii="Times New Roman" w:hAnsi="Times New Roman" w:cs="Times New Roman"/>
                <w:noProof/>
                <w:sz w:val="24"/>
                <w:szCs w:val="24"/>
              </w:rPr>
            </w:pPr>
          </w:p>
        </w:tc>
        <w:tc>
          <w:tcPr>
            <w:tcW w:w="5770" w:type="dxa"/>
            <w:shd w:val="clear" w:color="auto" w:fill="auto"/>
          </w:tcPr>
          <w:p w14:paraId="66C7E90B" w14:textId="77777777" w:rsidR="00653571" w:rsidRPr="008C5F1C" w:rsidRDefault="00653571" w:rsidP="00534127">
            <w:pPr>
              <w:spacing w:after="0"/>
              <w:rPr>
                <w:rFonts w:ascii="Times New Roman" w:hAnsi="Times New Roman" w:cs="Times New Roman"/>
                <w:noProof/>
                <w:sz w:val="24"/>
                <w:szCs w:val="24"/>
              </w:rPr>
            </w:pPr>
            <w:r w:rsidRPr="008C5F1C">
              <w:rPr>
                <w:rFonts w:ascii="Times New Roman" w:hAnsi="Times New Roman" w:cs="Times New Roman"/>
                <w:noProof/>
                <w:sz w:val="24"/>
                <w:szCs w:val="24"/>
              </w:rPr>
              <w:fldChar w:fldCharType="begin">
                <w:ffData>
                  <w:name w:val="Check1"/>
                  <w:enabled/>
                  <w:calcOnExit w:val="0"/>
                  <w:checkBox>
                    <w:sizeAuto/>
                    <w:default w:val="0"/>
                  </w:checkBox>
                </w:ffData>
              </w:fldChar>
            </w:r>
            <w:r w:rsidRPr="008C5F1C">
              <w:rPr>
                <w:rFonts w:ascii="Times New Roman" w:hAnsi="Times New Roman" w:cs="Times New Roman"/>
                <w:noProof/>
                <w:sz w:val="24"/>
                <w:szCs w:val="24"/>
              </w:rPr>
              <w:instrText xml:space="preserve"> FORMCHECKBOX </w:instrText>
            </w:r>
            <w:r w:rsidR="00AD12F7">
              <w:rPr>
                <w:rFonts w:ascii="Times New Roman" w:hAnsi="Times New Roman" w:cs="Times New Roman"/>
                <w:noProof/>
                <w:sz w:val="24"/>
                <w:szCs w:val="24"/>
              </w:rPr>
            </w:r>
            <w:r w:rsidR="00AD12F7">
              <w:rPr>
                <w:rFonts w:ascii="Times New Roman" w:hAnsi="Times New Roman" w:cs="Times New Roman"/>
                <w:noProof/>
                <w:sz w:val="24"/>
                <w:szCs w:val="24"/>
              </w:rPr>
              <w:fldChar w:fldCharType="separate"/>
            </w:r>
            <w:r w:rsidRPr="008C5F1C">
              <w:rPr>
                <w:rFonts w:ascii="Times New Roman" w:hAnsi="Times New Roman" w:cs="Times New Roman"/>
                <w:noProof/>
                <w:sz w:val="24"/>
                <w:szCs w:val="24"/>
              </w:rPr>
              <w:fldChar w:fldCharType="end"/>
            </w:r>
            <w:r w:rsidRPr="008C5F1C">
              <w:rPr>
                <w:rFonts w:ascii="Times New Roman" w:hAnsi="Times New Roman" w:cs="Times New Roman"/>
                <w:noProof/>
                <w:sz w:val="24"/>
                <w:szCs w:val="24"/>
              </w:rPr>
              <w:t xml:space="preserve"> Cohesion Fund</w:t>
            </w:r>
          </w:p>
        </w:tc>
      </w:tr>
      <w:tr w:rsidR="00653571" w:rsidRPr="008C5F1C" w14:paraId="5B26905A" w14:textId="77777777" w:rsidTr="0000023E">
        <w:trPr>
          <w:trHeight w:val="163"/>
          <w:jc w:val="center"/>
        </w:trPr>
        <w:tc>
          <w:tcPr>
            <w:tcW w:w="3315" w:type="dxa"/>
            <w:vMerge/>
            <w:shd w:val="clear" w:color="auto" w:fill="auto"/>
          </w:tcPr>
          <w:p w14:paraId="37F82F66" w14:textId="77777777" w:rsidR="00653571" w:rsidRPr="008C5F1C" w:rsidRDefault="00653571" w:rsidP="00534127">
            <w:pPr>
              <w:spacing w:after="0"/>
              <w:rPr>
                <w:rFonts w:ascii="Times New Roman" w:hAnsi="Times New Roman" w:cs="Times New Roman"/>
                <w:noProof/>
                <w:sz w:val="24"/>
                <w:szCs w:val="24"/>
              </w:rPr>
            </w:pPr>
          </w:p>
        </w:tc>
        <w:tc>
          <w:tcPr>
            <w:tcW w:w="5770" w:type="dxa"/>
            <w:shd w:val="clear" w:color="auto" w:fill="auto"/>
          </w:tcPr>
          <w:p w14:paraId="473F1C1E" w14:textId="77777777" w:rsidR="00653571" w:rsidRPr="008C5F1C" w:rsidRDefault="00653571" w:rsidP="00534127">
            <w:pPr>
              <w:spacing w:after="0"/>
              <w:rPr>
                <w:rFonts w:ascii="Times New Roman" w:hAnsi="Times New Roman" w:cs="Times New Roman"/>
                <w:noProof/>
                <w:sz w:val="24"/>
                <w:szCs w:val="24"/>
              </w:rPr>
            </w:pPr>
            <w:r w:rsidRPr="008C5F1C">
              <w:rPr>
                <w:rFonts w:ascii="Times New Roman" w:hAnsi="Times New Roman" w:cs="Times New Roman"/>
                <w:noProof/>
                <w:sz w:val="24"/>
                <w:szCs w:val="24"/>
              </w:rPr>
              <w:fldChar w:fldCharType="begin">
                <w:ffData>
                  <w:name w:val="Check1"/>
                  <w:enabled/>
                  <w:calcOnExit w:val="0"/>
                  <w:checkBox>
                    <w:sizeAuto/>
                    <w:default w:val="0"/>
                  </w:checkBox>
                </w:ffData>
              </w:fldChar>
            </w:r>
            <w:r w:rsidRPr="008C5F1C">
              <w:rPr>
                <w:rFonts w:ascii="Times New Roman" w:hAnsi="Times New Roman" w:cs="Times New Roman"/>
                <w:noProof/>
                <w:sz w:val="24"/>
                <w:szCs w:val="24"/>
              </w:rPr>
              <w:instrText xml:space="preserve"> FORMCHECKBOX </w:instrText>
            </w:r>
            <w:r w:rsidR="00AD12F7">
              <w:rPr>
                <w:rFonts w:ascii="Times New Roman" w:hAnsi="Times New Roman" w:cs="Times New Roman"/>
                <w:noProof/>
                <w:sz w:val="24"/>
                <w:szCs w:val="24"/>
              </w:rPr>
            </w:r>
            <w:r w:rsidR="00AD12F7">
              <w:rPr>
                <w:rFonts w:ascii="Times New Roman" w:hAnsi="Times New Roman" w:cs="Times New Roman"/>
                <w:noProof/>
                <w:sz w:val="24"/>
                <w:szCs w:val="24"/>
              </w:rPr>
              <w:fldChar w:fldCharType="separate"/>
            </w:r>
            <w:r w:rsidRPr="008C5F1C">
              <w:rPr>
                <w:rFonts w:ascii="Times New Roman" w:hAnsi="Times New Roman" w:cs="Times New Roman"/>
                <w:noProof/>
                <w:sz w:val="24"/>
                <w:szCs w:val="24"/>
              </w:rPr>
              <w:fldChar w:fldCharType="end"/>
            </w:r>
            <w:r w:rsidRPr="008C5F1C">
              <w:rPr>
                <w:rFonts w:ascii="Times New Roman" w:hAnsi="Times New Roman" w:cs="Times New Roman"/>
                <w:noProof/>
                <w:sz w:val="24"/>
                <w:szCs w:val="24"/>
              </w:rPr>
              <w:t xml:space="preserve"> ESF+</w:t>
            </w:r>
          </w:p>
        </w:tc>
      </w:tr>
      <w:tr w:rsidR="00653571" w:rsidRPr="008C5F1C" w14:paraId="789D0AB8" w14:textId="77777777" w:rsidTr="0000023E">
        <w:trPr>
          <w:trHeight w:val="163"/>
          <w:jc w:val="center"/>
        </w:trPr>
        <w:tc>
          <w:tcPr>
            <w:tcW w:w="3315" w:type="dxa"/>
            <w:vMerge/>
            <w:shd w:val="clear" w:color="auto" w:fill="auto"/>
          </w:tcPr>
          <w:p w14:paraId="717CA449" w14:textId="77777777" w:rsidR="00653571" w:rsidRPr="008C5F1C" w:rsidRDefault="00653571" w:rsidP="00534127">
            <w:pPr>
              <w:spacing w:after="0"/>
              <w:rPr>
                <w:rFonts w:ascii="Times New Roman" w:hAnsi="Times New Roman" w:cs="Times New Roman"/>
                <w:noProof/>
                <w:sz w:val="24"/>
                <w:szCs w:val="24"/>
              </w:rPr>
            </w:pPr>
          </w:p>
        </w:tc>
        <w:tc>
          <w:tcPr>
            <w:tcW w:w="5770" w:type="dxa"/>
            <w:shd w:val="clear" w:color="auto" w:fill="auto"/>
          </w:tcPr>
          <w:p w14:paraId="55B76B52" w14:textId="77777777" w:rsidR="00653571" w:rsidRPr="008C5F1C" w:rsidRDefault="00653571" w:rsidP="00534127">
            <w:pPr>
              <w:spacing w:after="0"/>
              <w:rPr>
                <w:rFonts w:ascii="Times New Roman" w:hAnsi="Times New Roman" w:cs="Times New Roman"/>
                <w:noProof/>
                <w:sz w:val="24"/>
                <w:szCs w:val="24"/>
              </w:rPr>
            </w:pPr>
            <w:r w:rsidRPr="008C5F1C">
              <w:rPr>
                <w:rFonts w:ascii="Times New Roman" w:hAnsi="Times New Roman" w:cs="Times New Roman"/>
                <w:noProof/>
                <w:sz w:val="24"/>
                <w:szCs w:val="24"/>
              </w:rPr>
              <w:fldChar w:fldCharType="begin">
                <w:ffData>
                  <w:name w:val="Check1"/>
                  <w:enabled/>
                  <w:calcOnExit w:val="0"/>
                  <w:checkBox>
                    <w:sizeAuto/>
                    <w:default w:val="0"/>
                  </w:checkBox>
                </w:ffData>
              </w:fldChar>
            </w:r>
            <w:r w:rsidRPr="008C5F1C">
              <w:rPr>
                <w:rFonts w:ascii="Times New Roman" w:hAnsi="Times New Roman" w:cs="Times New Roman"/>
                <w:noProof/>
                <w:sz w:val="24"/>
                <w:szCs w:val="24"/>
              </w:rPr>
              <w:instrText xml:space="preserve"> FORMCHECKBOX </w:instrText>
            </w:r>
            <w:r w:rsidR="00AD12F7">
              <w:rPr>
                <w:rFonts w:ascii="Times New Roman" w:hAnsi="Times New Roman" w:cs="Times New Roman"/>
                <w:noProof/>
                <w:sz w:val="24"/>
                <w:szCs w:val="24"/>
              </w:rPr>
            </w:r>
            <w:r w:rsidR="00AD12F7">
              <w:rPr>
                <w:rFonts w:ascii="Times New Roman" w:hAnsi="Times New Roman" w:cs="Times New Roman"/>
                <w:noProof/>
                <w:sz w:val="24"/>
                <w:szCs w:val="24"/>
              </w:rPr>
              <w:fldChar w:fldCharType="separate"/>
            </w:r>
            <w:r w:rsidRPr="008C5F1C">
              <w:rPr>
                <w:rFonts w:ascii="Times New Roman" w:hAnsi="Times New Roman" w:cs="Times New Roman"/>
                <w:noProof/>
                <w:sz w:val="24"/>
                <w:szCs w:val="24"/>
              </w:rPr>
              <w:fldChar w:fldCharType="end"/>
            </w:r>
            <w:r w:rsidRPr="008C5F1C">
              <w:rPr>
                <w:rFonts w:ascii="Times New Roman" w:hAnsi="Times New Roman" w:cs="Times New Roman"/>
                <w:noProof/>
                <w:sz w:val="24"/>
                <w:szCs w:val="24"/>
              </w:rPr>
              <w:t xml:space="preserve"> JTF</w:t>
            </w:r>
          </w:p>
        </w:tc>
      </w:tr>
      <w:tr w:rsidR="00653571" w:rsidRPr="008C5F1C" w14:paraId="7636A662" w14:textId="77777777" w:rsidTr="0000023E">
        <w:trPr>
          <w:trHeight w:val="163"/>
          <w:jc w:val="center"/>
        </w:trPr>
        <w:tc>
          <w:tcPr>
            <w:tcW w:w="3315" w:type="dxa"/>
            <w:vMerge/>
            <w:shd w:val="clear" w:color="auto" w:fill="auto"/>
          </w:tcPr>
          <w:p w14:paraId="3BB11E32" w14:textId="77777777" w:rsidR="00653571" w:rsidRPr="008C5F1C" w:rsidRDefault="00653571" w:rsidP="00534127">
            <w:pPr>
              <w:spacing w:after="0"/>
              <w:rPr>
                <w:rFonts w:ascii="Times New Roman" w:hAnsi="Times New Roman" w:cs="Times New Roman"/>
                <w:noProof/>
                <w:sz w:val="24"/>
                <w:szCs w:val="24"/>
              </w:rPr>
            </w:pPr>
          </w:p>
        </w:tc>
        <w:tc>
          <w:tcPr>
            <w:tcW w:w="5770" w:type="dxa"/>
            <w:shd w:val="clear" w:color="auto" w:fill="auto"/>
          </w:tcPr>
          <w:p w14:paraId="14E026A1" w14:textId="77777777" w:rsidR="00653571" w:rsidRPr="008C5F1C" w:rsidRDefault="00653571" w:rsidP="00534127">
            <w:pPr>
              <w:spacing w:after="0"/>
              <w:rPr>
                <w:rFonts w:ascii="Times New Roman" w:hAnsi="Times New Roman" w:cs="Times New Roman"/>
                <w:noProof/>
                <w:sz w:val="24"/>
                <w:szCs w:val="24"/>
              </w:rPr>
            </w:pPr>
            <w:r w:rsidRPr="008C5F1C">
              <w:rPr>
                <w:rFonts w:ascii="Times New Roman" w:hAnsi="Times New Roman" w:cs="Times New Roman"/>
                <w:noProof/>
                <w:sz w:val="24"/>
                <w:szCs w:val="24"/>
              </w:rPr>
              <w:fldChar w:fldCharType="begin">
                <w:ffData>
                  <w:name w:val="Check1"/>
                  <w:enabled/>
                  <w:calcOnExit w:val="0"/>
                  <w:checkBox>
                    <w:sizeAuto/>
                    <w:default w:val="0"/>
                  </w:checkBox>
                </w:ffData>
              </w:fldChar>
            </w:r>
            <w:r w:rsidRPr="008C5F1C">
              <w:rPr>
                <w:rFonts w:ascii="Times New Roman" w:hAnsi="Times New Roman" w:cs="Times New Roman"/>
                <w:noProof/>
                <w:sz w:val="24"/>
                <w:szCs w:val="24"/>
              </w:rPr>
              <w:instrText xml:space="preserve"> FORMCHECKBOX </w:instrText>
            </w:r>
            <w:r w:rsidR="00AD12F7">
              <w:rPr>
                <w:rFonts w:ascii="Times New Roman" w:hAnsi="Times New Roman" w:cs="Times New Roman"/>
                <w:noProof/>
                <w:sz w:val="24"/>
                <w:szCs w:val="24"/>
              </w:rPr>
            </w:r>
            <w:r w:rsidR="00AD12F7">
              <w:rPr>
                <w:rFonts w:ascii="Times New Roman" w:hAnsi="Times New Roman" w:cs="Times New Roman"/>
                <w:noProof/>
                <w:sz w:val="24"/>
                <w:szCs w:val="24"/>
              </w:rPr>
              <w:fldChar w:fldCharType="separate"/>
            </w:r>
            <w:r w:rsidRPr="008C5F1C">
              <w:rPr>
                <w:rFonts w:ascii="Times New Roman" w:hAnsi="Times New Roman" w:cs="Times New Roman"/>
                <w:noProof/>
                <w:sz w:val="24"/>
                <w:szCs w:val="24"/>
              </w:rPr>
              <w:fldChar w:fldCharType="end"/>
            </w:r>
            <w:r w:rsidRPr="008C5F1C">
              <w:rPr>
                <w:rFonts w:ascii="Times New Roman" w:hAnsi="Times New Roman" w:cs="Times New Roman"/>
                <w:noProof/>
                <w:sz w:val="24"/>
                <w:szCs w:val="24"/>
              </w:rPr>
              <w:t xml:space="preserve"> EMFF</w:t>
            </w:r>
          </w:p>
        </w:tc>
      </w:tr>
    </w:tbl>
    <w:p w14:paraId="2999EAC6" w14:textId="77777777" w:rsidR="00653571" w:rsidRPr="008C5F1C" w:rsidRDefault="00653571" w:rsidP="00653571">
      <w:pPr>
        <w:spacing w:after="120" w:line="240" w:lineRule="auto"/>
        <w:jc w:val="both"/>
        <w:rPr>
          <w:rFonts w:ascii="Times New Roman" w:eastAsia="Times New Roman" w:hAnsi="Times New Roman" w:cs="Times New Roman"/>
          <w:noProof/>
          <w:sz w:val="20"/>
          <w:szCs w:val="16"/>
          <w:lang w:eastAsia="en-GB"/>
        </w:rPr>
      </w:pPr>
      <w:r w:rsidRPr="008C5F1C">
        <w:rPr>
          <w:rFonts w:ascii="Times New Roman" w:hAnsi="Times New Roman" w:cs="Times New Roman"/>
          <w:noProof/>
          <w:sz w:val="16"/>
          <w:szCs w:val="16"/>
          <w:vertAlign w:val="superscript"/>
        </w:rPr>
        <w:t>*</w:t>
      </w:r>
      <w:r w:rsidRPr="008C5F1C">
        <w:rPr>
          <w:rFonts w:ascii="Times New Roman" w:hAnsi="Times New Roman" w:cs="Times New Roman"/>
          <w:noProof/>
          <w:sz w:val="16"/>
          <w:szCs w:val="16"/>
        </w:rPr>
        <w:t xml:space="preserve"> Numbers in square brackets refer to number of characters.</w:t>
      </w:r>
      <w:r w:rsidRPr="008C5F1C">
        <w:rPr>
          <w:rFonts w:ascii="Times New Roman" w:eastAsia="Times New Roman" w:hAnsi="Times New Roman" w:cs="Times New Roman"/>
          <w:noProof/>
          <w:sz w:val="20"/>
          <w:szCs w:val="16"/>
          <w:lang w:eastAsia="en-GB"/>
        </w:rPr>
        <w:t>”</w:t>
      </w:r>
    </w:p>
    <w:p w14:paraId="10D07A6F" w14:textId="77777777" w:rsidR="00E631AE" w:rsidRPr="008C5F1C" w:rsidRDefault="00E631AE" w:rsidP="00653571">
      <w:pPr>
        <w:rPr>
          <w:rFonts w:ascii="Times New Roman" w:eastAsia="Times New Roman" w:hAnsi="Times New Roman" w:cs="Times New Roman"/>
          <w:noProof/>
          <w:sz w:val="20"/>
          <w:szCs w:val="16"/>
          <w:lang w:eastAsia="en-GB"/>
        </w:rPr>
      </w:pPr>
    </w:p>
    <w:p w14:paraId="28F5B943" w14:textId="77777777" w:rsidR="00653571" w:rsidRPr="008C5F1C" w:rsidRDefault="00653571" w:rsidP="00653571">
      <w:pPr>
        <w:rPr>
          <w:rFonts w:ascii="Times New Roman" w:eastAsia="Times New Roman" w:hAnsi="Times New Roman" w:cs="Times New Roman"/>
          <w:noProof/>
          <w:sz w:val="20"/>
          <w:szCs w:val="16"/>
          <w:lang w:eastAsia="en-GB"/>
        </w:rPr>
      </w:pPr>
      <w:r w:rsidRPr="008C5F1C">
        <w:rPr>
          <w:rFonts w:ascii="Times New Roman" w:eastAsia="Times New Roman" w:hAnsi="Times New Roman" w:cs="Times New Roman"/>
          <w:noProof/>
          <w:sz w:val="20"/>
          <w:szCs w:val="16"/>
          <w:lang w:eastAsia="en-GB"/>
        </w:rPr>
        <w:br w:type="page"/>
      </w:r>
    </w:p>
    <w:p w14:paraId="75D0F702" w14:textId="77777777" w:rsidR="00653571" w:rsidRPr="008C5F1C" w:rsidRDefault="00653571" w:rsidP="00653571">
      <w:pPr>
        <w:pStyle w:val="Heading1"/>
        <w:numPr>
          <w:ilvl w:val="0"/>
          <w:numId w:val="0"/>
        </w:numPr>
        <w:ind w:left="851" w:hanging="851"/>
        <w:rPr>
          <w:rFonts w:cs="Times New Roman"/>
          <w:lang w:val="ro-RO"/>
        </w:rPr>
      </w:pPr>
      <w:bookmarkStart w:id="1" w:name="_Toc39840924"/>
      <w:r w:rsidRPr="008C5F1C">
        <w:rPr>
          <w:rFonts w:cs="Times New Roman"/>
          <w:bCs/>
          <w:noProof/>
          <w:lang w:val="ro-RO"/>
        </w:rPr>
        <w:lastRenderedPageBreak/>
        <w:t xml:space="preserve">1. </w:t>
      </w:r>
      <w:proofErr w:type="spellStart"/>
      <w:r w:rsidRPr="008C5F1C">
        <w:rPr>
          <w:rFonts w:cs="Times New Roman"/>
          <w:lang w:val="ro-RO"/>
        </w:rPr>
        <w:t>Programme</w:t>
      </w:r>
      <w:proofErr w:type="spellEnd"/>
      <w:r w:rsidRPr="008C5F1C">
        <w:rPr>
          <w:rFonts w:cs="Times New Roman"/>
          <w:lang w:val="ro-RO"/>
        </w:rPr>
        <w:t xml:space="preserve"> </w:t>
      </w:r>
      <w:proofErr w:type="spellStart"/>
      <w:r w:rsidRPr="008C5F1C">
        <w:rPr>
          <w:rFonts w:cs="Times New Roman"/>
          <w:lang w:val="ro-RO"/>
        </w:rPr>
        <w:t>strategy</w:t>
      </w:r>
      <w:proofErr w:type="spellEnd"/>
      <w:r w:rsidRPr="008C5F1C">
        <w:rPr>
          <w:rFonts w:cs="Times New Roman"/>
          <w:lang w:val="ro-RO"/>
        </w:rPr>
        <w:t xml:space="preserve">: </w:t>
      </w:r>
      <w:proofErr w:type="spellStart"/>
      <w:r w:rsidRPr="008C5F1C">
        <w:rPr>
          <w:rFonts w:cs="Times New Roman"/>
          <w:lang w:val="ro-RO"/>
        </w:rPr>
        <w:t>main</w:t>
      </w:r>
      <w:proofErr w:type="spellEnd"/>
      <w:r w:rsidRPr="008C5F1C">
        <w:rPr>
          <w:rFonts w:cs="Times New Roman"/>
          <w:lang w:val="ro-RO"/>
        </w:rPr>
        <w:t xml:space="preserve"> </w:t>
      </w:r>
      <w:proofErr w:type="spellStart"/>
      <w:r w:rsidRPr="008C5F1C">
        <w:rPr>
          <w:rFonts w:cs="Times New Roman"/>
          <w:lang w:val="ro-RO"/>
        </w:rPr>
        <w:t>development</w:t>
      </w:r>
      <w:proofErr w:type="spellEnd"/>
      <w:r w:rsidRPr="008C5F1C">
        <w:rPr>
          <w:rFonts w:cs="Times New Roman"/>
          <w:lang w:val="ro-RO"/>
        </w:rPr>
        <w:t xml:space="preserve"> </w:t>
      </w:r>
      <w:proofErr w:type="spellStart"/>
      <w:r w:rsidRPr="008C5F1C">
        <w:rPr>
          <w:rFonts w:cs="Times New Roman"/>
          <w:lang w:val="ro-RO"/>
        </w:rPr>
        <w:t>challenges</w:t>
      </w:r>
      <w:proofErr w:type="spellEnd"/>
      <w:r w:rsidRPr="008C5F1C">
        <w:rPr>
          <w:rFonts w:cs="Times New Roman"/>
          <w:lang w:val="ro-RO"/>
        </w:rPr>
        <w:t xml:space="preserve"> </w:t>
      </w:r>
      <w:proofErr w:type="spellStart"/>
      <w:r w:rsidRPr="008C5F1C">
        <w:rPr>
          <w:rFonts w:cs="Times New Roman"/>
          <w:lang w:val="ro-RO"/>
        </w:rPr>
        <w:t>and</w:t>
      </w:r>
      <w:proofErr w:type="spellEnd"/>
      <w:r w:rsidRPr="008C5F1C">
        <w:rPr>
          <w:rFonts w:cs="Times New Roman"/>
          <w:lang w:val="ro-RO"/>
        </w:rPr>
        <w:t xml:space="preserve"> </w:t>
      </w:r>
      <w:proofErr w:type="spellStart"/>
      <w:r w:rsidRPr="008C5F1C">
        <w:rPr>
          <w:rFonts w:cs="Times New Roman"/>
          <w:lang w:val="ro-RO"/>
        </w:rPr>
        <w:t>policy</w:t>
      </w:r>
      <w:proofErr w:type="spellEnd"/>
      <w:r w:rsidRPr="008C5F1C">
        <w:rPr>
          <w:rFonts w:cs="Times New Roman"/>
          <w:lang w:val="ro-RO"/>
        </w:rPr>
        <w:t xml:space="preserve"> </w:t>
      </w:r>
      <w:proofErr w:type="spellStart"/>
      <w:r w:rsidRPr="008C5F1C">
        <w:rPr>
          <w:rFonts w:cs="Times New Roman"/>
          <w:lang w:val="ro-RO"/>
        </w:rPr>
        <w:t>responses</w:t>
      </w:r>
      <w:bookmarkEnd w:id="1"/>
      <w:proofErr w:type="spellEnd"/>
    </w:p>
    <w:p w14:paraId="6CA1065A" w14:textId="77777777" w:rsidR="00653571" w:rsidRPr="008C5F1C" w:rsidRDefault="00653571" w:rsidP="00653571">
      <w:pPr>
        <w:spacing w:before="120" w:after="120" w:line="360" w:lineRule="auto"/>
        <w:rPr>
          <w:rFonts w:ascii="Times New Roman" w:eastAsia="Times New Roman" w:hAnsi="Times New Roman" w:cs="Times New Roman"/>
          <w:i/>
          <w:noProof/>
          <w:sz w:val="24"/>
          <w:szCs w:val="24"/>
        </w:rPr>
      </w:pPr>
      <w:r w:rsidRPr="008C5F1C">
        <w:rPr>
          <w:rFonts w:ascii="Times New Roman" w:eastAsia="Times New Roman" w:hAnsi="Times New Roman" w:cs="Times New Roman"/>
          <w:noProof/>
          <w:sz w:val="24"/>
          <w:szCs w:val="24"/>
        </w:rPr>
        <w:t>Reference: Article 17(3</w:t>
      </w:r>
      <w:r w:rsidRPr="008C5F1C">
        <w:rPr>
          <w:rFonts w:ascii="Times New Roman" w:eastAsia="Times New Roman" w:hAnsi="Times New Roman" w:cs="Times New Roman"/>
          <w:i/>
          <w:noProof/>
          <w:sz w:val="24"/>
          <w:szCs w:val="24"/>
        </w:rPr>
        <w:t>)(a)(i)-(vii) and 17(3)(b) CPR</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8"/>
      </w:tblGrid>
      <w:tr w:rsidR="00653571" w:rsidRPr="008C5F1C" w14:paraId="64ABEE71" w14:textId="77777777" w:rsidTr="00DA6B93">
        <w:tc>
          <w:tcPr>
            <w:tcW w:w="9918" w:type="dxa"/>
            <w:tcBorders>
              <w:top w:val="single" w:sz="4" w:space="0" w:color="auto"/>
              <w:left w:val="single" w:sz="4" w:space="0" w:color="auto"/>
              <w:bottom w:val="single" w:sz="4" w:space="0" w:color="auto"/>
              <w:right w:val="single" w:sz="4" w:space="0" w:color="auto"/>
            </w:tcBorders>
            <w:hideMark/>
          </w:tcPr>
          <w:p w14:paraId="787DA9FF" w14:textId="22A3090A" w:rsidR="00D90BF8" w:rsidRPr="008C5F1C" w:rsidRDefault="00653571" w:rsidP="00534127">
            <w:pPr>
              <w:spacing w:after="120" w:line="240" w:lineRule="auto"/>
              <w:jc w:val="both"/>
              <w:rPr>
                <w:rFonts w:ascii="Times New Roman" w:hAnsi="Times New Roman" w:cs="Times New Roman"/>
              </w:rPr>
            </w:pPr>
            <w:r w:rsidRPr="008C5F1C">
              <w:rPr>
                <w:rFonts w:ascii="Times New Roman" w:hAnsi="Times New Roman" w:cs="Times New Roman"/>
                <w:b/>
                <w:bCs/>
              </w:rPr>
              <w:t>POR N</w:t>
            </w:r>
            <w:r w:rsidR="008055DD" w:rsidRPr="008C5F1C">
              <w:rPr>
                <w:rFonts w:ascii="Times New Roman" w:hAnsi="Times New Roman" w:cs="Times New Roman"/>
                <w:b/>
                <w:bCs/>
              </w:rPr>
              <w:t>ord-</w:t>
            </w:r>
            <w:r w:rsidRPr="008C5F1C">
              <w:rPr>
                <w:rFonts w:ascii="Times New Roman" w:hAnsi="Times New Roman" w:cs="Times New Roman"/>
                <w:b/>
                <w:bCs/>
              </w:rPr>
              <w:t>V</w:t>
            </w:r>
            <w:r w:rsidR="008055DD" w:rsidRPr="008C5F1C">
              <w:rPr>
                <w:rFonts w:ascii="Times New Roman" w:hAnsi="Times New Roman" w:cs="Times New Roman"/>
                <w:b/>
                <w:bCs/>
              </w:rPr>
              <w:t>est</w:t>
            </w:r>
            <w:r w:rsidR="00871E07" w:rsidRPr="008C5F1C">
              <w:rPr>
                <w:rFonts w:ascii="Times New Roman" w:hAnsi="Times New Roman" w:cs="Times New Roman"/>
                <w:b/>
                <w:bCs/>
              </w:rPr>
              <w:t xml:space="preserve"> vizează</w:t>
            </w:r>
            <w:r w:rsidR="00824FB6" w:rsidRPr="008C5F1C">
              <w:rPr>
                <w:rFonts w:ascii="Times New Roman" w:hAnsi="Times New Roman" w:cs="Times New Roman"/>
                <w:b/>
                <w:bCs/>
              </w:rPr>
              <w:t xml:space="preserve"> Regiunea Nord-Vest, respectiv</w:t>
            </w:r>
            <w:r w:rsidR="00F13A8D" w:rsidRPr="008C5F1C">
              <w:rPr>
                <w:rFonts w:ascii="Times New Roman" w:hAnsi="Times New Roman" w:cs="Times New Roman"/>
                <w:b/>
                <w:bCs/>
              </w:rPr>
              <w:t xml:space="preserve"> </w:t>
            </w:r>
            <w:r w:rsidR="00871E07" w:rsidRPr="008C5F1C">
              <w:rPr>
                <w:rFonts w:ascii="Times New Roman" w:hAnsi="Times New Roman" w:cs="Times New Roman"/>
                <w:b/>
                <w:bCs/>
              </w:rPr>
              <w:t>14,3% din suprafa</w:t>
            </w:r>
            <w:r w:rsidR="00E22FF2" w:rsidRPr="008C5F1C">
              <w:rPr>
                <w:rFonts w:ascii="Times New Roman" w:hAnsi="Times New Roman" w:cs="Times New Roman"/>
                <w:b/>
                <w:bCs/>
              </w:rPr>
              <w:t>ț</w:t>
            </w:r>
            <w:r w:rsidR="00871E07" w:rsidRPr="008C5F1C">
              <w:rPr>
                <w:rFonts w:ascii="Times New Roman" w:hAnsi="Times New Roman" w:cs="Times New Roman"/>
                <w:b/>
                <w:bCs/>
              </w:rPr>
              <w:t xml:space="preserve">a </w:t>
            </w:r>
            <w:r w:rsidR="00E22FF2" w:rsidRPr="008C5F1C">
              <w:rPr>
                <w:rFonts w:ascii="Times New Roman" w:hAnsi="Times New Roman" w:cs="Times New Roman"/>
                <w:b/>
                <w:bCs/>
              </w:rPr>
              <w:t>ț</w:t>
            </w:r>
            <w:r w:rsidR="00871E07" w:rsidRPr="008C5F1C">
              <w:rPr>
                <w:rFonts w:ascii="Times New Roman" w:hAnsi="Times New Roman" w:cs="Times New Roman"/>
                <w:b/>
                <w:bCs/>
              </w:rPr>
              <w:t>ării și 13,1% din popula</w:t>
            </w:r>
            <w:r w:rsidR="00E22FF2" w:rsidRPr="008C5F1C">
              <w:rPr>
                <w:rFonts w:ascii="Times New Roman" w:hAnsi="Times New Roman" w:cs="Times New Roman"/>
                <w:b/>
                <w:bCs/>
              </w:rPr>
              <w:t>ț</w:t>
            </w:r>
            <w:r w:rsidR="00871E07" w:rsidRPr="008C5F1C">
              <w:rPr>
                <w:rFonts w:ascii="Times New Roman" w:hAnsi="Times New Roman" w:cs="Times New Roman"/>
                <w:b/>
                <w:bCs/>
              </w:rPr>
              <w:t>ia</w:t>
            </w:r>
            <w:r w:rsidR="00D809C5" w:rsidRPr="008C5F1C">
              <w:rPr>
                <w:rFonts w:ascii="Times New Roman" w:hAnsi="Times New Roman" w:cs="Times New Roman"/>
                <w:b/>
                <w:bCs/>
              </w:rPr>
              <w:t xml:space="preserve"> </w:t>
            </w:r>
            <w:r w:rsidR="00871E07" w:rsidRPr="008C5F1C">
              <w:rPr>
                <w:rFonts w:ascii="Times New Roman" w:hAnsi="Times New Roman" w:cs="Times New Roman"/>
                <w:b/>
                <w:bCs/>
              </w:rPr>
              <w:t>rezidentă a României.</w:t>
            </w:r>
            <w:r w:rsidR="00871E07" w:rsidRPr="008C5F1C">
              <w:rPr>
                <w:rFonts w:ascii="Times New Roman" w:hAnsi="Times New Roman" w:cs="Times New Roman"/>
              </w:rPr>
              <w:t xml:space="preserve"> Regiunea</w:t>
            </w:r>
            <w:r w:rsidRPr="008C5F1C">
              <w:rPr>
                <w:rFonts w:ascii="Times New Roman" w:hAnsi="Times New Roman" w:cs="Times New Roman"/>
              </w:rPr>
              <w:t xml:space="preserve"> acoper</w:t>
            </w:r>
            <w:r w:rsidR="00BA7827" w:rsidRPr="008C5F1C">
              <w:rPr>
                <w:rFonts w:ascii="Times New Roman" w:hAnsi="Times New Roman" w:cs="Times New Roman"/>
              </w:rPr>
              <w:t>ă</w:t>
            </w:r>
            <w:r w:rsidRPr="008C5F1C">
              <w:rPr>
                <w:rFonts w:ascii="Times New Roman" w:hAnsi="Times New Roman" w:cs="Times New Roman"/>
              </w:rPr>
              <w:t xml:space="preserve"> un teritoriu total de 34.160 </w:t>
            </w:r>
            <w:r w:rsidR="00E133A9" w:rsidRPr="008C5F1C">
              <w:rPr>
                <w:rFonts w:ascii="Times New Roman" w:hAnsi="Times New Roman" w:cs="Times New Roman"/>
              </w:rPr>
              <w:t>km</w:t>
            </w:r>
            <w:r w:rsidR="00E133A9" w:rsidRPr="008C5F1C">
              <w:rPr>
                <w:rFonts w:ascii="Times New Roman" w:hAnsi="Times New Roman" w:cs="Times New Roman"/>
                <w:vertAlign w:val="superscript"/>
              </w:rPr>
              <w:t>2</w:t>
            </w:r>
            <w:r w:rsidR="00E133A9" w:rsidRPr="008C5F1C">
              <w:rPr>
                <w:rFonts w:ascii="Times New Roman" w:hAnsi="Times New Roman" w:cs="Times New Roman"/>
              </w:rPr>
              <w:t xml:space="preserve"> </w:t>
            </w:r>
            <w:r w:rsidR="00D5281E" w:rsidRPr="008C5F1C">
              <w:rPr>
                <w:rFonts w:ascii="Times New Roman" w:hAnsi="Times New Roman" w:cs="Times New Roman"/>
              </w:rPr>
              <w:t>și 2,5 mi</w:t>
            </w:r>
            <w:r w:rsidR="00E133A9" w:rsidRPr="008C5F1C">
              <w:rPr>
                <w:rFonts w:ascii="Times New Roman" w:hAnsi="Times New Roman" w:cs="Times New Roman"/>
              </w:rPr>
              <w:t>l.</w:t>
            </w:r>
            <w:r w:rsidR="00D5281E" w:rsidRPr="008C5F1C">
              <w:rPr>
                <w:rFonts w:ascii="Times New Roman" w:hAnsi="Times New Roman" w:cs="Times New Roman"/>
              </w:rPr>
              <w:t xml:space="preserve"> locuitori</w:t>
            </w:r>
            <w:r w:rsidRPr="008C5F1C">
              <w:rPr>
                <w:rFonts w:ascii="Times New Roman" w:hAnsi="Times New Roman" w:cs="Times New Roman"/>
              </w:rPr>
              <w:t xml:space="preserve">, cuprinzând </w:t>
            </w:r>
            <w:r w:rsidR="00C560E7" w:rsidRPr="008C5F1C">
              <w:rPr>
                <w:rFonts w:ascii="Times New Roman" w:hAnsi="Times New Roman" w:cs="Times New Roman"/>
              </w:rPr>
              <w:t>6</w:t>
            </w:r>
            <w:r w:rsidRPr="008C5F1C">
              <w:rPr>
                <w:rFonts w:ascii="Times New Roman" w:hAnsi="Times New Roman" w:cs="Times New Roman"/>
              </w:rPr>
              <w:t xml:space="preserve"> jude</w:t>
            </w:r>
            <w:r w:rsidR="00E22FF2" w:rsidRPr="008C5F1C">
              <w:rPr>
                <w:rFonts w:ascii="Times New Roman" w:hAnsi="Times New Roman" w:cs="Times New Roman"/>
              </w:rPr>
              <w:t>ț</w:t>
            </w:r>
            <w:r w:rsidRPr="008C5F1C">
              <w:rPr>
                <w:rFonts w:ascii="Times New Roman" w:hAnsi="Times New Roman" w:cs="Times New Roman"/>
              </w:rPr>
              <w:t xml:space="preserve">e din zona de </w:t>
            </w:r>
            <w:r w:rsidR="008055DD" w:rsidRPr="008C5F1C">
              <w:rPr>
                <w:rFonts w:ascii="Times New Roman" w:hAnsi="Times New Roman" w:cs="Times New Roman"/>
              </w:rPr>
              <w:t>nord-vest</w:t>
            </w:r>
            <w:r w:rsidRPr="008C5F1C">
              <w:rPr>
                <w:rFonts w:ascii="Times New Roman" w:hAnsi="Times New Roman" w:cs="Times New Roman"/>
              </w:rPr>
              <w:t xml:space="preserve"> a </w:t>
            </w:r>
            <w:r w:rsidR="00E22FF2" w:rsidRPr="008C5F1C">
              <w:rPr>
                <w:rFonts w:ascii="Times New Roman" w:hAnsi="Times New Roman" w:cs="Times New Roman"/>
              </w:rPr>
              <w:t>ț</w:t>
            </w:r>
            <w:r w:rsidR="00E133A9" w:rsidRPr="008C5F1C">
              <w:rPr>
                <w:rFonts w:ascii="Times New Roman" w:hAnsi="Times New Roman" w:cs="Times New Roman"/>
              </w:rPr>
              <w:t xml:space="preserve">ării </w:t>
            </w:r>
            <w:r w:rsidR="0025429C" w:rsidRPr="008C5F1C">
              <w:rPr>
                <w:rFonts w:ascii="Times New Roman" w:hAnsi="Times New Roman" w:cs="Times New Roman"/>
              </w:rPr>
              <w:t xml:space="preserve">- </w:t>
            </w:r>
            <w:r w:rsidRPr="008C5F1C">
              <w:rPr>
                <w:rFonts w:ascii="Times New Roman" w:hAnsi="Times New Roman" w:cs="Times New Roman"/>
              </w:rPr>
              <w:t>Bihor, Satu-Mare, Maramure</w:t>
            </w:r>
            <w:r w:rsidR="00106240" w:rsidRPr="008C5F1C">
              <w:rPr>
                <w:rFonts w:ascii="Times New Roman" w:hAnsi="Times New Roman" w:cs="Times New Roman"/>
              </w:rPr>
              <w:t>ș</w:t>
            </w:r>
            <w:r w:rsidRPr="008C5F1C">
              <w:rPr>
                <w:rFonts w:ascii="Times New Roman" w:hAnsi="Times New Roman" w:cs="Times New Roman"/>
              </w:rPr>
              <w:t>, Cluj, S</w:t>
            </w:r>
            <w:r w:rsidR="00BA7827" w:rsidRPr="008C5F1C">
              <w:rPr>
                <w:rFonts w:ascii="Times New Roman" w:hAnsi="Times New Roman" w:cs="Times New Roman"/>
              </w:rPr>
              <w:t>ă</w:t>
            </w:r>
            <w:r w:rsidRPr="008C5F1C">
              <w:rPr>
                <w:rFonts w:ascii="Times New Roman" w:hAnsi="Times New Roman" w:cs="Times New Roman"/>
              </w:rPr>
              <w:t xml:space="preserve">laj </w:t>
            </w:r>
            <w:r w:rsidR="00106240" w:rsidRPr="008C5F1C">
              <w:rPr>
                <w:rFonts w:ascii="Times New Roman" w:hAnsi="Times New Roman" w:cs="Times New Roman"/>
              </w:rPr>
              <w:t>ș</w:t>
            </w:r>
            <w:r w:rsidRPr="008C5F1C">
              <w:rPr>
                <w:rFonts w:ascii="Times New Roman" w:hAnsi="Times New Roman" w:cs="Times New Roman"/>
              </w:rPr>
              <w:t>i Bistri</w:t>
            </w:r>
            <w:r w:rsidR="00E22FF2" w:rsidRPr="008C5F1C">
              <w:rPr>
                <w:rFonts w:ascii="Times New Roman" w:hAnsi="Times New Roman" w:cs="Times New Roman"/>
              </w:rPr>
              <w:t>ț</w:t>
            </w:r>
            <w:r w:rsidRPr="008C5F1C">
              <w:rPr>
                <w:rFonts w:ascii="Times New Roman" w:hAnsi="Times New Roman" w:cs="Times New Roman"/>
              </w:rPr>
              <w:t>a-N</w:t>
            </w:r>
            <w:r w:rsidR="00BA7827" w:rsidRPr="008C5F1C">
              <w:rPr>
                <w:rFonts w:ascii="Times New Roman" w:hAnsi="Times New Roman" w:cs="Times New Roman"/>
              </w:rPr>
              <w:t>ă</w:t>
            </w:r>
            <w:r w:rsidRPr="008C5F1C">
              <w:rPr>
                <w:rFonts w:ascii="Times New Roman" w:hAnsi="Times New Roman" w:cs="Times New Roman"/>
              </w:rPr>
              <w:t>s</w:t>
            </w:r>
            <w:r w:rsidR="00BA7827" w:rsidRPr="008C5F1C">
              <w:rPr>
                <w:rFonts w:ascii="Times New Roman" w:hAnsi="Times New Roman" w:cs="Times New Roman"/>
              </w:rPr>
              <w:t>ă</w:t>
            </w:r>
            <w:r w:rsidRPr="008C5F1C">
              <w:rPr>
                <w:rFonts w:ascii="Times New Roman" w:hAnsi="Times New Roman" w:cs="Times New Roman"/>
              </w:rPr>
              <w:t>ud</w:t>
            </w:r>
            <w:r w:rsidR="0025429C" w:rsidRPr="008C5F1C">
              <w:rPr>
                <w:rFonts w:ascii="Times New Roman" w:hAnsi="Times New Roman" w:cs="Times New Roman"/>
              </w:rPr>
              <w:t xml:space="preserve"> -</w:t>
            </w:r>
            <w:r w:rsidRPr="008C5F1C">
              <w:rPr>
                <w:rFonts w:ascii="Times New Roman" w:hAnsi="Times New Roman" w:cs="Times New Roman"/>
              </w:rPr>
              <w:t>, în nordul provinciei istorice Transilvania, la grani</w:t>
            </w:r>
            <w:r w:rsidR="00E22FF2" w:rsidRPr="008C5F1C">
              <w:rPr>
                <w:rFonts w:ascii="Times New Roman" w:hAnsi="Times New Roman" w:cs="Times New Roman"/>
              </w:rPr>
              <w:t>ț</w:t>
            </w:r>
            <w:r w:rsidRPr="008C5F1C">
              <w:rPr>
                <w:rFonts w:ascii="Times New Roman" w:hAnsi="Times New Roman" w:cs="Times New Roman"/>
              </w:rPr>
              <w:t xml:space="preserve">a cu Ungaria </w:t>
            </w:r>
            <w:r w:rsidR="00106240" w:rsidRPr="008C5F1C">
              <w:rPr>
                <w:rFonts w:ascii="Times New Roman" w:hAnsi="Times New Roman" w:cs="Times New Roman"/>
              </w:rPr>
              <w:t>ș</w:t>
            </w:r>
            <w:r w:rsidRPr="008C5F1C">
              <w:rPr>
                <w:rFonts w:ascii="Times New Roman" w:hAnsi="Times New Roman" w:cs="Times New Roman"/>
              </w:rPr>
              <w:t xml:space="preserve">i Ucraina. </w:t>
            </w:r>
          </w:p>
          <w:p w14:paraId="4E204270" w14:textId="77777777" w:rsidR="00054765" w:rsidRPr="008C5F1C" w:rsidRDefault="00054765" w:rsidP="00054765">
            <w:pPr>
              <w:spacing w:after="120" w:line="240" w:lineRule="auto"/>
              <w:jc w:val="both"/>
              <w:rPr>
                <w:rFonts w:ascii="Times New Roman" w:hAnsi="Times New Roman" w:cs="Times New Roman"/>
                <w:b/>
                <w:bCs/>
              </w:rPr>
            </w:pPr>
            <w:r w:rsidRPr="008C5F1C">
              <w:rPr>
                <w:rFonts w:ascii="Times New Roman" w:hAnsi="Times New Roman" w:cs="Times New Roman"/>
                <w:b/>
                <w:bCs/>
                <w:shd w:val="clear" w:color="auto" w:fill="FFFFFF"/>
              </w:rPr>
              <w:t>Specificul regional</w:t>
            </w:r>
          </w:p>
          <w:p w14:paraId="5C7F156C" w14:textId="2B9774C3" w:rsidR="00054765" w:rsidRPr="008C5F1C" w:rsidRDefault="00054765" w:rsidP="00F507FB">
            <w:pPr>
              <w:spacing w:after="120" w:line="240" w:lineRule="auto"/>
              <w:jc w:val="both"/>
              <w:rPr>
                <w:rFonts w:ascii="Times New Roman" w:hAnsi="Times New Roman" w:cs="Times New Roman"/>
              </w:rPr>
            </w:pPr>
            <w:r w:rsidRPr="008C5F1C">
              <w:rPr>
                <w:rFonts w:ascii="Times New Roman" w:hAnsi="Times New Roman" w:cs="Times New Roman"/>
              </w:rPr>
              <w:t xml:space="preserve">Regiunea Nord-Vest se distinge ca fiind o importantă poartă de intrare în țară dinspre occident, aspect care susține dezvoltare zonelor de producție în centrele urbane dar și în orașele mai mici. Cluj-Napoca reprezintă centrul de inovare regional, unul din cele mai importante centre în industria IT din estul Europei care dezvoltă și testează în continuu proiecte inovatoare. Acestea sunt ulterior transferate și adaptate la nevoile orașelor din regiune. Întregul proces de inovare este susținut și de mediul academic, în regiune fiind localizată cea mai performantă universitate din România (UBB). De asemenea, Regiunea Nord-Vest, prin orașe precum Cluj-Napoca, Oradea sau chiar și județe precum Cluj reprezintă repere la nivel național în ceea ce privește dezvoltarea serviciilor publice digitale, guvernanța și mai ales implicarea cetățenilor în dezvoltarea locală. Din perspectiva turismului Regiunea Nord-Vest se distinge în primul rând prin zona Maramureșului, Munții Rodnei și Apuseni dar și importante obiective de agrement bazate pe resursele subsolului cum ar fi băile geotermale </w:t>
            </w:r>
            <w:r w:rsidR="00A224CF" w:rsidRPr="008C5F1C">
              <w:rPr>
                <w:rFonts w:ascii="Times New Roman" w:hAnsi="Times New Roman" w:cs="Times New Roman"/>
              </w:rPr>
              <w:t xml:space="preserve">(Băile Felix) </w:t>
            </w:r>
            <w:r w:rsidRPr="008C5F1C">
              <w:rPr>
                <w:rFonts w:ascii="Times New Roman" w:hAnsi="Times New Roman" w:cs="Times New Roman"/>
              </w:rPr>
              <w:t>și salinele</w:t>
            </w:r>
            <w:r w:rsidR="00A224CF" w:rsidRPr="008C5F1C">
              <w:rPr>
                <w:rFonts w:ascii="Times New Roman" w:hAnsi="Times New Roman" w:cs="Times New Roman"/>
              </w:rPr>
              <w:t xml:space="preserve"> (Turda)</w:t>
            </w:r>
            <w:r w:rsidRPr="008C5F1C">
              <w:rPr>
                <w:rFonts w:ascii="Times New Roman" w:hAnsi="Times New Roman" w:cs="Times New Roman"/>
              </w:rPr>
              <w:t xml:space="preserve">. </w:t>
            </w:r>
          </w:p>
          <w:p w14:paraId="3CC44C18" w14:textId="2CCFB77D" w:rsidR="00455824" w:rsidRPr="008C5F1C" w:rsidRDefault="00455824" w:rsidP="00F507FB">
            <w:pPr>
              <w:spacing w:after="120" w:line="240" w:lineRule="auto"/>
              <w:jc w:val="both"/>
              <w:rPr>
                <w:rFonts w:ascii="Times New Roman" w:hAnsi="Times New Roman" w:cs="Times New Roman"/>
                <w:b/>
                <w:bCs/>
              </w:rPr>
            </w:pPr>
            <w:r w:rsidRPr="008C5F1C">
              <w:rPr>
                <w:rFonts w:ascii="Times New Roman" w:hAnsi="Times New Roman" w:cs="Times New Roman"/>
                <w:b/>
                <w:bCs/>
              </w:rPr>
              <w:t xml:space="preserve">Viziune </w:t>
            </w:r>
          </w:p>
          <w:p w14:paraId="332867B8" w14:textId="1F5AEAE6" w:rsidR="0003653A" w:rsidRPr="008C5F1C" w:rsidRDefault="00455824" w:rsidP="00F507FB">
            <w:pPr>
              <w:autoSpaceDE w:val="0"/>
              <w:autoSpaceDN w:val="0"/>
              <w:adjustRightInd w:val="0"/>
              <w:spacing w:after="120" w:line="240" w:lineRule="auto"/>
              <w:jc w:val="both"/>
              <w:rPr>
                <w:rFonts w:ascii="Times New Roman" w:hAnsi="Times New Roman" w:cs="Times New Roman"/>
                <w:b/>
                <w:bCs/>
              </w:rPr>
            </w:pPr>
            <w:r w:rsidRPr="008C5F1C">
              <w:rPr>
                <w:rFonts w:ascii="Times New Roman" w:hAnsi="Times New Roman" w:cs="Times New Roman"/>
                <w:b/>
                <w:bCs/>
              </w:rPr>
              <w:t xml:space="preserve">POR Nord-Vest </w:t>
            </w:r>
            <w:r w:rsidR="00FA44BA" w:rsidRPr="008C5F1C">
              <w:rPr>
                <w:rFonts w:ascii="Times New Roman" w:hAnsi="Times New Roman" w:cs="Times New Roman"/>
                <w:b/>
                <w:bCs/>
              </w:rPr>
              <w:t>este</w:t>
            </w:r>
            <w:r w:rsidRPr="008C5F1C">
              <w:rPr>
                <w:rFonts w:ascii="Times New Roman" w:hAnsi="Times New Roman" w:cs="Times New Roman"/>
                <w:b/>
                <w:bCs/>
              </w:rPr>
              <w:t xml:space="preserve"> </w:t>
            </w:r>
            <w:r w:rsidR="00977616" w:rsidRPr="008C5F1C">
              <w:rPr>
                <w:rFonts w:ascii="Times New Roman" w:hAnsi="Times New Roman" w:cs="Times New Roman"/>
                <w:b/>
                <w:bCs/>
              </w:rPr>
              <w:t xml:space="preserve">cea mai importantă sursă de </w:t>
            </w:r>
            <w:r w:rsidRPr="008C5F1C">
              <w:rPr>
                <w:rFonts w:ascii="Times New Roman" w:hAnsi="Times New Roman" w:cs="Times New Roman"/>
                <w:b/>
                <w:bCs/>
              </w:rPr>
              <w:t>finanțare</w:t>
            </w:r>
            <w:r w:rsidR="00A153EB" w:rsidRPr="008C5F1C">
              <w:rPr>
                <w:rFonts w:ascii="Times New Roman" w:hAnsi="Times New Roman" w:cs="Times New Roman"/>
                <w:b/>
                <w:bCs/>
              </w:rPr>
              <w:t xml:space="preserve"> din fonduri europene</w:t>
            </w:r>
            <w:r w:rsidR="008671FF" w:rsidRPr="008C5F1C">
              <w:rPr>
                <w:rFonts w:ascii="Times New Roman" w:hAnsi="Times New Roman" w:cs="Times New Roman"/>
                <w:b/>
                <w:bCs/>
              </w:rPr>
              <w:t xml:space="preserve"> de la nivel regional,</w:t>
            </w:r>
            <w:r w:rsidR="00FE0D5D" w:rsidRPr="008C5F1C">
              <w:rPr>
                <w:rFonts w:ascii="Times New Roman" w:hAnsi="Times New Roman" w:cs="Times New Roman"/>
                <w:b/>
                <w:bCs/>
              </w:rPr>
              <w:t xml:space="preserve"> </w:t>
            </w:r>
            <w:r w:rsidR="009E1645" w:rsidRPr="008C5F1C">
              <w:rPr>
                <w:rFonts w:ascii="Times New Roman" w:hAnsi="Times New Roman" w:cs="Times New Roman"/>
                <w:b/>
                <w:bCs/>
              </w:rPr>
              <w:t xml:space="preserve">menită să </w:t>
            </w:r>
            <w:r w:rsidR="00F26517" w:rsidRPr="008C5F1C">
              <w:rPr>
                <w:rFonts w:ascii="Times New Roman" w:hAnsi="Times New Roman" w:cs="Times New Roman"/>
                <w:b/>
                <w:bCs/>
              </w:rPr>
              <w:t>contribuie la îndeplinirea obiectivelor regionale de dezvoltare</w:t>
            </w:r>
            <w:r w:rsidR="0003653A" w:rsidRPr="008C5F1C">
              <w:rPr>
                <w:rFonts w:ascii="Times New Roman" w:hAnsi="Times New Roman" w:cs="Times New Roman"/>
                <w:b/>
                <w:bCs/>
              </w:rPr>
              <w:t>, fiind direct conectat cu strategia de dezvoltare regionala din cadrul PDR 2021-2027</w:t>
            </w:r>
            <w:r w:rsidR="00FA480F" w:rsidRPr="008C5F1C">
              <w:rPr>
                <w:rStyle w:val="FootnoteReference"/>
                <w:rFonts w:ascii="Times New Roman" w:hAnsi="Times New Roman" w:cs="Times New Roman"/>
                <w:b w:val="0"/>
                <w:bCs/>
              </w:rPr>
              <w:footnoteReference w:id="1"/>
            </w:r>
          </w:p>
          <w:p w14:paraId="465739EB" w14:textId="283B8CF4" w:rsidR="003C0338" w:rsidRPr="008C5F1C" w:rsidRDefault="0003653A" w:rsidP="00F507FB">
            <w:pPr>
              <w:autoSpaceDE w:val="0"/>
              <w:autoSpaceDN w:val="0"/>
              <w:adjustRightInd w:val="0"/>
              <w:spacing w:after="120" w:line="240" w:lineRule="auto"/>
              <w:jc w:val="both"/>
              <w:rPr>
                <w:rFonts w:ascii="Times New Roman" w:hAnsi="Times New Roman" w:cs="Times New Roman"/>
                <w:b/>
                <w:bCs/>
              </w:rPr>
            </w:pPr>
            <w:r w:rsidRPr="008C5F1C">
              <w:rPr>
                <w:rFonts w:ascii="Times New Roman" w:hAnsi="Times New Roman" w:cs="Times New Roman"/>
                <w:b/>
                <w:bCs/>
              </w:rPr>
              <w:t>Astfel, viziunea strategica a</w:t>
            </w:r>
            <w:r w:rsidR="005E6DE1" w:rsidRPr="008C5F1C">
              <w:rPr>
                <w:rFonts w:ascii="Times New Roman" w:hAnsi="Times New Roman" w:cs="Times New Roman"/>
                <w:b/>
                <w:bCs/>
              </w:rPr>
              <w:t xml:space="preserve"> POR Nord-Vest este de a contribui la dezvoltarea durabila, </w:t>
            </w:r>
            <w:r w:rsidR="00B323AE" w:rsidRPr="008C5F1C">
              <w:rPr>
                <w:rFonts w:ascii="Times New Roman" w:hAnsi="Times New Roman" w:cs="Times New Roman"/>
                <w:b/>
                <w:bCs/>
              </w:rPr>
              <w:t>la valorificarea resurselor naturale</w:t>
            </w:r>
            <w:r w:rsidR="003C0338" w:rsidRPr="008C5F1C">
              <w:rPr>
                <w:rFonts w:ascii="Times New Roman" w:hAnsi="Times New Roman" w:cs="Times New Roman"/>
                <w:b/>
                <w:bCs/>
              </w:rPr>
              <w:t xml:space="preserve">, materiale si umane ale Regiunii Nord Vest, in scopul </w:t>
            </w:r>
            <w:r w:rsidR="00FA480F" w:rsidRPr="008C5F1C">
              <w:rPr>
                <w:rFonts w:ascii="Times New Roman" w:hAnsi="Times New Roman" w:cs="Times New Roman"/>
                <w:b/>
                <w:bCs/>
              </w:rPr>
              <w:t>dezvoltării</w:t>
            </w:r>
            <w:r w:rsidR="003C0338" w:rsidRPr="008C5F1C">
              <w:rPr>
                <w:rFonts w:ascii="Times New Roman" w:hAnsi="Times New Roman" w:cs="Times New Roman"/>
                <w:b/>
                <w:bCs/>
              </w:rPr>
              <w:t xml:space="preserve"> </w:t>
            </w:r>
            <w:r w:rsidR="00FA480F" w:rsidRPr="008C5F1C">
              <w:rPr>
                <w:rFonts w:ascii="Times New Roman" w:hAnsi="Times New Roman" w:cs="Times New Roman"/>
                <w:b/>
                <w:bCs/>
              </w:rPr>
              <w:t>susținute</w:t>
            </w:r>
            <w:r w:rsidR="003C0338" w:rsidRPr="008C5F1C">
              <w:rPr>
                <w:rFonts w:ascii="Times New Roman" w:hAnsi="Times New Roman" w:cs="Times New Roman"/>
                <w:b/>
                <w:bCs/>
              </w:rPr>
              <w:t>, constante care face din Regiunea Nord-Vest una din cele mai dinamice regiuni europene</w:t>
            </w:r>
            <w:r w:rsidR="00FA480F" w:rsidRPr="008C5F1C">
              <w:rPr>
                <w:rFonts w:ascii="Times New Roman" w:hAnsi="Times New Roman" w:cs="Times New Roman"/>
                <w:b/>
                <w:bCs/>
              </w:rPr>
              <w:t>, ajungând in 2030 sa includă o rețea de localități interconectate și inovatoare care folosesc tehnologia pentru facilitarea dezvoltării durabile</w:t>
            </w:r>
            <w:r w:rsidR="003C0338" w:rsidRPr="008C5F1C">
              <w:rPr>
                <w:rFonts w:ascii="Times New Roman" w:hAnsi="Times New Roman" w:cs="Times New Roman"/>
                <w:b/>
                <w:bCs/>
              </w:rPr>
              <w:t>.</w:t>
            </w:r>
          </w:p>
          <w:p w14:paraId="4AD7FF9D" w14:textId="3636101D" w:rsidR="003C0338" w:rsidRPr="008C5F1C" w:rsidRDefault="003C0338" w:rsidP="00F507FB">
            <w:pPr>
              <w:autoSpaceDE w:val="0"/>
              <w:autoSpaceDN w:val="0"/>
              <w:adjustRightInd w:val="0"/>
              <w:spacing w:after="120" w:line="240" w:lineRule="auto"/>
              <w:jc w:val="both"/>
              <w:rPr>
                <w:rFonts w:ascii="Times New Roman" w:hAnsi="Times New Roman" w:cs="Times New Roman"/>
              </w:rPr>
            </w:pPr>
            <w:r w:rsidRPr="008C5F1C">
              <w:rPr>
                <w:rFonts w:ascii="Times New Roman" w:hAnsi="Times New Roman" w:cs="Times New Roman"/>
              </w:rPr>
              <w:t>Obiectivele strategice de dezvoltare pe termen lung</w:t>
            </w:r>
            <w:r w:rsidR="00D91FD7" w:rsidRPr="008C5F1C">
              <w:rPr>
                <w:rFonts w:ascii="Times New Roman" w:hAnsi="Times New Roman" w:cs="Times New Roman"/>
              </w:rPr>
              <w:t xml:space="preserve"> ale Regiunii Nord-Vest </w:t>
            </w:r>
            <w:r w:rsidRPr="008C5F1C">
              <w:rPr>
                <w:rFonts w:ascii="Times New Roman" w:hAnsi="Times New Roman" w:cs="Times New Roman"/>
              </w:rPr>
              <w:t>sunt:</w:t>
            </w:r>
          </w:p>
          <w:p w14:paraId="5B76024D" w14:textId="2959336D" w:rsidR="003C0338" w:rsidRPr="008C5F1C" w:rsidRDefault="003C0338" w:rsidP="003D64F1">
            <w:pPr>
              <w:pStyle w:val="ListParagraph"/>
              <w:numPr>
                <w:ilvl w:val="0"/>
                <w:numId w:val="69"/>
              </w:numPr>
              <w:autoSpaceDE w:val="0"/>
              <w:autoSpaceDN w:val="0"/>
              <w:adjustRightInd w:val="0"/>
              <w:spacing w:before="0" w:line="240" w:lineRule="auto"/>
              <w:ind w:left="306" w:hanging="306"/>
              <w:jc w:val="both"/>
              <w:rPr>
                <w:sz w:val="22"/>
                <w:lang w:val="ro-RO"/>
              </w:rPr>
            </w:pPr>
            <w:r w:rsidRPr="008C5F1C">
              <w:rPr>
                <w:sz w:val="22"/>
                <w:lang w:val="ro-RO"/>
              </w:rPr>
              <w:t xml:space="preserve">Dezvoltarea de </w:t>
            </w:r>
            <w:r w:rsidRPr="008C5F1C">
              <w:rPr>
                <w:b/>
                <w:bCs/>
                <w:sz w:val="22"/>
                <w:lang w:val="ro-RO"/>
              </w:rPr>
              <w:t>avantaje comp</w:t>
            </w:r>
            <w:r w:rsidR="00FA480F" w:rsidRPr="008C5F1C">
              <w:rPr>
                <w:b/>
                <w:bCs/>
                <w:sz w:val="22"/>
                <w:lang w:val="ro-RO"/>
              </w:rPr>
              <w:t>etitive</w:t>
            </w:r>
            <w:r w:rsidRPr="008C5F1C">
              <w:rPr>
                <w:sz w:val="22"/>
                <w:lang w:val="ro-RO"/>
              </w:rPr>
              <w:t xml:space="preserve"> prin </w:t>
            </w:r>
            <w:r w:rsidR="00FA480F" w:rsidRPr="008C5F1C">
              <w:rPr>
                <w:sz w:val="22"/>
                <w:lang w:val="ro-RO"/>
              </w:rPr>
              <w:t>investiții</w:t>
            </w:r>
            <w:r w:rsidRPr="008C5F1C">
              <w:rPr>
                <w:sz w:val="22"/>
                <w:lang w:val="ro-RO"/>
              </w:rPr>
              <w:t xml:space="preserve"> în domeniile de </w:t>
            </w:r>
            <w:r w:rsidRPr="008C5F1C">
              <w:rPr>
                <w:b/>
                <w:bCs/>
                <w:sz w:val="22"/>
                <w:lang w:val="ro-RO"/>
              </w:rPr>
              <w:t>specializare inteligentă</w:t>
            </w:r>
            <w:r w:rsidRPr="008C5F1C">
              <w:rPr>
                <w:sz w:val="22"/>
                <w:lang w:val="ro-RO"/>
              </w:rPr>
              <w:t xml:space="preserve"> ale regiunii</w:t>
            </w:r>
            <w:r w:rsidR="00FA480F" w:rsidRPr="008C5F1C">
              <w:rPr>
                <w:sz w:val="22"/>
                <w:lang w:val="ro-RO"/>
              </w:rPr>
              <w:t>, inclusiv cercetare, dezvoltare si inovare, precum si digitalizare</w:t>
            </w:r>
            <w:r w:rsidRPr="008C5F1C">
              <w:rPr>
                <w:sz w:val="22"/>
                <w:lang w:val="ro-RO"/>
              </w:rPr>
              <w:t>.</w:t>
            </w:r>
          </w:p>
          <w:p w14:paraId="690EDBA9" w14:textId="5E746F8D" w:rsidR="00D91FD7" w:rsidRPr="008C5F1C" w:rsidRDefault="00FA480F" w:rsidP="003D64F1">
            <w:pPr>
              <w:pStyle w:val="ListParagraph"/>
              <w:numPr>
                <w:ilvl w:val="0"/>
                <w:numId w:val="69"/>
              </w:numPr>
              <w:autoSpaceDE w:val="0"/>
              <w:autoSpaceDN w:val="0"/>
              <w:adjustRightInd w:val="0"/>
              <w:spacing w:before="0" w:line="240" w:lineRule="auto"/>
              <w:ind w:left="306" w:hanging="306"/>
              <w:jc w:val="both"/>
              <w:rPr>
                <w:sz w:val="22"/>
                <w:lang w:val="ro-RO"/>
              </w:rPr>
            </w:pPr>
            <w:r w:rsidRPr="008C5F1C">
              <w:rPr>
                <w:sz w:val="22"/>
                <w:lang w:val="ro-RO"/>
              </w:rPr>
              <w:t xml:space="preserve">Dezvoltarea unei </w:t>
            </w:r>
            <w:r w:rsidRPr="008C5F1C">
              <w:rPr>
                <w:b/>
                <w:bCs/>
                <w:sz w:val="22"/>
                <w:lang w:val="ro-RO"/>
              </w:rPr>
              <w:t xml:space="preserve">rețele digitale de localități </w:t>
            </w:r>
            <w:r w:rsidRPr="008C5F1C">
              <w:rPr>
                <w:sz w:val="22"/>
                <w:lang w:val="ro-RO"/>
              </w:rPr>
              <w:t xml:space="preserve">formată din centre regionale, județene, micro-regionale și locale </w:t>
            </w:r>
            <w:r w:rsidRPr="008C5F1C">
              <w:rPr>
                <w:b/>
                <w:bCs/>
                <w:sz w:val="22"/>
                <w:lang w:val="ro-RO"/>
              </w:rPr>
              <w:t>de inovare și orașe specializate în funcție de potențial</w:t>
            </w:r>
            <w:r w:rsidRPr="008C5F1C">
              <w:rPr>
                <w:sz w:val="22"/>
                <w:lang w:val="ro-RO"/>
              </w:rPr>
              <w:t>: turism, energie - mediu, calitatea locuirii, educație etc.</w:t>
            </w:r>
          </w:p>
          <w:p w14:paraId="122A76BB" w14:textId="7D15B516" w:rsidR="00D91FD7" w:rsidRPr="008C5F1C" w:rsidRDefault="00D91FD7" w:rsidP="003D64F1">
            <w:pPr>
              <w:pStyle w:val="ListParagraph"/>
              <w:numPr>
                <w:ilvl w:val="0"/>
                <w:numId w:val="69"/>
              </w:numPr>
              <w:autoSpaceDE w:val="0"/>
              <w:autoSpaceDN w:val="0"/>
              <w:adjustRightInd w:val="0"/>
              <w:spacing w:before="0" w:line="240" w:lineRule="auto"/>
              <w:ind w:left="306" w:hanging="306"/>
              <w:jc w:val="both"/>
              <w:rPr>
                <w:sz w:val="22"/>
                <w:lang w:val="ro-RO"/>
              </w:rPr>
            </w:pPr>
            <w:r w:rsidRPr="008C5F1C">
              <w:rPr>
                <w:sz w:val="22"/>
                <w:lang w:val="ro-RO"/>
              </w:rPr>
              <w:t xml:space="preserve">Asigurarea unei </w:t>
            </w:r>
            <w:r w:rsidRPr="008C5F1C">
              <w:rPr>
                <w:b/>
                <w:bCs/>
                <w:sz w:val="22"/>
                <w:lang w:val="ro-RO"/>
              </w:rPr>
              <w:t>dezvoltări durabile</w:t>
            </w:r>
            <w:r w:rsidRPr="008C5F1C">
              <w:rPr>
                <w:sz w:val="22"/>
                <w:lang w:val="ro-RO"/>
              </w:rPr>
              <w:t xml:space="preserve"> a regiunii prin promovarea eficienței energetice, regenerarea zonelor urbane </w:t>
            </w:r>
            <w:proofErr w:type="spellStart"/>
            <w:r w:rsidRPr="008C5F1C">
              <w:rPr>
                <w:sz w:val="22"/>
                <w:lang w:val="ro-RO"/>
              </w:rPr>
              <w:t>şi</w:t>
            </w:r>
            <w:proofErr w:type="spellEnd"/>
            <w:r w:rsidRPr="008C5F1C">
              <w:rPr>
                <w:sz w:val="22"/>
                <w:lang w:val="ro-RO"/>
              </w:rPr>
              <w:t xml:space="preserve"> a terenurilor degradate </w:t>
            </w:r>
            <w:proofErr w:type="spellStart"/>
            <w:r w:rsidRPr="008C5F1C">
              <w:rPr>
                <w:sz w:val="22"/>
                <w:lang w:val="ro-RO"/>
              </w:rPr>
              <w:t>şi</w:t>
            </w:r>
            <w:proofErr w:type="spellEnd"/>
            <w:r w:rsidRPr="008C5F1C">
              <w:rPr>
                <w:sz w:val="22"/>
                <w:lang w:val="ro-RO"/>
              </w:rPr>
              <w:t xml:space="preserve"> dezvoltarea mobilității urbane durabile</w:t>
            </w:r>
          </w:p>
          <w:p w14:paraId="62E55669" w14:textId="6FB8309E" w:rsidR="00D91FD7" w:rsidRPr="008C5F1C" w:rsidRDefault="00D91FD7" w:rsidP="003D64F1">
            <w:pPr>
              <w:pStyle w:val="ListParagraph"/>
              <w:numPr>
                <w:ilvl w:val="0"/>
                <w:numId w:val="69"/>
              </w:numPr>
              <w:autoSpaceDE w:val="0"/>
              <w:autoSpaceDN w:val="0"/>
              <w:adjustRightInd w:val="0"/>
              <w:spacing w:before="0" w:line="240" w:lineRule="auto"/>
              <w:ind w:left="306" w:hanging="306"/>
              <w:jc w:val="both"/>
              <w:rPr>
                <w:sz w:val="22"/>
                <w:lang w:val="ro-RO"/>
              </w:rPr>
            </w:pPr>
            <w:r w:rsidRPr="008C5F1C">
              <w:rPr>
                <w:sz w:val="22"/>
                <w:lang w:val="ro-RO"/>
              </w:rPr>
              <w:t xml:space="preserve">Creșterea </w:t>
            </w:r>
            <w:r w:rsidRPr="008C5F1C">
              <w:rPr>
                <w:b/>
                <w:bCs/>
                <w:sz w:val="22"/>
                <w:lang w:val="ro-RO"/>
              </w:rPr>
              <w:t>conectivității regionale</w:t>
            </w:r>
            <w:r w:rsidRPr="008C5F1C">
              <w:rPr>
                <w:sz w:val="22"/>
                <w:lang w:val="ro-RO"/>
              </w:rPr>
              <w:t xml:space="preserve"> prin sprijinirea dezvoltării și modernizării drumurilor județene și locale</w:t>
            </w:r>
          </w:p>
          <w:p w14:paraId="280AEDE7" w14:textId="70333240" w:rsidR="003C0338" w:rsidRPr="008C5F1C" w:rsidRDefault="00D91FD7" w:rsidP="003D64F1">
            <w:pPr>
              <w:pStyle w:val="ListParagraph"/>
              <w:numPr>
                <w:ilvl w:val="0"/>
                <w:numId w:val="69"/>
              </w:numPr>
              <w:autoSpaceDE w:val="0"/>
              <w:autoSpaceDN w:val="0"/>
              <w:adjustRightInd w:val="0"/>
              <w:spacing w:before="0" w:line="240" w:lineRule="auto"/>
              <w:ind w:left="306" w:hanging="306"/>
              <w:jc w:val="both"/>
              <w:rPr>
                <w:sz w:val="22"/>
                <w:lang w:val="ro-RO"/>
              </w:rPr>
            </w:pPr>
            <w:r w:rsidRPr="008C5F1C">
              <w:rPr>
                <w:sz w:val="22"/>
                <w:lang w:val="ro-RO"/>
              </w:rPr>
              <w:t xml:space="preserve">Îmbunătățirea accesului la </w:t>
            </w:r>
            <w:r w:rsidRPr="008C5F1C">
              <w:rPr>
                <w:b/>
                <w:bCs/>
                <w:sz w:val="22"/>
                <w:lang w:val="ro-RO"/>
              </w:rPr>
              <w:t>educație,</w:t>
            </w:r>
            <w:r w:rsidRPr="008C5F1C">
              <w:rPr>
                <w:sz w:val="22"/>
                <w:lang w:val="ro-RO"/>
              </w:rPr>
              <w:t xml:space="preserve"> formare profesională și învățământ terțiar prin dezvoltarea infrastructurii educaționale de bază, a celei din învățământul profesional și tehnic si de la nivelul universităților </w:t>
            </w:r>
          </w:p>
          <w:p w14:paraId="2C330EC7" w14:textId="2B9CDAB8" w:rsidR="003C0338" w:rsidRPr="008C5F1C" w:rsidRDefault="00D91FD7" w:rsidP="003D64F1">
            <w:pPr>
              <w:pStyle w:val="ListParagraph"/>
              <w:numPr>
                <w:ilvl w:val="0"/>
                <w:numId w:val="69"/>
              </w:numPr>
              <w:autoSpaceDE w:val="0"/>
              <w:autoSpaceDN w:val="0"/>
              <w:adjustRightInd w:val="0"/>
              <w:spacing w:before="0" w:line="240" w:lineRule="auto"/>
              <w:ind w:left="306" w:hanging="306"/>
              <w:jc w:val="both"/>
              <w:rPr>
                <w:sz w:val="22"/>
                <w:lang w:val="ro-RO"/>
              </w:rPr>
            </w:pPr>
            <w:r w:rsidRPr="008C5F1C">
              <w:rPr>
                <w:sz w:val="22"/>
                <w:lang w:val="ro-RO"/>
              </w:rPr>
              <w:t xml:space="preserve">Susținerea </w:t>
            </w:r>
            <w:r w:rsidRPr="008C5F1C">
              <w:rPr>
                <w:b/>
                <w:bCs/>
                <w:sz w:val="22"/>
                <w:lang w:val="ro-RO"/>
              </w:rPr>
              <w:t xml:space="preserve">turismului </w:t>
            </w:r>
            <w:r w:rsidRPr="008C5F1C">
              <w:rPr>
                <w:sz w:val="22"/>
                <w:lang w:val="ro-RO"/>
              </w:rPr>
              <w:t>prin investiții in protejarea patrimoniului cultural, natural si investițiilor in infrastructurile de turism din zonele cu potențial turistic ridicat, inclusiv a turismului balnear</w:t>
            </w:r>
          </w:p>
          <w:p w14:paraId="486CC96C" w14:textId="3D8F5C1B" w:rsidR="002748BD" w:rsidRPr="008C5F1C" w:rsidRDefault="002748BD" w:rsidP="00F507FB">
            <w:pPr>
              <w:keepNext/>
              <w:spacing w:after="120" w:line="240" w:lineRule="auto"/>
              <w:jc w:val="both"/>
              <w:rPr>
                <w:rFonts w:ascii="Times New Roman" w:hAnsi="Times New Roman" w:cs="Times New Roman"/>
                <w:i/>
                <w:iCs/>
                <w:sz w:val="24"/>
                <w:szCs w:val="24"/>
              </w:rPr>
            </w:pPr>
            <w:r w:rsidRPr="008C5F1C">
              <w:rPr>
                <w:rFonts w:ascii="Times New Roman" w:hAnsi="Times New Roman" w:cs="Times New Roman"/>
                <w:i/>
                <w:iCs/>
                <w:sz w:val="24"/>
                <w:szCs w:val="24"/>
              </w:rPr>
              <w:t>Profil.</w:t>
            </w:r>
            <w:r w:rsidR="004A1F23" w:rsidRPr="008C5F1C">
              <w:rPr>
                <w:rFonts w:ascii="Times New Roman" w:hAnsi="Times New Roman" w:cs="Times New Roman"/>
                <w:i/>
                <w:iCs/>
                <w:sz w:val="24"/>
                <w:szCs w:val="24"/>
              </w:rPr>
              <w:t xml:space="preserve"> Provocări sectoriale.</w:t>
            </w:r>
            <w:r w:rsidRPr="008C5F1C">
              <w:rPr>
                <w:rFonts w:ascii="Times New Roman" w:hAnsi="Times New Roman" w:cs="Times New Roman"/>
                <w:i/>
                <w:iCs/>
                <w:sz w:val="24"/>
                <w:szCs w:val="24"/>
              </w:rPr>
              <w:t xml:space="preserve"> Disparită</w:t>
            </w:r>
            <w:r w:rsidR="00E22FF2" w:rsidRPr="008C5F1C">
              <w:rPr>
                <w:rFonts w:ascii="Times New Roman" w:hAnsi="Times New Roman" w:cs="Times New Roman"/>
                <w:i/>
                <w:iCs/>
                <w:sz w:val="24"/>
                <w:szCs w:val="24"/>
              </w:rPr>
              <w:t>ț</w:t>
            </w:r>
            <w:r w:rsidRPr="008C5F1C">
              <w:rPr>
                <w:rFonts w:ascii="Times New Roman" w:hAnsi="Times New Roman" w:cs="Times New Roman"/>
                <w:i/>
                <w:iCs/>
                <w:sz w:val="24"/>
                <w:szCs w:val="24"/>
              </w:rPr>
              <w:t>i inter și intra-regionale</w:t>
            </w:r>
          </w:p>
          <w:p w14:paraId="3FA302EE" w14:textId="77777777" w:rsidR="00A5158D" w:rsidRPr="008C5F1C" w:rsidRDefault="00A5158D" w:rsidP="0045307C">
            <w:pPr>
              <w:spacing w:after="120" w:line="240" w:lineRule="auto"/>
              <w:jc w:val="both"/>
              <w:rPr>
                <w:rFonts w:ascii="Times New Roman" w:hAnsi="Times New Roman" w:cs="Times New Roman"/>
              </w:rPr>
            </w:pPr>
            <w:r w:rsidRPr="008C5F1C">
              <w:rPr>
                <w:rFonts w:ascii="Times New Roman" w:hAnsi="Times New Roman" w:cs="Times New Roman"/>
                <w:b/>
                <w:bCs/>
              </w:rPr>
              <w:t>Având valori ale PIB/locuitor de numai 61%</w:t>
            </w:r>
            <w:r w:rsidRPr="008C5F1C">
              <w:rPr>
                <w:rStyle w:val="FootnoteReference"/>
                <w:rFonts w:ascii="Times New Roman" w:hAnsi="Times New Roman" w:cs="Times New Roman"/>
                <w:bCs/>
              </w:rPr>
              <w:footnoteReference w:id="2"/>
            </w:r>
            <w:r w:rsidRPr="008C5F1C">
              <w:rPr>
                <w:rFonts w:ascii="Times New Roman" w:hAnsi="Times New Roman" w:cs="Times New Roman"/>
                <w:b/>
                <w:bCs/>
              </w:rPr>
              <w:t xml:space="preserve"> față de media UE (PPS), regiunea este încadrată în categoria celor mai puțin dezvoltate</w:t>
            </w:r>
            <w:r w:rsidRPr="008C5F1C">
              <w:rPr>
                <w:rStyle w:val="FootnoteReference"/>
                <w:rFonts w:ascii="Times New Roman" w:hAnsi="Times New Roman" w:cs="Times New Roman"/>
                <w:bCs/>
              </w:rPr>
              <w:footnoteReference w:id="3"/>
            </w:r>
            <w:r w:rsidRPr="008C5F1C">
              <w:rPr>
                <w:rFonts w:ascii="Times New Roman" w:hAnsi="Times New Roman" w:cs="Times New Roman"/>
                <w:b/>
                <w:bCs/>
              </w:rPr>
              <w:t xml:space="preserve">,  clasându-se pe ultimele locuri în UE (246/268) din punct de vedere </w:t>
            </w:r>
            <w:r w:rsidRPr="008C5F1C">
              <w:rPr>
                <w:rFonts w:ascii="Times New Roman" w:hAnsi="Times New Roman" w:cs="Times New Roman"/>
                <w:b/>
                <w:bCs/>
              </w:rPr>
              <w:lastRenderedPageBreak/>
              <w:t>al competitivității regionale</w:t>
            </w:r>
            <w:r w:rsidRPr="008C5F1C">
              <w:rPr>
                <w:rStyle w:val="FootnoteReference"/>
                <w:rFonts w:ascii="Times New Roman" w:hAnsi="Times New Roman" w:cs="Times New Roman"/>
                <w:bCs/>
              </w:rPr>
              <w:footnoteReference w:id="4"/>
            </w:r>
            <w:r w:rsidRPr="008C5F1C">
              <w:rPr>
                <w:rFonts w:ascii="Times New Roman" w:hAnsi="Times New Roman" w:cs="Times New Roman"/>
                <w:b/>
                <w:bCs/>
              </w:rPr>
              <w:t xml:space="preserve">. </w:t>
            </w:r>
            <w:r w:rsidRPr="008C5F1C">
              <w:rPr>
                <w:rFonts w:ascii="Times New Roman" w:hAnsi="Times New Roman" w:cs="Times New Roman"/>
              </w:rPr>
              <w:t>Economia regiunii contribuie cu aproximativ 12% la PIB național, având o creștere ușor superioară mediei naționale între 2010-2018</w:t>
            </w:r>
            <w:r w:rsidRPr="008C5F1C">
              <w:rPr>
                <w:rStyle w:val="FootnoteReference"/>
                <w:rFonts w:ascii="Times New Roman" w:hAnsi="Times New Roman" w:cs="Times New Roman"/>
              </w:rPr>
              <w:footnoteReference w:id="5"/>
            </w:r>
            <w:r w:rsidRPr="008C5F1C">
              <w:rPr>
                <w:rFonts w:ascii="Times New Roman" w:hAnsi="Times New Roman" w:cs="Times New Roman"/>
              </w:rPr>
              <w:t>, fiind avantajată de cele mai mari densități de companii în domeniile IT și industrii creative, după capitală</w:t>
            </w:r>
            <w:r w:rsidRPr="008C5F1C">
              <w:rPr>
                <w:rStyle w:val="FootnoteReference"/>
                <w:rFonts w:ascii="Times New Roman" w:hAnsi="Times New Roman" w:cs="Times New Roman"/>
              </w:rPr>
              <w:footnoteReference w:id="6"/>
            </w:r>
            <w:r w:rsidRPr="008C5F1C">
              <w:rPr>
                <w:rFonts w:ascii="Times New Roman" w:hAnsi="Times New Roman" w:cs="Times New Roman"/>
              </w:rPr>
              <w:t xml:space="preserve">. Principalele provocări regionale sunt legate mai ales de calitatea și densitatea infrastructurii, nivelul scăzut de sofisticare a afacerilor și de nivelul scăzut de inovare. Ca avantaje, se pot menționa eficiența pieței muncii, dimensiunea pieței și, într-o mai mică măsură, nivelul de adecvare tehnologică </w:t>
            </w:r>
            <w:r w:rsidRPr="008C5F1C">
              <w:rPr>
                <w:rFonts w:ascii="Times New Roman" w:hAnsi="Times New Roman" w:cs="Times New Roman"/>
                <w:i/>
                <w:iCs/>
              </w:rPr>
              <w:t>(</w:t>
            </w:r>
            <w:proofErr w:type="spellStart"/>
            <w:r w:rsidRPr="008C5F1C">
              <w:rPr>
                <w:rFonts w:ascii="Times New Roman" w:hAnsi="Times New Roman" w:cs="Times New Roman"/>
                <w:i/>
                <w:iCs/>
              </w:rPr>
              <w:t>technological</w:t>
            </w:r>
            <w:proofErr w:type="spellEnd"/>
            <w:r w:rsidRPr="008C5F1C">
              <w:rPr>
                <w:rFonts w:ascii="Times New Roman" w:hAnsi="Times New Roman" w:cs="Times New Roman"/>
                <w:i/>
                <w:iCs/>
              </w:rPr>
              <w:t xml:space="preserve"> </w:t>
            </w:r>
            <w:proofErr w:type="spellStart"/>
            <w:r w:rsidRPr="008C5F1C">
              <w:rPr>
                <w:rFonts w:ascii="Times New Roman" w:hAnsi="Times New Roman" w:cs="Times New Roman"/>
                <w:i/>
                <w:iCs/>
              </w:rPr>
              <w:t>readiness</w:t>
            </w:r>
            <w:proofErr w:type="spellEnd"/>
            <w:r w:rsidRPr="008C5F1C">
              <w:rPr>
                <w:rFonts w:ascii="Times New Roman" w:hAnsi="Times New Roman" w:cs="Times New Roman"/>
                <w:i/>
                <w:iCs/>
              </w:rPr>
              <w:t>)</w:t>
            </w:r>
            <w:r w:rsidRPr="008C5F1C">
              <w:rPr>
                <w:rFonts w:ascii="Times New Roman" w:hAnsi="Times New Roman" w:cs="Times New Roman"/>
              </w:rPr>
              <w:t xml:space="preserve">. </w:t>
            </w:r>
          </w:p>
          <w:p w14:paraId="10780024" w14:textId="394261C6" w:rsidR="00974015" w:rsidRPr="008C5F1C" w:rsidRDefault="00DF4BBB" w:rsidP="00C2180E">
            <w:pPr>
              <w:spacing w:after="120" w:line="240" w:lineRule="auto"/>
              <w:jc w:val="both"/>
              <w:rPr>
                <w:rFonts w:ascii="Times New Roman" w:hAnsi="Times New Roman" w:cs="Times New Roman"/>
              </w:rPr>
            </w:pPr>
            <w:r w:rsidRPr="008C5F1C">
              <w:rPr>
                <w:rFonts w:ascii="Times New Roman" w:hAnsi="Times New Roman" w:cs="Times New Roman"/>
                <w:b/>
                <w:bCs/>
              </w:rPr>
              <w:t>R</w:t>
            </w:r>
            <w:r w:rsidR="00450615" w:rsidRPr="008C5F1C">
              <w:rPr>
                <w:rFonts w:ascii="Times New Roman" w:hAnsi="Times New Roman" w:cs="Times New Roman"/>
                <w:b/>
                <w:bCs/>
              </w:rPr>
              <w:t>egiunea se</w:t>
            </w:r>
            <w:r w:rsidR="00450615" w:rsidRPr="008C5F1C" w:rsidDel="00564606">
              <w:rPr>
                <w:rFonts w:ascii="Times New Roman" w:hAnsi="Times New Roman" w:cs="Times New Roman"/>
                <w:b/>
                <w:bCs/>
              </w:rPr>
              <w:t xml:space="preserve"> </w:t>
            </w:r>
            <w:r w:rsidR="00450615" w:rsidRPr="008C5F1C">
              <w:rPr>
                <w:rFonts w:ascii="Times New Roman" w:hAnsi="Times New Roman" w:cs="Times New Roman"/>
                <w:b/>
                <w:bCs/>
              </w:rPr>
              <w:t>confruntă cu disparită</w:t>
            </w:r>
            <w:r w:rsidR="00E22FF2" w:rsidRPr="008C5F1C">
              <w:rPr>
                <w:rFonts w:ascii="Times New Roman" w:hAnsi="Times New Roman" w:cs="Times New Roman"/>
                <w:b/>
                <w:bCs/>
              </w:rPr>
              <w:t>ț</w:t>
            </w:r>
            <w:r w:rsidR="00450615" w:rsidRPr="008C5F1C">
              <w:rPr>
                <w:rFonts w:ascii="Times New Roman" w:hAnsi="Times New Roman" w:cs="Times New Roman"/>
                <w:b/>
                <w:bCs/>
              </w:rPr>
              <w:t>i intra-regionale semnificative.</w:t>
            </w:r>
            <w:r w:rsidR="00450615" w:rsidRPr="008C5F1C">
              <w:rPr>
                <w:rFonts w:ascii="Times New Roman" w:hAnsi="Times New Roman" w:cs="Times New Roman"/>
              </w:rPr>
              <w:t xml:space="preserve"> </w:t>
            </w:r>
            <w:r w:rsidR="00974015" w:rsidRPr="008C5F1C">
              <w:rPr>
                <w:rFonts w:ascii="Times New Roman" w:hAnsi="Times New Roman" w:cs="Times New Roman"/>
              </w:rPr>
              <w:t>Jude</w:t>
            </w:r>
            <w:r w:rsidR="00E22FF2" w:rsidRPr="008C5F1C">
              <w:rPr>
                <w:rFonts w:ascii="Times New Roman" w:hAnsi="Times New Roman" w:cs="Times New Roman"/>
              </w:rPr>
              <w:t>ț</w:t>
            </w:r>
            <w:r w:rsidR="00974015" w:rsidRPr="008C5F1C">
              <w:rPr>
                <w:rFonts w:ascii="Times New Roman" w:hAnsi="Times New Roman" w:cs="Times New Roman"/>
              </w:rPr>
              <w:t xml:space="preserve">ul Cluj </w:t>
            </w:r>
            <w:r w:rsidR="00AA5D45" w:rsidRPr="008C5F1C">
              <w:rPr>
                <w:rFonts w:ascii="Times New Roman" w:hAnsi="Times New Roman" w:cs="Times New Roman"/>
              </w:rPr>
              <w:t xml:space="preserve">contribuie cu 41% la PIB regional  </w:t>
            </w:r>
            <w:r w:rsidR="00106240" w:rsidRPr="008C5F1C">
              <w:rPr>
                <w:rFonts w:ascii="Times New Roman" w:hAnsi="Times New Roman" w:cs="Times New Roman"/>
              </w:rPr>
              <w:t>ș</w:t>
            </w:r>
            <w:r w:rsidR="00AA5D45" w:rsidRPr="008C5F1C">
              <w:rPr>
                <w:rFonts w:ascii="Times New Roman" w:hAnsi="Times New Roman" w:cs="Times New Roman"/>
              </w:rPr>
              <w:t xml:space="preserve">i atrage cea mai mare parte a ISD (aprox. 40%) </w:t>
            </w:r>
            <w:r w:rsidR="00106240" w:rsidRPr="008C5F1C">
              <w:rPr>
                <w:rFonts w:ascii="Times New Roman" w:hAnsi="Times New Roman" w:cs="Times New Roman"/>
              </w:rPr>
              <w:t>ș</w:t>
            </w:r>
            <w:r w:rsidR="00AA5D45" w:rsidRPr="008C5F1C">
              <w:rPr>
                <w:rFonts w:ascii="Times New Roman" w:hAnsi="Times New Roman" w:cs="Times New Roman"/>
              </w:rPr>
              <w:t>i a resurselor de muncă (29%)</w:t>
            </w:r>
            <w:r w:rsidR="00F13A8D" w:rsidRPr="008C5F1C">
              <w:rPr>
                <w:rFonts w:ascii="Times New Roman" w:hAnsi="Times New Roman" w:cs="Times New Roman"/>
              </w:rPr>
              <w:t>.</w:t>
            </w:r>
            <w:r w:rsidR="00974015" w:rsidRPr="008C5F1C">
              <w:rPr>
                <w:rFonts w:ascii="Times New Roman" w:hAnsi="Times New Roman" w:cs="Times New Roman"/>
              </w:rPr>
              <w:t xml:space="preserve"> Următoarele jude</w:t>
            </w:r>
            <w:r w:rsidR="00E22FF2" w:rsidRPr="008C5F1C">
              <w:rPr>
                <w:rFonts w:ascii="Times New Roman" w:hAnsi="Times New Roman" w:cs="Times New Roman"/>
              </w:rPr>
              <w:t>ț</w:t>
            </w:r>
            <w:r w:rsidR="00974015" w:rsidRPr="008C5F1C">
              <w:rPr>
                <w:rFonts w:ascii="Times New Roman" w:hAnsi="Times New Roman" w:cs="Times New Roman"/>
              </w:rPr>
              <w:t xml:space="preserve">e, ca nivel de dezvoltare, sunt Bihor </w:t>
            </w:r>
            <w:r w:rsidR="00106240" w:rsidRPr="008C5F1C">
              <w:rPr>
                <w:rFonts w:ascii="Times New Roman" w:hAnsi="Times New Roman" w:cs="Times New Roman"/>
              </w:rPr>
              <w:t>ș</w:t>
            </w:r>
            <w:r w:rsidR="00974015" w:rsidRPr="008C5F1C">
              <w:rPr>
                <w:rFonts w:ascii="Times New Roman" w:hAnsi="Times New Roman" w:cs="Times New Roman"/>
              </w:rPr>
              <w:t>i Maramure</w:t>
            </w:r>
            <w:r w:rsidR="00106240" w:rsidRPr="008C5F1C">
              <w:rPr>
                <w:rFonts w:ascii="Times New Roman" w:hAnsi="Times New Roman" w:cs="Times New Roman"/>
              </w:rPr>
              <w:t>ș</w:t>
            </w:r>
            <w:r w:rsidR="00974015" w:rsidRPr="008C5F1C">
              <w:rPr>
                <w:rFonts w:ascii="Times New Roman" w:hAnsi="Times New Roman" w:cs="Times New Roman"/>
              </w:rPr>
              <w:t xml:space="preserve">, care contribuie la PIB regional cu 19%, respectiv 15% </w:t>
            </w:r>
            <w:r w:rsidR="00106240" w:rsidRPr="008C5F1C">
              <w:rPr>
                <w:rFonts w:ascii="Times New Roman" w:hAnsi="Times New Roman" w:cs="Times New Roman"/>
              </w:rPr>
              <w:t>ș</w:t>
            </w:r>
            <w:r w:rsidR="00974015" w:rsidRPr="008C5F1C">
              <w:rPr>
                <w:rFonts w:ascii="Times New Roman" w:hAnsi="Times New Roman" w:cs="Times New Roman"/>
              </w:rPr>
              <w:t>i de</w:t>
            </w:r>
            <w:r w:rsidR="00E22FF2" w:rsidRPr="008C5F1C">
              <w:rPr>
                <w:rFonts w:ascii="Times New Roman" w:hAnsi="Times New Roman" w:cs="Times New Roman"/>
              </w:rPr>
              <w:t>ț</w:t>
            </w:r>
            <w:r w:rsidR="00974015" w:rsidRPr="008C5F1C">
              <w:rPr>
                <w:rFonts w:ascii="Times New Roman" w:hAnsi="Times New Roman" w:cs="Times New Roman"/>
              </w:rPr>
              <w:t>in 22%, respectiv 18% din resursele de muncă. La polul opus, numeroase zone rămân în afara fluxurilor economice, mai ales în Satu-Mare, Bistri</w:t>
            </w:r>
            <w:r w:rsidR="00E22FF2" w:rsidRPr="008C5F1C">
              <w:rPr>
                <w:rFonts w:ascii="Times New Roman" w:hAnsi="Times New Roman" w:cs="Times New Roman"/>
              </w:rPr>
              <w:t>ț</w:t>
            </w:r>
            <w:r w:rsidR="00974015" w:rsidRPr="008C5F1C">
              <w:rPr>
                <w:rFonts w:ascii="Times New Roman" w:hAnsi="Times New Roman" w:cs="Times New Roman"/>
              </w:rPr>
              <w:t xml:space="preserve">a-Năsăud </w:t>
            </w:r>
            <w:r w:rsidR="00106240" w:rsidRPr="008C5F1C">
              <w:rPr>
                <w:rFonts w:ascii="Times New Roman" w:hAnsi="Times New Roman" w:cs="Times New Roman"/>
              </w:rPr>
              <w:t>ș</w:t>
            </w:r>
            <w:r w:rsidR="00974015" w:rsidRPr="008C5F1C">
              <w:rPr>
                <w:rFonts w:ascii="Times New Roman" w:hAnsi="Times New Roman" w:cs="Times New Roman"/>
              </w:rPr>
              <w:t>i Sălaj. Împreună, aceste</w:t>
            </w:r>
            <w:r w:rsidR="000069B4" w:rsidRPr="008C5F1C">
              <w:rPr>
                <w:rFonts w:ascii="Times New Roman" w:hAnsi="Times New Roman" w:cs="Times New Roman"/>
              </w:rPr>
              <w:t>a</w:t>
            </w:r>
            <w:r w:rsidR="00974015" w:rsidRPr="008C5F1C">
              <w:rPr>
                <w:rFonts w:ascii="Times New Roman" w:hAnsi="Times New Roman" w:cs="Times New Roman"/>
              </w:rPr>
              <w:t xml:space="preserve"> contribuie cu numai 26% la PIB regional </w:t>
            </w:r>
            <w:r w:rsidR="00106240" w:rsidRPr="008C5F1C">
              <w:rPr>
                <w:rFonts w:ascii="Times New Roman" w:hAnsi="Times New Roman" w:cs="Times New Roman"/>
              </w:rPr>
              <w:t>ș</w:t>
            </w:r>
            <w:r w:rsidR="00974015" w:rsidRPr="008C5F1C">
              <w:rPr>
                <w:rFonts w:ascii="Times New Roman" w:hAnsi="Times New Roman" w:cs="Times New Roman"/>
              </w:rPr>
              <w:t>i de</w:t>
            </w:r>
            <w:r w:rsidR="00E22FF2" w:rsidRPr="008C5F1C">
              <w:rPr>
                <w:rFonts w:ascii="Times New Roman" w:hAnsi="Times New Roman" w:cs="Times New Roman"/>
              </w:rPr>
              <w:t>ț</w:t>
            </w:r>
            <w:r w:rsidR="00974015" w:rsidRPr="008C5F1C">
              <w:rPr>
                <w:rFonts w:ascii="Times New Roman" w:hAnsi="Times New Roman" w:cs="Times New Roman"/>
              </w:rPr>
              <w:t xml:space="preserve">in 32% din resursele de muncă, defavorizate fiind de conectivitatea redusă, accesul slab la servicii publice </w:t>
            </w:r>
            <w:r w:rsidR="00106240" w:rsidRPr="008C5F1C">
              <w:rPr>
                <w:rFonts w:ascii="Times New Roman" w:hAnsi="Times New Roman" w:cs="Times New Roman"/>
              </w:rPr>
              <w:t>ș</w:t>
            </w:r>
            <w:r w:rsidR="00974015" w:rsidRPr="008C5F1C">
              <w:rPr>
                <w:rFonts w:ascii="Times New Roman" w:hAnsi="Times New Roman" w:cs="Times New Roman"/>
              </w:rPr>
              <w:t xml:space="preserve">i calitatea slabă a mediului de locuit. </w:t>
            </w:r>
            <w:r w:rsidR="00F13A8D" w:rsidRPr="008C5F1C">
              <w:rPr>
                <w:rFonts w:ascii="Times New Roman" w:hAnsi="Times New Roman" w:cs="Times New Roman"/>
              </w:rPr>
              <w:t>Dispersia ratelor de ocupare la nivel județean (20% în 2018</w:t>
            </w:r>
            <w:r w:rsidR="00F13A8D" w:rsidRPr="008C5F1C">
              <w:rPr>
                <w:rStyle w:val="FootnoteReference"/>
                <w:rFonts w:ascii="Times New Roman" w:hAnsi="Times New Roman" w:cs="Times New Roman"/>
              </w:rPr>
              <w:footnoteReference w:id="7"/>
            </w:r>
            <w:r w:rsidR="00F13A8D" w:rsidRPr="008C5F1C">
              <w:rPr>
                <w:rFonts w:ascii="Times New Roman" w:hAnsi="Times New Roman" w:cs="Times New Roman"/>
              </w:rPr>
              <w:t>) este una dintre cele mai ridicate din UE, confirmând disparitățile ridicate intra-regionale.</w:t>
            </w:r>
          </w:p>
          <w:p w14:paraId="66AA18A0" w14:textId="1A2A214F" w:rsidR="001E4ADF" w:rsidRPr="008C5F1C" w:rsidRDefault="00BA2484">
            <w:pPr>
              <w:spacing w:after="120" w:line="240" w:lineRule="auto"/>
              <w:jc w:val="both"/>
              <w:rPr>
                <w:rFonts w:ascii="Times New Roman" w:hAnsi="Times New Roman" w:cs="Times New Roman"/>
              </w:rPr>
            </w:pPr>
            <w:r w:rsidRPr="008C5F1C">
              <w:rPr>
                <w:rFonts w:ascii="Times New Roman" w:hAnsi="Times New Roman" w:cs="Times New Roman"/>
                <w:b/>
                <w:bCs/>
              </w:rPr>
              <w:t>A</w:t>
            </w:r>
            <w:r w:rsidR="00F2343D" w:rsidRPr="008C5F1C">
              <w:rPr>
                <w:rFonts w:ascii="Times New Roman" w:hAnsi="Times New Roman" w:cs="Times New Roman"/>
                <w:b/>
                <w:bCs/>
              </w:rPr>
              <w:t>ctivitatea economică este concentrată în jurul centrelor urbane principale.</w:t>
            </w:r>
            <w:r w:rsidR="00F2343D" w:rsidRPr="008C5F1C">
              <w:rPr>
                <w:rFonts w:ascii="Times New Roman" w:hAnsi="Times New Roman" w:cs="Times New Roman"/>
              </w:rPr>
              <w:t xml:space="preserve"> Cele 6 reședințe de județ cumulează 78,08% din locurile de muncă și 81,08% din agenții economici, restul fiind distribuite în </w:t>
            </w:r>
            <w:r w:rsidR="007B04C9" w:rsidRPr="008C5F1C">
              <w:rPr>
                <w:rFonts w:ascii="Times New Roman" w:hAnsi="Times New Roman" w:cs="Times New Roman"/>
              </w:rPr>
              <w:t xml:space="preserve">celelalte 9 municipii, </w:t>
            </w:r>
            <w:r w:rsidR="00F2343D" w:rsidRPr="008C5F1C">
              <w:rPr>
                <w:rFonts w:ascii="Times New Roman" w:hAnsi="Times New Roman" w:cs="Times New Roman"/>
              </w:rPr>
              <w:t xml:space="preserve">28 de orașe și 408 comune. </w:t>
            </w:r>
            <w:r w:rsidR="001E4ADF" w:rsidRPr="008C5F1C">
              <w:rPr>
                <w:rFonts w:ascii="Times New Roman" w:hAnsi="Times New Roman" w:cs="Times New Roman"/>
              </w:rPr>
              <w:t>Clujul are o tendin</w:t>
            </w:r>
            <w:r w:rsidR="00E22FF2" w:rsidRPr="008C5F1C">
              <w:rPr>
                <w:rFonts w:ascii="Times New Roman" w:hAnsi="Times New Roman" w:cs="Times New Roman"/>
              </w:rPr>
              <w:t>ț</w:t>
            </w:r>
            <w:r w:rsidR="001E4ADF" w:rsidRPr="008C5F1C">
              <w:rPr>
                <w:rFonts w:ascii="Times New Roman" w:hAnsi="Times New Roman" w:cs="Times New Roman"/>
              </w:rPr>
              <w:t xml:space="preserve">ă de </w:t>
            </w:r>
            <w:proofErr w:type="spellStart"/>
            <w:r w:rsidR="001E4ADF" w:rsidRPr="008C5F1C">
              <w:rPr>
                <w:rFonts w:ascii="Times New Roman" w:hAnsi="Times New Roman" w:cs="Times New Roman"/>
              </w:rPr>
              <w:t>ter</w:t>
            </w:r>
            <w:r w:rsidR="00E22FF2" w:rsidRPr="008C5F1C">
              <w:rPr>
                <w:rFonts w:ascii="Times New Roman" w:hAnsi="Times New Roman" w:cs="Times New Roman"/>
              </w:rPr>
              <w:t>ț</w:t>
            </w:r>
            <w:r w:rsidR="001E4ADF" w:rsidRPr="008C5F1C">
              <w:rPr>
                <w:rFonts w:ascii="Times New Roman" w:hAnsi="Times New Roman" w:cs="Times New Roman"/>
              </w:rPr>
              <w:t>ializare</w:t>
            </w:r>
            <w:proofErr w:type="spellEnd"/>
            <w:r w:rsidR="001E4ADF" w:rsidRPr="008C5F1C">
              <w:rPr>
                <w:rFonts w:ascii="Times New Roman" w:hAnsi="Times New Roman" w:cs="Times New Roman"/>
              </w:rPr>
              <w:t xml:space="preserve"> pregnantă, având un sector primar mai slab dezvoltat, în timp ce economia jude</w:t>
            </w:r>
            <w:r w:rsidR="00E22FF2" w:rsidRPr="008C5F1C">
              <w:rPr>
                <w:rFonts w:ascii="Times New Roman" w:hAnsi="Times New Roman" w:cs="Times New Roman"/>
              </w:rPr>
              <w:t>ț</w:t>
            </w:r>
            <w:r w:rsidR="001E4ADF" w:rsidRPr="008C5F1C">
              <w:rPr>
                <w:rFonts w:ascii="Times New Roman" w:hAnsi="Times New Roman" w:cs="Times New Roman"/>
              </w:rPr>
              <w:t>ului Satu-Mare este una industrial-agrară, cu un sector agricol mai dezvoltat. În ansamblu, sectorul ter</w:t>
            </w:r>
            <w:r w:rsidR="00E22FF2" w:rsidRPr="008C5F1C">
              <w:rPr>
                <w:rFonts w:ascii="Times New Roman" w:hAnsi="Times New Roman" w:cs="Times New Roman"/>
              </w:rPr>
              <w:t>ț</w:t>
            </w:r>
            <w:r w:rsidR="001E4ADF" w:rsidRPr="008C5F1C">
              <w:rPr>
                <w:rFonts w:ascii="Times New Roman" w:hAnsi="Times New Roman" w:cs="Times New Roman"/>
              </w:rPr>
              <w:t>iar reprezintă un pilon important al structurii economice regionale. Doar 2,5% din totalul for</w:t>
            </w:r>
            <w:r w:rsidR="00E22FF2" w:rsidRPr="008C5F1C">
              <w:rPr>
                <w:rFonts w:ascii="Times New Roman" w:hAnsi="Times New Roman" w:cs="Times New Roman"/>
              </w:rPr>
              <w:t>ț</w:t>
            </w:r>
            <w:r w:rsidR="001E4ADF" w:rsidRPr="008C5F1C">
              <w:rPr>
                <w:rFonts w:ascii="Times New Roman" w:hAnsi="Times New Roman" w:cs="Times New Roman"/>
              </w:rPr>
              <w:t>ei de muncă este ocupată în activită</w:t>
            </w:r>
            <w:r w:rsidR="00E22FF2" w:rsidRPr="008C5F1C">
              <w:rPr>
                <w:rFonts w:ascii="Times New Roman" w:hAnsi="Times New Roman" w:cs="Times New Roman"/>
              </w:rPr>
              <w:t>ț</w:t>
            </w:r>
            <w:r w:rsidR="001E4ADF" w:rsidRPr="008C5F1C">
              <w:rPr>
                <w:rFonts w:ascii="Times New Roman" w:hAnsi="Times New Roman" w:cs="Times New Roman"/>
              </w:rPr>
              <w:t xml:space="preserve">i de tehnologie înaltă, mult sub nivelul regiunii capitalei (9.3%). </w:t>
            </w:r>
          </w:p>
          <w:p w14:paraId="359C5DDF" w14:textId="2C4BA35F" w:rsidR="00D47043" w:rsidRPr="008C5F1C" w:rsidRDefault="000A60A2">
            <w:pPr>
              <w:spacing w:after="120" w:line="240" w:lineRule="auto"/>
              <w:jc w:val="both"/>
              <w:rPr>
                <w:rFonts w:ascii="Times New Roman" w:hAnsi="Times New Roman" w:cs="Times New Roman"/>
              </w:rPr>
            </w:pPr>
            <w:r w:rsidRPr="008C5F1C">
              <w:rPr>
                <w:rFonts w:ascii="Times New Roman" w:hAnsi="Times New Roman" w:cs="Times New Roman"/>
                <w:b/>
                <w:bCs/>
              </w:rPr>
              <w:t xml:space="preserve">Regiunea este caracterizată de un ecosistem de inovare </w:t>
            </w:r>
            <w:r w:rsidR="006D5C2C" w:rsidRPr="008C5F1C">
              <w:rPr>
                <w:rFonts w:ascii="Times New Roman" w:hAnsi="Times New Roman" w:cs="Times New Roman"/>
                <w:b/>
                <w:bCs/>
              </w:rPr>
              <w:t>insuficient coordonat</w:t>
            </w:r>
            <w:r w:rsidRPr="008C5F1C">
              <w:rPr>
                <w:rStyle w:val="FootnoteReference"/>
                <w:rFonts w:ascii="Times New Roman" w:hAnsi="Times New Roman" w:cs="Times New Roman"/>
                <w:b w:val="0"/>
                <w:bCs/>
              </w:rPr>
              <w:footnoteReference w:id="8"/>
            </w:r>
            <w:r w:rsidR="003A3C4E" w:rsidRPr="008C5F1C">
              <w:rPr>
                <w:rFonts w:ascii="Times New Roman" w:hAnsi="Times New Roman" w:cs="Times New Roman"/>
                <w:b/>
                <w:bCs/>
              </w:rPr>
              <w:t xml:space="preserve">, </w:t>
            </w:r>
            <w:r w:rsidRPr="008C5F1C">
              <w:rPr>
                <w:rFonts w:ascii="Times New Roman" w:hAnsi="Times New Roman" w:cs="Times New Roman"/>
                <w:b/>
                <w:bCs/>
              </w:rPr>
              <w:t>iar activită</w:t>
            </w:r>
            <w:r w:rsidR="00E22FF2" w:rsidRPr="008C5F1C">
              <w:rPr>
                <w:rFonts w:ascii="Times New Roman" w:hAnsi="Times New Roman" w:cs="Times New Roman"/>
                <w:b/>
                <w:bCs/>
              </w:rPr>
              <w:t>ț</w:t>
            </w:r>
            <w:r w:rsidRPr="008C5F1C">
              <w:rPr>
                <w:rFonts w:ascii="Times New Roman" w:hAnsi="Times New Roman" w:cs="Times New Roman"/>
                <w:b/>
                <w:bCs/>
              </w:rPr>
              <w:t>ile de CDI sunt subfinan</w:t>
            </w:r>
            <w:r w:rsidR="00E22FF2" w:rsidRPr="008C5F1C">
              <w:rPr>
                <w:rFonts w:ascii="Times New Roman" w:hAnsi="Times New Roman" w:cs="Times New Roman"/>
                <w:b/>
                <w:bCs/>
              </w:rPr>
              <w:t>ț</w:t>
            </w:r>
            <w:r w:rsidRPr="008C5F1C">
              <w:rPr>
                <w:rFonts w:ascii="Times New Roman" w:hAnsi="Times New Roman" w:cs="Times New Roman"/>
                <w:b/>
                <w:bCs/>
              </w:rPr>
              <w:t>ate</w:t>
            </w:r>
            <w:r w:rsidR="006563E7" w:rsidRPr="008C5F1C">
              <w:rPr>
                <w:rStyle w:val="FootnoteReference"/>
                <w:rFonts w:ascii="Times New Roman" w:hAnsi="Times New Roman" w:cs="Times New Roman"/>
                <w:b w:val="0"/>
                <w:bCs/>
              </w:rPr>
              <w:footnoteReference w:id="9"/>
            </w:r>
            <w:r w:rsidRPr="008C5F1C">
              <w:rPr>
                <w:rFonts w:ascii="Times New Roman" w:hAnsi="Times New Roman" w:cs="Times New Roman"/>
                <w:b/>
                <w:bCs/>
              </w:rPr>
              <w:t>.</w:t>
            </w:r>
            <w:r w:rsidRPr="008C5F1C">
              <w:rPr>
                <w:rFonts w:ascii="Times New Roman" w:hAnsi="Times New Roman" w:cs="Times New Roman"/>
              </w:rPr>
              <w:t xml:space="preserve"> </w:t>
            </w:r>
            <w:r w:rsidR="00F13A8D" w:rsidRPr="008C5F1C">
              <w:rPr>
                <w:rFonts w:ascii="Times New Roman" w:hAnsi="Times New Roman" w:cs="Times New Roman"/>
              </w:rPr>
              <w:t>R</w:t>
            </w:r>
            <w:r w:rsidR="001053D6" w:rsidRPr="008C5F1C">
              <w:rPr>
                <w:rFonts w:ascii="Times New Roman" w:hAnsi="Times New Roman" w:cs="Times New Roman"/>
              </w:rPr>
              <w:t xml:space="preserve">egiunea </w:t>
            </w:r>
            <w:r w:rsidR="00F13A8D" w:rsidRPr="008C5F1C">
              <w:rPr>
                <w:rFonts w:ascii="Times New Roman" w:hAnsi="Times New Roman" w:cs="Times New Roman"/>
              </w:rPr>
              <w:t>se situează pe locul 2</w:t>
            </w:r>
            <w:r w:rsidR="001053D6" w:rsidRPr="008C5F1C">
              <w:rPr>
                <w:rFonts w:ascii="Times New Roman" w:hAnsi="Times New Roman" w:cs="Times New Roman"/>
              </w:rPr>
              <w:t xml:space="preserve"> na</w:t>
            </w:r>
            <w:r w:rsidR="00E22FF2" w:rsidRPr="008C5F1C">
              <w:rPr>
                <w:rFonts w:ascii="Times New Roman" w:hAnsi="Times New Roman" w:cs="Times New Roman"/>
              </w:rPr>
              <w:t>ț</w:t>
            </w:r>
            <w:r w:rsidR="001053D6" w:rsidRPr="008C5F1C">
              <w:rPr>
                <w:rFonts w:ascii="Times New Roman" w:hAnsi="Times New Roman" w:cs="Times New Roman"/>
              </w:rPr>
              <w:t xml:space="preserve">ional, </w:t>
            </w:r>
            <w:r w:rsidR="00F13A8D" w:rsidRPr="008C5F1C">
              <w:rPr>
                <w:rFonts w:ascii="Times New Roman" w:hAnsi="Times New Roman" w:cs="Times New Roman"/>
              </w:rPr>
              <w:t>ca număr</w:t>
            </w:r>
            <w:r w:rsidR="001053D6" w:rsidRPr="008C5F1C">
              <w:rPr>
                <w:rFonts w:ascii="Times New Roman" w:hAnsi="Times New Roman" w:cs="Times New Roman"/>
              </w:rPr>
              <w:t xml:space="preserve"> de unită</w:t>
            </w:r>
            <w:r w:rsidR="00E22FF2" w:rsidRPr="008C5F1C">
              <w:rPr>
                <w:rFonts w:ascii="Times New Roman" w:hAnsi="Times New Roman" w:cs="Times New Roman"/>
              </w:rPr>
              <w:t>ț</w:t>
            </w:r>
            <w:r w:rsidR="001053D6" w:rsidRPr="008C5F1C">
              <w:rPr>
                <w:rFonts w:ascii="Times New Roman" w:hAnsi="Times New Roman" w:cs="Times New Roman"/>
              </w:rPr>
              <w:t>i de CD (107, dintre care 24 de interes na</w:t>
            </w:r>
            <w:r w:rsidR="00E22FF2" w:rsidRPr="008C5F1C">
              <w:rPr>
                <w:rFonts w:ascii="Times New Roman" w:hAnsi="Times New Roman" w:cs="Times New Roman"/>
              </w:rPr>
              <w:t>ț</w:t>
            </w:r>
            <w:r w:rsidR="001053D6" w:rsidRPr="008C5F1C">
              <w:rPr>
                <w:rFonts w:ascii="Times New Roman" w:hAnsi="Times New Roman" w:cs="Times New Roman"/>
              </w:rPr>
              <w:t>ional)</w:t>
            </w:r>
            <w:r w:rsidR="001F689E" w:rsidRPr="008C5F1C">
              <w:rPr>
                <w:rFonts w:ascii="Times New Roman" w:hAnsi="Times New Roman" w:cs="Times New Roman"/>
              </w:rPr>
              <w:t>, personal din activitatea de CDI</w:t>
            </w:r>
            <w:r w:rsidR="00184A59" w:rsidRPr="008C5F1C">
              <w:rPr>
                <w:rStyle w:val="FootnoteReference"/>
                <w:rFonts w:ascii="Times New Roman" w:hAnsi="Times New Roman" w:cs="Times New Roman"/>
              </w:rPr>
              <w:footnoteReference w:id="10"/>
            </w:r>
            <w:r w:rsidR="00511540" w:rsidRPr="008C5F1C">
              <w:rPr>
                <w:rFonts w:ascii="Times New Roman" w:hAnsi="Times New Roman" w:cs="Times New Roman"/>
              </w:rPr>
              <w:t xml:space="preserve"> și </w:t>
            </w:r>
            <w:r w:rsidR="00FC7F1B" w:rsidRPr="008C5F1C">
              <w:rPr>
                <w:rFonts w:ascii="Times New Roman" w:hAnsi="Times New Roman" w:cs="Times New Roman"/>
              </w:rPr>
              <w:t xml:space="preserve">ofertă </w:t>
            </w:r>
            <w:r w:rsidR="00511540" w:rsidRPr="008C5F1C">
              <w:rPr>
                <w:rFonts w:ascii="Times New Roman" w:hAnsi="Times New Roman" w:cs="Times New Roman"/>
              </w:rPr>
              <w:t>de educa</w:t>
            </w:r>
            <w:r w:rsidR="00E22FF2" w:rsidRPr="008C5F1C">
              <w:rPr>
                <w:rFonts w:ascii="Times New Roman" w:hAnsi="Times New Roman" w:cs="Times New Roman"/>
              </w:rPr>
              <w:t>ț</w:t>
            </w:r>
            <w:r w:rsidR="00511540" w:rsidRPr="008C5F1C">
              <w:rPr>
                <w:rFonts w:ascii="Times New Roman" w:hAnsi="Times New Roman" w:cs="Times New Roman"/>
              </w:rPr>
              <w:t>ie superioară</w:t>
            </w:r>
            <w:r w:rsidR="005045F0" w:rsidRPr="008C5F1C">
              <w:rPr>
                <w:rStyle w:val="FootnoteReference"/>
                <w:rFonts w:ascii="Times New Roman" w:hAnsi="Times New Roman" w:cs="Times New Roman"/>
              </w:rPr>
              <w:footnoteReference w:id="11"/>
            </w:r>
            <w:r w:rsidR="001053D6" w:rsidRPr="008C5F1C">
              <w:rPr>
                <w:rFonts w:ascii="Times New Roman" w:hAnsi="Times New Roman" w:cs="Times New Roman"/>
              </w:rPr>
              <w:t>.</w:t>
            </w:r>
            <w:r w:rsidR="0011357D" w:rsidRPr="008C5F1C">
              <w:rPr>
                <w:rFonts w:ascii="Times New Roman" w:hAnsi="Times New Roman" w:cs="Times New Roman"/>
              </w:rPr>
              <w:t xml:space="preserve"> Distribu</w:t>
            </w:r>
            <w:r w:rsidR="00E22FF2" w:rsidRPr="008C5F1C">
              <w:rPr>
                <w:rFonts w:ascii="Times New Roman" w:hAnsi="Times New Roman" w:cs="Times New Roman"/>
              </w:rPr>
              <w:t>ț</w:t>
            </w:r>
            <w:r w:rsidR="0011357D" w:rsidRPr="008C5F1C">
              <w:rPr>
                <w:rFonts w:ascii="Times New Roman" w:hAnsi="Times New Roman" w:cs="Times New Roman"/>
              </w:rPr>
              <w:t>ia acestora este însă puternic polarizată,</w:t>
            </w:r>
            <w:r w:rsidR="00BE10CD" w:rsidRPr="008C5F1C">
              <w:rPr>
                <w:rFonts w:ascii="Times New Roman" w:hAnsi="Times New Roman" w:cs="Times New Roman"/>
              </w:rPr>
              <w:t xml:space="preserve"> </w:t>
            </w:r>
            <w:r w:rsidR="001053D6" w:rsidRPr="008C5F1C">
              <w:rPr>
                <w:rFonts w:ascii="Times New Roman" w:hAnsi="Times New Roman" w:cs="Times New Roman"/>
              </w:rPr>
              <w:t>75% din totalul unită</w:t>
            </w:r>
            <w:r w:rsidR="00E22FF2" w:rsidRPr="008C5F1C">
              <w:rPr>
                <w:rFonts w:ascii="Times New Roman" w:hAnsi="Times New Roman" w:cs="Times New Roman"/>
              </w:rPr>
              <w:t>ț</w:t>
            </w:r>
            <w:r w:rsidR="001053D6" w:rsidRPr="008C5F1C">
              <w:rPr>
                <w:rFonts w:ascii="Times New Roman" w:hAnsi="Times New Roman" w:cs="Times New Roman"/>
              </w:rPr>
              <w:t xml:space="preserve">ilor CD </w:t>
            </w:r>
            <w:r w:rsidR="00D72E05" w:rsidRPr="008C5F1C">
              <w:rPr>
                <w:rFonts w:ascii="Times New Roman" w:hAnsi="Times New Roman" w:cs="Times New Roman"/>
              </w:rPr>
              <w:t xml:space="preserve">aflându-se </w:t>
            </w:r>
            <w:r w:rsidR="001053D6" w:rsidRPr="008C5F1C">
              <w:rPr>
                <w:rFonts w:ascii="Times New Roman" w:hAnsi="Times New Roman" w:cs="Times New Roman"/>
              </w:rPr>
              <w:t>în Cluj</w:t>
            </w:r>
            <w:r w:rsidR="0084352E" w:rsidRPr="008C5F1C">
              <w:rPr>
                <w:rFonts w:ascii="Times New Roman" w:hAnsi="Times New Roman" w:cs="Times New Roman"/>
              </w:rPr>
              <w:t xml:space="preserve">, </w:t>
            </w:r>
            <w:r w:rsidR="00DC6679" w:rsidRPr="008C5F1C">
              <w:rPr>
                <w:rFonts w:ascii="Times New Roman" w:hAnsi="Times New Roman" w:cs="Times New Roman"/>
              </w:rPr>
              <w:t xml:space="preserve">care </w:t>
            </w:r>
            <w:r w:rsidR="0084352E" w:rsidRPr="008C5F1C">
              <w:rPr>
                <w:rFonts w:ascii="Times New Roman" w:hAnsi="Times New Roman" w:cs="Times New Roman"/>
              </w:rPr>
              <w:t>reunește și 92% din salaria</w:t>
            </w:r>
            <w:r w:rsidR="00E22FF2" w:rsidRPr="008C5F1C">
              <w:rPr>
                <w:rFonts w:ascii="Times New Roman" w:hAnsi="Times New Roman" w:cs="Times New Roman"/>
              </w:rPr>
              <w:t>ț</w:t>
            </w:r>
            <w:r w:rsidR="0084352E" w:rsidRPr="008C5F1C">
              <w:rPr>
                <w:rFonts w:ascii="Times New Roman" w:hAnsi="Times New Roman" w:cs="Times New Roman"/>
              </w:rPr>
              <w:t>ii din CDI</w:t>
            </w:r>
            <w:r w:rsidR="0084352E" w:rsidRPr="008C5F1C">
              <w:rPr>
                <w:rStyle w:val="FootnoteReference"/>
                <w:rFonts w:ascii="Times New Roman" w:hAnsi="Times New Roman" w:cs="Times New Roman"/>
              </w:rPr>
              <w:footnoteReference w:id="12"/>
            </w:r>
            <w:r w:rsidR="002B2164" w:rsidRPr="008C5F1C">
              <w:rPr>
                <w:rFonts w:ascii="Times New Roman" w:hAnsi="Times New Roman" w:cs="Times New Roman"/>
              </w:rPr>
              <w:t xml:space="preserve">, fiind și </w:t>
            </w:r>
            <w:r w:rsidR="007970DF" w:rsidRPr="008C5F1C">
              <w:rPr>
                <w:rFonts w:ascii="Times New Roman" w:hAnsi="Times New Roman" w:cs="Times New Roman"/>
              </w:rPr>
              <w:t xml:space="preserve">un important </w:t>
            </w:r>
            <w:r w:rsidR="002B2164" w:rsidRPr="008C5F1C">
              <w:rPr>
                <w:rFonts w:ascii="Times New Roman" w:hAnsi="Times New Roman" w:cs="Times New Roman"/>
              </w:rPr>
              <w:t>centru universitar</w:t>
            </w:r>
            <w:r w:rsidR="00330267" w:rsidRPr="008C5F1C">
              <w:rPr>
                <w:rFonts w:ascii="Times New Roman" w:hAnsi="Times New Roman" w:cs="Times New Roman"/>
              </w:rPr>
              <w:t xml:space="preserve"> (</w:t>
            </w:r>
            <w:r w:rsidR="001F5D46" w:rsidRPr="008C5F1C">
              <w:rPr>
                <w:rFonts w:ascii="Times New Roman" w:hAnsi="Times New Roman" w:cs="Times New Roman"/>
              </w:rPr>
              <w:t>54</w:t>
            </w:r>
            <w:r w:rsidR="00330267" w:rsidRPr="008C5F1C">
              <w:rPr>
                <w:rFonts w:ascii="Times New Roman" w:hAnsi="Times New Roman" w:cs="Times New Roman"/>
              </w:rPr>
              <w:t>% dintre</w:t>
            </w:r>
            <w:r w:rsidR="001958B7" w:rsidRPr="008C5F1C">
              <w:rPr>
                <w:rFonts w:ascii="Times New Roman" w:hAnsi="Times New Roman" w:cs="Times New Roman"/>
              </w:rPr>
              <w:t xml:space="preserve"> facultățile regiunii</w:t>
            </w:r>
            <w:r w:rsidR="00330267" w:rsidRPr="008C5F1C">
              <w:rPr>
                <w:rFonts w:ascii="Times New Roman" w:hAnsi="Times New Roman" w:cs="Times New Roman"/>
              </w:rPr>
              <w:t>)</w:t>
            </w:r>
            <w:r w:rsidR="007970DF" w:rsidRPr="008C5F1C">
              <w:rPr>
                <w:rFonts w:ascii="Times New Roman" w:hAnsi="Times New Roman" w:cs="Times New Roman"/>
              </w:rPr>
              <w:t>.</w:t>
            </w:r>
            <w:r w:rsidR="001053D6" w:rsidRPr="008C5F1C">
              <w:rPr>
                <w:rFonts w:ascii="Times New Roman" w:hAnsi="Times New Roman" w:cs="Times New Roman"/>
              </w:rPr>
              <w:t xml:space="preserve"> </w:t>
            </w:r>
            <w:r w:rsidR="00360B5B" w:rsidRPr="008C5F1C">
              <w:rPr>
                <w:rFonts w:ascii="Times New Roman" w:hAnsi="Times New Roman" w:cs="Times New Roman"/>
              </w:rPr>
              <w:t xml:space="preserve">94% dintre cheltuielile regionale cu CDI </w:t>
            </w:r>
            <w:r w:rsidR="00FC7F1B" w:rsidRPr="008C5F1C">
              <w:rPr>
                <w:rFonts w:ascii="Times New Roman" w:hAnsi="Times New Roman" w:cs="Times New Roman"/>
              </w:rPr>
              <w:t xml:space="preserve">și mai bine de jumătate din producția de CD a regiunii </w:t>
            </w:r>
            <w:r w:rsidR="00360B5B" w:rsidRPr="008C5F1C">
              <w:rPr>
                <w:rFonts w:ascii="Times New Roman" w:hAnsi="Times New Roman" w:cs="Times New Roman"/>
              </w:rPr>
              <w:t>sunt, de asemenea, în Cluj.</w:t>
            </w:r>
            <w:r w:rsidR="00F77FBD" w:rsidRPr="008C5F1C">
              <w:rPr>
                <w:rFonts w:ascii="Times New Roman" w:hAnsi="Times New Roman" w:cs="Times New Roman"/>
              </w:rPr>
              <w:t xml:space="preserve"> </w:t>
            </w:r>
            <w:r w:rsidR="00D47043" w:rsidRPr="008C5F1C">
              <w:rPr>
                <w:rFonts w:ascii="Times New Roman" w:hAnsi="Times New Roman" w:cs="Times New Roman"/>
              </w:rPr>
              <w:t>Dintr-un total de 41 entit</w:t>
            </w:r>
            <w:r w:rsidR="00120C0A" w:rsidRPr="008C5F1C">
              <w:rPr>
                <w:rFonts w:ascii="Times New Roman" w:hAnsi="Times New Roman" w:cs="Times New Roman"/>
              </w:rPr>
              <w:t>ăț</w:t>
            </w:r>
            <w:r w:rsidR="00D47043" w:rsidRPr="008C5F1C">
              <w:rPr>
                <w:rFonts w:ascii="Times New Roman" w:hAnsi="Times New Roman" w:cs="Times New Roman"/>
              </w:rPr>
              <w:t xml:space="preserve">i </w:t>
            </w:r>
            <w:r w:rsidR="00120C0A" w:rsidRPr="008C5F1C">
              <w:rPr>
                <w:rFonts w:ascii="Times New Roman" w:hAnsi="Times New Roman" w:cs="Times New Roman"/>
              </w:rPr>
              <w:t xml:space="preserve">de </w:t>
            </w:r>
            <w:r w:rsidR="00D47043" w:rsidRPr="008C5F1C">
              <w:rPr>
                <w:rFonts w:ascii="Times New Roman" w:hAnsi="Times New Roman" w:cs="Times New Roman"/>
              </w:rPr>
              <w:t xml:space="preserve">inovare </w:t>
            </w:r>
            <w:r w:rsidR="00120C0A" w:rsidRPr="008C5F1C">
              <w:rPr>
                <w:rFonts w:ascii="Times New Roman" w:hAnsi="Times New Roman" w:cs="Times New Roman"/>
              </w:rPr>
              <w:t>și transfer tehnologic</w:t>
            </w:r>
            <w:r w:rsidR="00721462" w:rsidRPr="008C5F1C">
              <w:rPr>
                <w:rFonts w:ascii="Times New Roman" w:hAnsi="Times New Roman" w:cs="Times New Roman"/>
              </w:rPr>
              <w:t xml:space="preserve"> </w:t>
            </w:r>
            <w:r w:rsidR="00120C0A" w:rsidRPr="008C5F1C">
              <w:rPr>
                <w:rFonts w:ascii="Times New Roman" w:hAnsi="Times New Roman" w:cs="Times New Roman"/>
              </w:rPr>
              <w:t xml:space="preserve">(EITT) </w:t>
            </w:r>
            <w:r w:rsidR="00D47043" w:rsidRPr="008C5F1C">
              <w:rPr>
                <w:rFonts w:ascii="Times New Roman" w:hAnsi="Times New Roman" w:cs="Times New Roman"/>
              </w:rPr>
              <w:t xml:space="preserve">acreditate si autorizate provizoriu </w:t>
            </w:r>
            <w:r w:rsidR="00120C0A" w:rsidRPr="008C5F1C">
              <w:rPr>
                <w:rFonts w:ascii="Times New Roman" w:hAnsi="Times New Roman" w:cs="Times New Roman"/>
              </w:rPr>
              <w:t xml:space="preserve">la nivel național, </w:t>
            </w:r>
            <w:r w:rsidR="00D47043" w:rsidRPr="008C5F1C">
              <w:rPr>
                <w:rFonts w:ascii="Times New Roman" w:hAnsi="Times New Roman" w:cs="Times New Roman"/>
              </w:rPr>
              <w:t>8 sunt din regiune</w:t>
            </w:r>
            <w:r w:rsidR="00120C0A" w:rsidRPr="008C5F1C">
              <w:rPr>
                <w:rFonts w:ascii="Times New Roman" w:hAnsi="Times New Roman" w:cs="Times New Roman"/>
              </w:rPr>
              <w:t xml:space="preserve"> (</w:t>
            </w:r>
            <w:r w:rsidR="00D47043" w:rsidRPr="008C5F1C">
              <w:rPr>
                <w:rFonts w:ascii="Times New Roman" w:hAnsi="Times New Roman" w:cs="Times New Roman"/>
              </w:rPr>
              <w:t>locul 2</w:t>
            </w:r>
            <w:r w:rsidR="00120C0A" w:rsidRPr="008C5F1C">
              <w:rPr>
                <w:rFonts w:ascii="Times New Roman" w:hAnsi="Times New Roman" w:cs="Times New Roman"/>
              </w:rPr>
              <w:t>,</w:t>
            </w:r>
            <w:r w:rsidR="00D47043" w:rsidRPr="008C5F1C">
              <w:rPr>
                <w:rFonts w:ascii="Times New Roman" w:hAnsi="Times New Roman" w:cs="Times New Roman"/>
              </w:rPr>
              <w:t xml:space="preserve"> dup</w:t>
            </w:r>
            <w:r w:rsidR="00120C0A" w:rsidRPr="008C5F1C">
              <w:rPr>
                <w:rFonts w:ascii="Times New Roman" w:hAnsi="Times New Roman" w:cs="Times New Roman"/>
              </w:rPr>
              <w:t>ă</w:t>
            </w:r>
            <w:r w:rsidR="00D47043" w:rsidRPr="008C5F1C">
              <w:rPr>
                <w:rFonts w:ascii="Times New Roman" w:hAnsi="Times New Roman" w:cs="Times New Roman"/>
              </w:rPr>
              <w:t xml:space="preserve"> Bucure</w:t>
            </w:r>
            <w:r w:rsidR="00120C0A" w:rsidRPr="008C5F1C">
              <w:rPr>
                <w:rFonts w:ascii="Times New Roman" w:hAnsi="Times New Roman" w:cs="Times New Roman"/>
              </w:rPr>
              <w:t>ș</w:t>
            </w:r>
            <w:r w:rsidR="00D47043" w:rsidRPr="008C5F1C">
              <w:rPr>
                <w:rFonts w:ascii="Times New Roman" w:hAnsi="Times New Roman" w:cs="Times New Roman"/>
              </w:rPr>
              <w:t>ti -Ilfov</w:t>
            </w:r>
            <w:r w:rsidR="00120C0A" w:rsidRPr="008C5F1C">
              <w:rPr>
                <w:rFonts w:ascii="Times New Roman" w:hAnsi="Times New Roman" w:cs="Times New Roman"/>
              </w:rPr>
              <w:t>)</w:t>
            </w:r>
            <w:r w:rsidR="00D47043" w:rsidRPr="008C5F1C">
              <w:rPr>
                <w:rFonts w:ascii="Times New Roman" w:hAnsi="Times New Roman" w:cs="Times New Roman"/>
              </w:rPr>
              <w:t xml:space="preserve">. </w:t>
            </w:r>
            <w:r w:rsidR="00120C0A" w:rsidRPr="008C5F1C">
              <w:rPr>
                <w:rFonts w:ascii="Times New Roman" w:hAnsi="Times New Roman" w:cs="Times New Roman"/>
              </w:rPr>
              <w:t xml:space="preserve">EITT-urile nu oferă </w:t>
            </w:r>
            <w:r w:rsidR="00721462" w:rsidRPr="008C5F1C">
              <w:rPr>
                <w:rFonts w:ascii="Times New Roman" w:hAnsi="Times New Roman" w:cs="Times New Roman"/>
              </w:rPr>
              <w:t xml:space="preserve">însă </w:t>
            </w:r>
            <w:r w:rsidR="00120C0A" w:rsidRPr="008C5F1C">
              <w:rPr>
                <w:rFonts w:ascii="Times New Roman" w:hAnsi="Times New Roman" w:cs="Times New Roman"/>
              </w:rPr>
              <w:t>serviciile necesare pentru facilitatea transferului rezultatelor cercetării către mediul de afaceri</w:t>
            </w:r>
            <w:r w:rsidR="00232079" w:rsidRPr="008C5F1C">
              <w:rPr>
                <w:rStyle w:val="FootnoteReference"/>
                <w:rFonts w:ascii="Times New Roman" w:hAnsi="Times New Roman" w:cs="Times New Roman"/>
              </w:rPr>
              <w:footnoteReference w:id="13"/>
            </w:r>
            <w:r w:rsidR="00120C0A" w:rsidRPr="008C5F1C">
              <w:rPr>
                <w:rFonts w:ascii="Times New Roman" w:hAnsi="Times New Roman" w:cs="Times New Roman"/>
              </w:rPr>
              <w:t>.</w:t>
            </w:r>
            <w:r w:rsidR="00F13A8D" w:rsidRPr="008C5F1C">
              <w:rPr>
                <w:rFonts w:ascii="Times New Roman" w:hAnsi="Times New Roman" w:cs="Times New Roman"/>
              </w:rPr>
              <w:t xml:space="preserve"> Drept urmare, regiunea este încadrată în categoria inovatorilor modești</w:t>
            </w:r>
            <w:r w:rsidR="00473F54" w:rsidRPr="008C5F1C">
              <w:rPr>
                <w:rFonts w:ascii="Times New Roman" w:hAnsi="Times New Roman" w:cs="Times New Roman"/>
              </w:rPr>
              <w:t xml:space="preserve"> din</w:t>
            </w:r>
            <w:r w:rsidR="00F13A8D" w:rsidRPr="008C5F1C">
              <w:rPr>
                <w:rFonts w:ascii="Times New Roman" w:hAnsi="Times New Roman" w:cs="Times New Roman"/>
              </w:rPr>
              <w:t xml:space="preserve"> UE. </w:t>
            </w:r>
          </w:p>
          <w:p w14:paraId="10745400" w14:textId="6CC738D1" w:rsidR="00E22FF2" w:rsidRPr="008C5F1C" w:rsidRDefault="00BA2484">
            <w:pPr>
              <w:spacing w:after="120" w:line="240" w:lineRule="auto"/>
              <w:jc w:val="both"/>
              <w:rPr>
                <w:rFonts w:ascii="Times New Roman" w:hAnsi="Times New Roman" w:cs="Times New Roman"/>
              </w:rPr>
            </w:pPr>
            <w:r w:rsidRPr="008C5F1C">
              <w:rPr>
                <w:rFonts w:ascii="Times New Roman" w:hAnsi="Times New Roman" w:cs="Times New Roman"/>
                <w:b/>
                <w:bCs/>
              </w:rPr>
              <w:t xml:space="preserve">În ciuda accesibilității ridicate la internet de calitate, nivelul </w:t>
            </w:r>
            <w:r w:rsidR="006A7C11" w:rsidRPr="008C5F1C">
              <w:rPr>
                <w:rFonts w:ascii="Times New Roman" w:hAnsi="Times New Roman" w:cs="Times New Roman"/>
                <w:b/>
                <w:bCs/>
              </w:rPr>
              <w:t>de digitalizare la nivelul administrației este încă redus.</w:t>
            </w:r>
            <w:r w:rsidR="006A7C11" w:rsidRPr="008C5F1C">
              <w:rPr>
                <w:rFonts w:ascii="Times New Roman" w:hAnsi="Times New Roman" w:cs="Times New Roman"/>
              </w:rPr>
              <w:t xml:space="preserve"> 19 orașe sunt înrolate în platforma </w:t>
            </w:r>
            <w:r w:rsidR="006A7C11" w:rsidRPr="008C5F1C">
              <w:rPr>
                <w:rFonts w:ascii="Times New Roman" w:hAnsi="Times New Roman" w:cs="Times New Roman"/>
                <w:i/>
                <w:iCs/>
              </w:rPr>
              <w:t>ghișeul.ro</w:t>
            </w:r>
            <w:r w:rsidR="006A7C11" w:rsidRPr="008C5F1C">
              <w:rPr>
                <w:rFonts w:ascii="Times New Roman" w:hAnsi="Times New Roman" w:cs="Times New Roman"/>
              </w:rPr>
              <w:t xml:space="preserve"> și permit plata taxelor și impozitelor locale. În afară de acest serviciu gestionat de la nivel central, doar reședințele de județ și câteva orașe și municipii precum Turda, Șimleul Silvaniei sau Aleșd oferă o varietate mai mare de servicii publice digitale. </w:t>
            </w:r>
            <w:r w:rsidRPr="008C5F1C">
              <w:rPr>
                <w:rFonts w:ascii="Times New Roman" w:hAnsi="Times New Roman" w:cs="Times New Roman"/>
              </w:rPr>
              <w:t xml:space="preserve">Numai 12% au interacționat cu autorități publice prin intermediul internetului. </w:t>
            </w:r>
            <w:r w:rsidR="0027052D" w:rsidRPr="008C5F1C">
              <w:rPr>
                <w:rFonts w:ascii="Times New Roman" w:hAnsi="Times New Roman" w:cs="Times New Roman"/>
              </w:rPr>
              <w:t>P</w:t>
            </w:r>
            <w:r w:rsidR="006A7C11" w:rsidRPr="008C5F1C">
              <w:rPr>
                <w:rFonts w:ascii="Times New Roman" w:hAnsi="Times New Roman" w:cs="Times New Roman"/>
              </w:rPr>
              <w:t>rocesele de lucru în interiorul administrațiilor publice locale nu sunt digitalizate</w:t>
            </w:r>
            <w:r w:rsidR="00D47806" w:rsidRPr="008C5F1C">
              <w:rPr>
                <w:rFonts w:ascii="Times New Roman" w:hAnsi="Times New Roman" w:cs="Times New Roman"/>
              </w:rPr>
              <w:t xml:space="preserve">. </w:t>
            </w:r>
            <w:r w:rsidR="003A7516" w:rsidRPr="008C5F1C">
              <w:rPr>
                <w:rFonts w:ascii="Times New Roman" w:hAnsi="Times New Roman" w:cs="Times New Roman"/>
              </w:rPr>
              <w:t>C</w:t>
            </w:r>
            <w:r w:rsidR="006A7C11" w:rsidRPr="008C5F1C">
              <w:rPr>
                <w:rFonts w:ascii="Times New Roman" w:hAnsi="Times New Roman" w:cs="Times New Roman"/>
              </w:rPr>
              <w:t xml:space="preserve">onstituirea unor baze de date geospațiale este un proces început doar </w:t>
            </w:r>
            <w:r w:rsidR="003F260C" w:rsidRPr="008C5F1C">
              <w:rPr>
                <w:rFonts w:ascii="Times New Roman" w:hAnsi="Times New Roman" w:cs="Times New Roman"/>
              </w:rPr>
              <w:t>de</w:t>
            </w:r>
            <w:r w:rsidR="006A7C11" w:rsidRPr="008C5F1C">
              <w:rPr>
                <w:rFonts w:ascii="Times New Roman" w:hAnsi="Times New Roman" w:cs="Times New Roman"/>
              </w:rPr>
              <w:t xml:space="preserve"> orașe precum Cluj-Napoca, Oradea sau Bistrița. Lipsa unor baze de date actualizate a fost unul din motivele </w:t>
            </w:r>
            <w:r w:rsidR="003A3C4E" w:rsidRPr="008C5F1C">
              <w:rPr>
                <w:rFonts w:ascii="Times New Roman" w:hAnsi="Times New Roman" w:cs="Times New Roman"/>
              </w:rPr>
              <w:t xml:space="preserve">pentru </w:t>
            </w:r>
            <w:r w:rsidR="006A7C11" w:rsidRPr="008C5F1C">
              <w:rPr>
                <w:rFonts w:ascii="Times New Roman" w:hAnsi="Times New Roman" w:cs="Times New Roman"/>
              </w:rPr>
              <w:t xml:space="preserve">care pregătirea proiectelor în </w:t>
            </w:r>
            <w:r w:rsidR="00232079" w:rsidRPr="008C5F1C">
              <w:rPr>
                <w:rFonts w:ascii="Times New Roman" w:hAnsi="Times New Roman" w:cs="Times New Roman"/>
              </w:rPr>
              <w:t xml:space="preserve">exercițiile financiare anterioare </w:t>
            </w:r>
            <w:r w:rsidR="006A7C11" w:rsidRPr="008C5F1C">
              <w:rPr>
                <w:rFonts w:ascii="Times New Roman" w:hAnsi="Times New Roman" w:cs="Times New Roman"/>
              </w:rPr>
              <w:t>a fost îngreunată.</w:t>
            </w:r>
          </w:p>
          <w:p w14:paraId="4B3D8E44" w14:textId="31E4A113" w:rsidR="00C0303A" w:rsidRPr="008C5F1C" w:rsidRDefault="00E22FF2">
            <w:pPr>
              <w:spacing w:after="120" w:line="240" w:lineRule="auto"/>
              <w:jc w:val="both"/>
              <w:rPr>
                <w:rFonts w:ascii="Times New Roman" w:hAnsi="Times New Roman" w:cs="Times New Roman"/>
              </w:rPr>
            </w:pPr>
            <w:r w:rsidRPr="008C5F1C">
              <w:rPr>
                <w:rFonts w:ascii="Times New Roman" w:hAnsi="Times New Roman" w:cs="Times New Roman"/>
                <w:b/>
                <w:bCs/>
              </w:rPr>
              <w:t>Infrastructura</w:t>
            </w:r>
            <w:r w:rsidR="00A57EA1" w:rsidRPr="008C5F1C">
              <w:rPr>
                <w:rFonts w:ascii="Times New Roman" w:hAnsi="Times New Roman" w:cs="Times New Roman"/>
                <w:b/>
                <w:bCs/>
              </w:rPr>
              <w:t xml:space="preserve"> rutieră insuficient dezvoltată</w:t>
            </w:r>
            <w:r w:rsidR="005222A0" w:rsidRPr="008C5F1C">
              <w:rPr>
                <w:rFonts w:ascii="Times New Roman" w:hAnsi="Times New Roman" w:cs="Times New Roman"/>
                <w:b/>
                <w:bCs/>
              </w:rPr>
              <w:t xml:space="preserve"> și deteriorată</w:t>
            </w:r>
            <w:r w:rsidR="00A57EA1" w:rsidRPr="008C5F1C">
              <w:rPr>
                <w:rFonts w:ascii="Times New Roman" w:hAnsi="Times New Roman" w:cs="Times New Roman"/>
                <w:b/>
                <w:bCs/>
              </w:rPr>
              <w:t xml:space="preserve"> afectează conectivitatea inter și intra-regională.</w:t>
            </w:r>
            <w:r w:rsidR="00A57EA1" w:rsidRPr="008C5F1C">
              <w:rPr>
                <w:rFonts w:ascii="Times New Roman" w:hAnsi="Times New Roman" w:cs="Times New Roman"/>
              </w:rPr>
              <w:t xml:space="preserve"> </w:t>
            </w:r>
            <w:r w:rsidR="005222A0" w:rsidRPr="008C5F1C">
              <w:rPr>
                <w:rFonts w:ascii="Times New Roman" w:hAnsi="Times New Roman" w:cs="Times New Roman"/>
              </w:rPr>
              <w:t xml:space="preserve">Din totalul de </w:t>
            </w:r>
            <w:r w:rsidR="00A57EA1" w:rsidRPr="008C5F1C">
              <w:rPr>
                <w:rFonts w:ascii="Times New Roman" w:hAnsi="Times New Roman" w:cs="Times New Roman"/>
              </w:rPr>
              <w:t xml:space="preserve">12.738 km </w:t>
            </w:r>
            <w:r w:rsidR="005222A0" w:rsidRPr="008C5F1C">
              <w:rPr>
                <w:rFonts w:ascii="Times New Roman" w:hAnsi="Times New Roman" w:cs="Times New Roman"/>
              </w:rPr>
              <w:t>drumuri</w:t>
            </w:r>
            <w:r w:rsidR="00A57EA1" w:rsidRPr="008C5F1C">
              <w:rPr>
                <w:rFonts w:ascii="Times New Roman" w:hAnsi="Times New Roman" w:cs="Times New Roman"/>
              </w:rPr>
              <w:t xml:space="preserve">, 1.690 de km nu se prezintă în </w:t>
            </w:r>
            <w:r w:rsidRPr="008C5F1C">
              <w:rPr>
                <w:rFonts w:ascii="Times New Roman" w:hAnsi="Times New Roman" w:cs="Times New Roman"/>
              </w:rPr>
              <w:t>condiții</w:t>
            </w:r>
            <w:r w:rsidR="00A57EA1" w:rsidRPr="008C5F1C">
              <w:rPr>
                <w:rFonts w:ascii="Times New Roman" w:hAnsi="Times New Roman" w:cs="Times New Roman"/>
              </w:rPr>
              <w:t xml:space="preserve"> de utilizare optime. Doar 4.256 km sunt </w:t>
            </w:r>
            <w:r w:rsidRPr="008C5F1C">
              <w:rPr>
                <w:rFonts w:ascii="Times New Roman" w:hAnsi="Times New Roman" w:cs="Times New Roman"/>
              </w:rPr>
              <w:t>modernizați</w:t>
            </w:r>
            <w:r w:rsidR="00A57EA1" w:rsidRPr="008C5F1C">
              <w:rPr>
                <w:rFonts w:ascii="Times New Roman" w:hAnsi="Times New Roman" w:cs="Times New Roman"/>
              </w:rPr>
              <w:t xml:space="preserve"> </w:t>
            </w:r>
            <w:r w:rsidR="005222A0" w:rsidRPr="008C5F1C">
              <w:rPr>
                <w:rFonts w:ascii="Times New Roman" w:hAnsi="Times New Roman" w:cs="Times New Roman"/>
              </w:rPr>
              <w:t>(33,4% din total)</w:t>
            </w:r>
            <w:r w:rsidR="00A57EA1" w:rsidRPr="008C5F1C">
              <w:rPr>
                <w:rFonts w:ascii="Times New Roman" w:hAnsi="Times New Roman" w:cs="Times New Roman"/>
              </w:rPr>
              <w:t>, mult sub procentul na</w:t>
            </w:r>
            <w:r w:rsidRPr="008C5F1C">
              <w:rPr>
                <w:rFonts w:ascii="Times New Roman" w:hAnsi="Times New Roman" w:cs="Times New Roman"/>
              </w:rPr>
              <w:t>ț</w:t>
            </w:r>
            <w:r w:rsidR="00A57EA1" w:rsidRPr="008C5F1C">
              <w:rPr>
                <w:rFonts w:ascii="Times New Roman" w:hAnsi="Times New Roman" w:cs="Times New Roman"/>
              </w:rPr>
              <w:t>ional de 42.54%.</w:t>
            </w:r>
            <w:r w:rsidR="005222A0" w:rsidRPr="008C5F1C">
              <w:rPr>
                <w:rFonts w:ascii="Times New Roman" w:hAnsi="Times New Roman" w:cs="Times New Roman"/>
              </w:rPr>
              <w:t xml:space="preserve"> </w:t>
            </w:r>
            <w:r w:rsidR="006A2F40" w:rsidRPr="008C5F1C">
              <w:rPr>
                <w:rFonts w:ascii="Times New Roman" w:hAnsi="Times New Roman" w:cs="Times New Roman"/>
              </w:rPr>
              <w:t>D</w:t>
            </w:r>
            <w:r w:rsidR="00A57EA1" w:rsidRPr="008C5F1C">
              <w:rPr>
                <w:rFonts w:ascii="Times New Roman" w:hAnsi="Times New Roman" w:cs="Times New Roman"/>
              </w:rPr>
              <w:t>rumuril</w:t>
            </w:r>
            <w:r w:rsidR="006A2F40" w:rsidRPr="008C5F1C">
              <w:rPr>
                <w:rFonts w:ascii="Times New Roman" w:hAnsi="Times New Roman" w:cs="Times New Roman"/>
              </w:rPr>
              <w:t>e</w:t>
            </w:r>
            <w:r w:rsidR="00A57EA1" w:rsidRPr="008C5F1C">
              <w:rPr>
                <w:rFonts w:ascii="Times New Roman" w:hAnsi="Times New Roman" w:cs="Times New Roman"/>
              </w:rPr>
              <w:t xml:space="preserve"> jude</w:t>
            </w:r>
            <w:r w:rsidRPr="008C5F1C">
              <w:rPr>
                <w:rFonts w:ascii="Times New Roman" w:hAnsi="Times New Roman" w:cs="Times New Roman"/>
              </w:rPr>
              <w:t>ț</w:t>
            </w:r>
            <w:r w:rsidR="00A57EA1" w:rsidRPr="008C5F1C">
              <w:rPr>
                <w:rFonts w:ascii="Times New Roman" w:hAnsi="Times New Roman" w:cs="Times New Roman"/>
              </w:rPr>
              <w:t xml:space="preserve">ene și </w:t>
            </w:r>
            <w:r w:rsidR="00A57EA1" w:rsidRPr="008C5F1C">
              <w:rPr>
                <w:rFonts w:ascii="Times New Roman" w:hAnsi="Times New Roman" w:cs="Times New Roman"/>
              </w:rPr>
              <w:lastRenderedPageBreak/>
              <w:t xml:space="preserve">comunale sunt </w:t>
            </w:r>
            <w:r w:rsidR="003845E6" w:rsidRPr="008C5F1C">
              <w:rPr>
                <w:rFonts w:ascii="Times New Roman" w:hAnsi="Times New Roman" w:cs="Times New Roman"/>
              </w:rPr>
              <w:t>în general</w:t>
            </w:r>
            <w:r w:rsidR="00A57EA1" w:rsidRPr="008C5F1C">
              <w:rPr>
                <w:rFonts w:ascii="Times New Roman" w:hAnsi="Times New Roman" w:cs="Times New Roman"/>
              </w:rPr>
              <w:t xml:space="preserve"> degradate și cu solu</w:t>
            </w:r>
            <w:r w:rsidRPr="008C5F1C">
              <w:rPr>
                <w:rFonts w:ascii="Times New Roman" w:hAnsi="Times New Roman" w:cs="Times New Roman"/>
              </w:rPr>
              <w:t>ț</w:t>
            </w:r>
            <w:r w:rsidR="00A57EA1" w:rsidRPr="008C5F1C">
              <w:rPr>
                <w:rFonts w:ascii="Times New Roman" w:hAnsi="Times New Roman" w:cs="Times New Roman"/>
              </w:rPr>
              <w:t>ii tehnice depășite, nepermi</w:t>
            </w:r>
            <w:r w:rsidRPr="008C5F1C">
              <w:rPr>
                <w:rFonts w:ascii="Times New Roman" w:hAnsi="Times New Roman" w:cs="Times New Roman"/>
              </w:rPr>
              <w:t>ț</w:t>
            </w:r>
            <w:r w:rsidR="00893D84" w:rsidRPr="008C5F1C">
              <w:rPr>
                <w:rFonts w:ascii="Times New Roman" w:hAnsi="Times New Roman" w:cs="Times New Roman"/>
              </w:rPr>
              <w:t>ând</w:t>
            </w:r>
            <w:r w:rsidR="00A57EA1" w:rsidRPr="008C5F1C">
              <w:rPr>
                <w:rFonts w:ascii="Times New Roman" w:hAnsi="Times New Roman" w:cs="Times New Roman"/>
              </w:rPr>
              <w:t xml:space="preserve"> un acces facil spre zonele rurale</w:t>
            </w:r>
            <w:r w:rsidR="005222A0" w:rsidRPr="008C5F1C">
              <w:rPr>
                <w:rFonts w:ascii="Times New Roman" w:hAnsi="Times New Roman" w:cs="Times New Roman"/>
              </w:rPr>
              <w:t>,</w:t>
            </w:r>
            <w:r w:rsidR="00A57EA1" w:rsidRPr="008C5F1C">
              <w:rPr>
                <w:rFonts w:ascii="Times New Roman" w:hAnsi="Times New Roman" w:cs="Times New Roman"/>
              </w:rPr>
              <w:t xml:space="preserve"> mai ales </w:t>
            </w:r>
            <w:r w:rsidR="003F260C" w:rsidRPr="008C5F1C">
              <w:rPr>
                <w:rFonts w:ascii="Times New Roman" w:hAnsi="Times New Roman" w:cs="Times New Roman"/>
              </w:rPr>
              <w:t>î</w:t>
            </w:r>
            <w:r w:rsidR="00A57EA1" w:rsidRPr="008C5F1C">
              <w:rPr>
                <w:rFonts w:ascii="Times New Roman" w:hAnsi="Times New Roman" w:cs="Times New Roman"/>
              </w:rPr>
              <w:t>n jude</w:t>
            </w:r>
            <w:r w:rsidRPr="008C5F1C">
              <w:rPr>
                <w:rFonts w:ascii="Times New Roman" w:hAnsi="Times New Roman" w:cs="Times New Roman"/>
              </w:rPr>
              <w:t>ț</w:t>
            </w:r>
            <w:r w:rsidR="00A57EA1" w:rsidRPr="008C5F1C">
              <w:rPr>
                <w:rFonts w:ascii="Times New Roman" w:hAnsi="Times New Roman" w:cs="Times New Roman"/>
              </w:rPr>
              <w:t xml:space="preserve">ele care se confruntă cu cele mai mari </w:t>
            </w:r>
            <w:r w:rsidRPr="008C5F1C">
              <w:rPr>
                <w:rFonts w:ascii="Times New Roman" w:hAnsi="Times New Roman" w:cs="Times New Roman"/>
              </w:rPr>
              <w:t>disparități</w:t>
            </w:r>
            <w:r w:rsidR="00A57EA1" w:rsidRPr="008C5F1C">
              <w:rPr>
                <w:rFonts w:ascii="Times New Roman" w:hAnsi="Times New Roman" w:cs="Times New Roman"/>
              </w:rPr>
              <w:t xml:space="preserve"> de dezvoltare precum sunt Sălajul și Bistri</w:t>
            </w:r>
            <w:r w:rsidRPr="008C5F1C">
              <w:rPr>
                <w:rFonts w:ascii="Times New Roman" w:hAnsi="Times New Roman" w:cs="Times New Roman"/>
              </w:rPr>
              <w:t>ț</w:t>
            </w:r>
            <w:r w:rsidR="00A57EA1" w:rsidRPr="008C5F1C">
              <w:rPr>
                <w:rFonts w:ascii="Times New Roman" w:hAnsi="Times New Roman" w:cs="Times New Roman"/>
              </w:rPr>
              <w:t>a-Năsăud. Cheltuielile de între</w:t>
            </w:r>
            <w:r w:rsidRPr="008C5F1C">
              <w:rPr>
                <w:rFonts w:ascii="Times New Roman" w:hAnsi="Times New Roman" w:cs="Times New Roman"/>
              </w:rPr>
              <w:t>ț</w:t>
            </w:r>
            <w:r w:rsidR="00A57EA1" w:rsidRPr="008C5F1C">
              <w:rPr>
                <w:rFonts w:ascii="Times New Roman" w:hAnsi="Times New Roman" w:cs="Times New Roman"/>
              </w:rPr>
              <w:t>inere a actualei re</w:t>
            </w:r>
            <w:r w:rsidRPr="008C5F1C">
              <w:rPr>
                <w:rFonts w:ascii="Times New Roman" w:hAnsi="Times New Roman" w:cs="Times New Roman"/>
              </w:rPr>
              <w:t>ț</w:t>
            </w:r>
            <w:r w:rsidR="00A57EA1" w:rsidRPr="008C5F1C">
              <w:rPr>
                <w:rFonts w:ascii="Times New Roman" w:hAnsi="Times New Roman" w:cs="Times New Roman"/>
              </w:rPr>
              <w:t>ele rutiere regionale, cu solu</w:t>
            </w:r>
            <w:r w:rsidRPr="008C5F1C">
              <w:rPr>
                <w:rFonts w:ascii="Times New Roman" w:hAnsi="Times New Roman" w:cs="Times New Roman"/>
              </w:rPr>
              <w:t>ț</w:t>
            </w:r>
            <w:r w:rsidR="00A57EA1" w:rsidRPr="008C5F1C">
              <w:rPr>
                <w:rFonts w:ascii="Times New Roman" w:hAnsi="Times New Roman" w:cs="Times New Roman"/>
              </w:rPr>
              <w:t xml:space="preserve">iile tehnice existente, </w:t>
            </w:r>
            <w:r w:rsidR="00893D84" w:rsidRPr="008C5F1C">
              <w:rPr>
                <w:rFonts w:ascii="Times New Roman" w:hAnsi="Times New Roman" w:cs="Times New Roman"/>
              </w:rPr>
              <w:t>depășesc</w:t>
            </w:r>
            <w:r w:rsidR="00A57EA1" w:rsidRPr="008C5F1C">
              <w:rPr>
                <w:rFonts w:ascii="Times New Roman" w:hAnsi="Times New Roman" w:cs="Times New Roman"/>
              </w:rPr>
              <w:t xml:space="preserve"> posibilită</w:t>
            </w:r>
            <w:r w:rsidRPr="008C5F1C">
              <w:rPr>
                <w:rFonts w:ascii="Times New Roman" w:hAnsi="Times New Roman" w:cs="Times New Roman"/>
              </w:rPr>
              <w:t>ț</w:t>
            </w:r>
            <w:r w:rsidR="00A57EA1" w:rsidRPr="008C5F1C">
              <w:rPr>
                <w:rFonts w:ascii="Times New Roman" w:hAnsi="Times New Roman" w:cs="Times New Roman"/>
              </w:rPr>
              <w:t>ile financiare ale administra</w:t>
            </w:r>
            <w:r w:rsidRPr="008C5F1C">
              <w:rPr>
                <w:rFonts w:ascii="Times New Roman" w:hAnsi="Times New Roman" w:cs="Times New Roman"/>
              </w:rPr>
              <w:t>ț</w:t>
            </w:r>
            <w:r w:rsidR="00A57EA1" w:rsidRPr="008C5F1C">
              <w:rPr>
                <w:rFonts w:ascii="Times New Roman" w:hAnsi="Times New Roman" w:cs="Times New Roman"/>
              </w:rPr>
              <w:t>iilor na</w:t>
            </w:r>
            <w:r w:rsidRPr="008C5F1C">
              <w:rPr>
                <w:rFonts w:ascii="Times New Roman" w:hAnsi="Times New Roman" w:cs="Times New Roman"/>
              </w:rPr>
              <w:t>ț</w:t>
            </w:r>
            <w:r w:rsidR="00A57EA1" w:rsidRPr="008C5F1C">
              <w:rPr>
                <w:rFonts w:ascii="Times New Roman" w:hAnsi="Times New Roman" w:cs="Times New Roman"/>
              </w:rPr>
              <w:t xml:space="preserve">ionale </w:t>
            </w:r>
            <w:proofErr w:type="spellStart"/>
            <w:r w:rsidR="00A57EA1" w:rsidRPr="008C5F1C">
              <w:rPr>
                <w:rFonts w:ascii="Times New Roman" w:hAnsi="Times New Roman" w:cs="Times New Roman"/>
              </w:rPr>
              <w:t>şi</w:t>
            </w:r>
            <w:proofErr w:type="spellEnd"/>
            <w:r w:rsidR="00A57EA1" w:rsidRPr="008C5F1C">
              <w:rPr>
                <w:rFonts w:ascii="Times New Roman" w:hAnsi="Times New Roman" w:cs="Times New Roman"/>
              </w:rPr>
              <w:t xml:space="preserve"> jude</w:t>
            </w:r>
            <w:r w:rsidRPr="008C5F1C">
              <w:rPr>
                <w:rFonts w:ascii="Times New Roman" w:hAnsi="Times New Roman" w:cs="Times New Roman"/>
              </w:rPr>
              <w:t>ț</w:t>
            </w:r>
            <w:r w:rsidR="00A57EA1" w:rsidRPr="008C5F1C">
              <w:rPr>
                <w:rFonts w:ascii="Times New Roman" w:hAnsi="Times New Roman" w:cs="Times New Roman"/>
              </w:rPr>
              <w:t>ene.</w:t>
            </w:r>
            <w:r w:rsidR="007B6AB1" w:rsidRPr="008C5F1C">
              <w:rPr>
                <w:rFonts w:ascii="Times New Roman" w:hAnsi="Times New Roman" w:cs="Times New Roman"/>
              </w:rPr>
              <w:t xml:space="preserve"> </w:t>
            </w:r>
            <w:r w:rsidR="00453851" w:rsidRPr="008C5F1C">
              <w:rPr>
                <w:rFonts w:ascii="Times New Roman" w:hAnsi="Times New Roman" w:cs="Times New Roman"/>
              </w:rPr>
              <w:t>De asemenea, c</w:t>
            </w:r>
            <w:r w:rsidR="00A57EA1" w:rsidRPr="008C5F1C">
              <w:rPr>
                <w:rFonts w:ascii="Times New Roman" w:hAnsi="Times New Roman" w:cs="Times New Roman"/>
              </w:rPr>
              <w:t>omunită</w:t>
            </w:r>
            <w:r w:rsidRPr="008C5F1C">
              <w:rPr>
                <w:rFonts w:ascii="Times New Roman" w:hAnsi="Times New Roman" w:cs="Times New Roman"/>
              </w:rPr>
              <w:t>ț</w:t>
            </w:r>
            <w:r w:rsidR="00A57EA1" w:rsidRPr="008C5F1C">
              <w:rPr>
                <w:rFonts w:ascii="Times New Roman" w:hAnsi="Times New Roman" w:cs="Times New Roman"/>
              </w:rPr>
              <w:t>ile din Bistri</w:t>
            </w:r>
            <w:r w:rsidRPr="008C5F1C">
              <w:rPr>
                <w:rFonts w:ascii="Times New Roman" w:hAnsi="Times New Roman" w:cs="Times New Roman"/>
              </w:rPr>
              <w:t>ț</w:t>
            </w:r>
            <w:r w:rsidR="00A57EA1" w:rsidRPr="008C5F1C">
              <w:rPr>
                <w:rFonts w:ascii="Times New Roman" w:hAnsi="Times New Roman" w:cs="Times New Roman"/>
              </w:rPr>
              <w:t xml:space="preserve">a-Năsăud, </w:t>
            </w:r>
            <w:r w:rsidR="00893D84" w:rsidRPr="008C5F1C">
              <w:rPr>
                <w:rFonts w:ascii="Times New Roman" w:hAnsi="Times New Roman" w:cs="Times New Roman"/>
              </w:rPr>
              <w:t>Maramureș</w:t>
            </w:r>
            <w:r w:rsidR="00A57EA1" w:rsidRPr="008C5F1C">
              <w:rPr>
                <w:rFonts w:ascii="Times New Roman" w:hAnsi="Times New Roman" w:cs="Times New Roman"/>
              </w:rPr>
              <w:t xml:space="preserve"> </w:t>
            </w:r>
            <w:proofErr w:type="spellStart"/>
            <w:r w:rsidR="00A57EA1" w:rsidRPr="008C5F1C">
              <w:rPr>
                <w:rFonts w:ascii="Times New Roman" w:hAnsi="Times New Roman" w:cs="Times New Roman"/>
              </w:rPr>
              <w:t>şi</w:t>
            </w:r>
            <w:proofErr w:type="spellEnd"/>
            <w:r w:rsidR="00A57EA1" w:rsidRPr="008C5F1C">
              <w:rPr>
                <w:rFonts w:ascii="Times New Roman" w:hAnsi="Times New Roman" w:cs="Times New Roman"/>
              </w:rPr>
              <w:t xml:space="preserve"> Mun</w:t>
            </w:r>
            <w:r w:rsidRPr="008C5F1C">
              <w:rPr>
                <w:rFonts w:ascii="Times New Roman" w:hAnsi="Times New Roman" w:cs="Times New Roman"/>
              </w:rPr>
              <w:t>ț</w:t>
            </w:r>
            <w:r w:rsidR="00A57EA1" w:rsidRPr="008C5F1C">
              <w:rPr>
                <w:rFonts w:ascii="Times New Roman" w:hAnsi="Times New Roman" w:cs="Times New Roman"/>
              </w:rPr>
              <w:t>ii Apuseni sunt în afara zonei de acces la re</w:t>
            </w:r>
            <w:r w:rsidRPr="008C5F1C">
              <w:rPr>
                <w:rFonts w:ascii="Times New Roman" w:hAnsi="Times New Roman" w:cs="Times New Roman"/>
              </w:rPr>
              <w:t>ț</w:t>
            </w:r>
            <w:r w:rsidR="00A57EA1" w:rsidRPr="008C5F1C">
              <w:rPr>
                <w:rFonts w:ascii="Times New Roman" w:hAnsi="Times New Roman" w:cs="Times New Roman"/>
              </w:rPr>
              <w:t>eaua TEN-T rutieră în 30 minute</w:t>
            </w:r>
            <w:r w:rsidR="00F23B57" w:rsidRPr="008C5F1C">
              <w:rPr>
                <w:rStyle w:val="FootnoteReference"/>
                <w:rFonts w:ascii="Times New Roman" w:hAnsi="Times New Roman" w:cs="Times New Roman"/>
              </w:rPr>
              <w:footnoteReference w:id="14"/>
            </w:r>
            <w:r w:rsidR="00AE47EB" w:rsidRPr="008C5F1C">
              <w:rPr>
                <w:rFonts w:ascii="Times New Roman" w:hAnsi="Times New Roman" w:cs="Times New Roman"/>
              </w:rPr>
              <w:t>.</w:t>
            </w:r>
          </w:p>
          <w:p w14:paraId="5776EB87" w14:textId="4D9F866D" w:rsidR="00C0303A" w:rsidRPr="008C5F1C" w:rsidRDefault="00DF264F">
            <w:pPr>
              <w:spacing w:after="120" w:line="240" w:lineRule="auto"/>
              <w:jc w:val="both"/>
              <w:rPr>
                <w:rFonts w:ascii="Times New Roman" w:hAnsi="Times New Roman" w:cs="Times New Roman"/>
              </w:rPr>
            </w:pPr>
            <w:r w:rsidRPr="008C5F1C">
              <w:rPr>
                <w:rFonts w:ascii="Times New Roman" w:hAnsi="Times New Roman" w:cs="Times New Roman"/>
                <w:b/>
                <w:bCs/>
              </w:rPr>
              <w:t>O bună parte a siturilor necesită conservare, protejare sau investiții pentru a putea fi incluse în circuite turistice.</w:t>
            </w:r>
            <w:r w:rsidRPr="008C5F1C" w:rsidDel="00BA2484">
              <w:rPr>
                <w:rFonts w:ascii="Times New Roman" w:hAnsi="Times New Roman" w:cs="Times New Roman"/>
              </w:rPr>
              <w:t xml:space="preserve"> </w:t>
            </w:r>
            <w:r w:rsidR="00BA2484" w:rsidRPr="008C5F1C">
              <w:rPr>
                <w:rFonts w:ascii="Times New Roman" w:hAnsi="Times New Roman" w:cs="Times New Roman"/>
              </w:rPr>
              <w:t>A</w:t>
            </w:r>
            <w:r w:rsidR="00C0303A" w:rsidRPr="008C5F1C">
              <w:rPr>
                <w:rFonts w:ascii="Times New Roman" w:hAnsi="Times New Roman" w:cs="Times New Roman"/>
              </w:rPr>
              <w:t xml:space="preserve">ctivitatea turistică este concentrată în câteva centre, restul obiectivelor rămânând în mare măsură nevalorificate. Un număr însemnat de resurse naturale rămân în umbră din cauza dificultăților de acces și a lipsei unor amenajări minime care să permită vizitarea lor în condiții optime. </w:t>
            </w:r>
            <w:r w:rsidRPr="008C5F1C">
              <w:rPr>
                <w:rFonts w:ascii="Times New Roman" w:hAnsi="Times New Roman" w:cs="Times New Roman"/>
              </w:rPr>
              <w:t>A</w:t>
            </w:r>
            <w:r w:rsidR="00C0303A" w:rsidRPr="008C5F1C">
              <w:rPr>
                <w:rFonts w:ascii="Times New Roman" w:hAnsi="Times New Roman" w:cs="Times New Roman"/>
              </w:rPr>
              <w:t>pel</w:t>
            </w:r>
            <w:r w:rsidRPr="008C5F1C">
              <w:rPr>
                <w:rFonts w:ascii="Times New Roman" w:hAnsi="Times New Roman" w:cs="Times New Roman"/>
              </w:rPr>
              <w:t>e</w:t>
            </w:r>
            <w:r w:rsidR="00C0303A" w:rsidRPr="008C5F1C">
              <w:rPr>
                <w:rFonts w:ascii="Times New Roman" w:hAnsi="Times New Roman" w:cs="Times New Roman"/>
              </w:rPr>
              <w:t xml:space="preserve"> termale, sărate și minerale din regiune </w:t>
            </w:r>
            <w:r w:rsidRPr="008C5F1C">
              <w:rPr>
                <w:rFonts w:ascii="Times New Roman" w:hAnsi="Times New Roman" w:cs="Times New Roman"/>
              </w:rPr>
              <w:t>nu sunt</w:t>
            </w:r>
            <w:r w:rsidR="00C0303A" w:rsidRPr="008C5F1C">
              <w:rPr>
                <w:rFonts w:ascii="Times New Roman" w:hAnsi="Times New Roman" w:cs="Times New Roman"/>
              </w:rPr>
              <w:t xml:space="preserve"> suficient explorate din perspectiva efectelor curative.</w:t>
            </w:r>
            <w:r w:rsidRPr="008C5F1C">
              <w:rPr>
                <w:rFonts w:ascii="Times New Roman" w:hAnsi="Times New Roman" w:cs="Times New Roman"/>
              </w:rPr>
              <w:t xml:space="preserve"> </w:t>
            </w:r>
            <w:r w:rsidR="0045307C" w:rsidRPr="008C5F1C">
              <w:rPr>
                <w:rFonts w:ascii="Times New Roman" w:hAnsi="Times New Roman" w:cs="Times New Roman"/>
              </w:rPr>
              <w:t>Varietatea</w:t>
            </w:r>
            <w:r w:rsidR="00C0303A" w:rsidRPr="008C5F1C">
              <w:rPr>
                <w:rFonts w:ascii="Times New Roman" w:hAnsi="Times New Roman" w:cs="Times New Roman"/>
              </w:rPr>
              <w:t xml:space="preserve"> obiective</w:t>
            </w:r>
            <w:r w:rsidR="0045307C" w:rsidRPr="008C5F1C">
              <w:rPr>
                <w:rFonts w:ascii="Times New Roman" w:hAnsi="Times New Roman" w:cs="Times New Roman"/>
              </w:rPr>
              <w:t>lor</w:t>
            </w:r>
            <w:r w:rsidR="00C0303A" w:rsidRPr="008C5F1C">
              <w:rPr>
                <w:rFonts w:ascii="Times New Roman" w:hAnsi="Times New Roman" w:cs="Times New Roman"/>
              </w:rPr>
              <w:t xml:space="preserve"> turistice</w:t>
            </w:r>
            <w:r w:rsidR="0045307C" w:rsidRPr="008C5F1C">
              <w:rPr>
                <w:rFonts w:ascii="Times New Roman" w:hAnsi="Times New Roman" w:cs="Times New Roman"/>
              </w:rPr>
              <w:t xml:space="preserve"> </w:t>
            </w:r>
            <w:r w:rsidR="00C0303A" w:rsidRPr="008C5F1C">
              <w:rPr>
                <w:rFonts w:ascii="Times New Roman" w:hAnsi="Times New Roman" w:cs="Times New Roman"/>
              </w:rPr>
              <w:t>este completată de lista monumentelor istorice, care totalizează 4.480 de obiective de patrimoniu, dintre care 998 de</w:t>
            </w:r>
            <w:r w:rsidR="00341481" w:rsidRPr="008C5F1C">
              <w:rPr>
                <w:rFonts w:ascii="Times New Roman" w:hAnsi="Times New Roman" w:cs="Times New Roman"/>
              </w:rPr>
              <w:t xml:space="preserve"> </w:t>
            </w:r>
            <w:r w:rsidR="00824FB6" w:rsidRPr="008C5F1C">
              <w:rPr>
                <w:rFonts w:ascii="Times New Roman" w:hAnsi="Times New Roman" w:cs="Times New Roman"/>
              </w:rPr>
              <w:t xml:space="preserve">tip A, de </w:t>
            </w:r>
            <w:r w:rsidR="00C0303A" w:rsidRPr="008C5F1C">
              <w:rPr>
                <w:rFonts w:ascii="Times New Roman" w:hAnsi="Times New Roman" w:cs="Times New Roman"/>
              </w:rPr>
              <w:t xml:space="preserve">interes național sau universal (dintre care 310 în mediul urban), iar 3482 de tip B (dintre care 1583 în mediul urban). </w:t>
            </w:r>
            <w:r w:rsidR="00D83CD1" w:rsidRPr="008C5F1C">
              <w:rPr>
                <w:rFonts w:ascii="Times New Roman" w:hAnsi="Times New Roman" w:cs="Times New Roman"/>
              </w:rPr>
              <w:t>În plus, în regiune se regăsesc 10 centre de agrement, dintre care cinci tabere, majoritatea având însă nevoie de investiții în refacerea infrastructurii.</w:t>
            </w:r>
          </w:p>
          <w:p w14:paraId="08366E7E" w14:textId="52A5F410" w:rsidR="00755854" w:rsidRPr="008C5F1C" w:rsidRDefault="0035072C">
            <w:pPr>
              <w:spacing w:after="120" w:line="240" w:lineRule="auto"/>
              <w:jc w:val="both"/>
              <w:rPr>
                <w:rFonts w:ascii="Times New Roman" w:hAnsi="Times New Roman" w:cs="Times New Roman"/>
              </w:rPr>
            </w:pPr>
            <w:r w:rsidRPr="008C5F1C">
              <w:rPr>
                <w:rFonts w:ascii="Times New Roman" w:hAnsi="Times New Roman" w:cs="Times New Roman"/>
                <w:b/>
                <w:bCs/>
              </w:rPr>
              <w:t>Resursele de muncă</w:t>
            </w:r>
            <w:r w:rsidR="006A223C" w:rsidRPr="008C5F1C">
              <w:rPr>
                <w:rFonts w:ascii="Times New Roman" w:hAnsi="Times New Roman" w:cs="Times New Roman"/>
                <w:b/>
                <w:bCs/>
              </w:rPr>
              <w:t xml:space="preserve"> </w:t>
            </w:r>
            <w:r w:rsidR="001F4969" w:rsidRPr="008C5F1C">
              <w:rPr>
                <w:rFonts w:ascii="Times New Roman" w:hAnsi="Times New Roman" w:cs="Times New Roman"/>
                <w:b/>
                <w:bCs/>
              </w:rPr>
              <w:t>migrează în funcție de</w:t>
            </w:r>
            <w:r w:rsidR="00310446" w:rsidRPr="008C5F1C">
              <w:rPr>
                <w:rFonts w:ascii="Times New Roman" w:hAnsi="Times New Roman" w:cs="Times New Roman"/>
                <w:b/>
                <w:bCs/>
              </w:rPr>
              <w:t xml:space="preserve"> </w:t>
            </w:r>
            <w:r w:rsidR="006A223C" w:rsidRPr="008C5F1C">
              <w:rPr>
                <w:rFonts w:ascii="Times New Roman" w:hAnsi="Times New Roman" w:cs="Times New Roman"/>
                <w:b/>
                <w:bCs/>
              </w:rPr>
              <w:t>oportunitățile economice</w:t>
            </w:r>
            <w:r w:rsidR="00175A1A" w:rsidRPr="008C5F1C">
              <w:rPr>
                <w:rFonts w:ascii="Times New Roman" w:hAnsi="Times New Roman" w:cs="Times New Roman"/>
                <w:b/>
                <w:bCs/>
              </w:rPr>
              <w:t>, adâncind decalajele structurale</w:t>
            </w:r>
            <w:r w:rsidR="006A223C" w:rsidRPr="008C5F1C">
              <w:rPr>
                <w:rFonts w:ascii="Times New Roman" w:hAnsi="Times New Roman" w:cs="Times New Roman"/>
                <w:b/>
                <w:bCs/>
              </w:rPr>
              <w:t>.</w:t>
            </w:r>
            <w:r w:rsidR="00655153" w:rsidRPr="008C5F1C">
              <w:rPr>
                <w:rFonts w:ascii="Times New Roman" w:hAnsi="Times New Roman" w:cs="Times New Roman"/>
              </w:rPr>
              <w:t xml:space="preserve"> </w:t>
            </w:r>
            <w:r w:rsidR="003A203B" w:rsidRPr="008C5F1C">
              <w:rPr>
                <w:rFonts w:ascii="Times New Roman" w:hAnsi="Times New Roman" w:cs="Times New Roman"/>
              </w:rPr>
              <w:t>Din punct de vedere demografic, regiunea este mai slab populată decât media na</w:t>
            </w:r>
            <w:r w:rsidR="00E22FF2" w:rsidRPr="008C5F1C">
              <w:rPr>
                <w:rFonts w:ascii="Times New Roman" w:hAnsi="Times New Roman" w:cs="Times New Roman"/>
              </w:rPr>
              <w:t>ț</w:t>
            </w:r>
            <w:r w:rsidR="003A203B" w:rsidRPr="008C5F1C">
              <w:rPr>
                <w:rFonts w:ascii="Times New Roman" w:hAnsi="Times New Roman" w:cs="Times New Roman"/>
              </w:rPr>
              <w:t>ională. Sălaj</w:t>
            </w:r>
            <w:r w:rsidR="00D42380" w:rsidRPr="008C5F1C">
              <w:rPr>
                <w:rFonts w:ascii="Times New Roman" w:hAnsi="Times New Roman" w:cs="Times New Roman"/>
              </w:rPr>
              <w:t>ul</w:t>
            </w:r>
            <w:r w:rsidR="003A203B" w:rsidRPr="008C5F1C">
              <w:rPr>
                <w:rFonts w:ascii="Times New Roman" w:hAnsi="Times New Roman" w:cs="Times New Roman"/>
              </w:rPr>
              <w:t xml:space="preserve"> are procentul cel mai redus de popula</w:t>
            </w:r>
            <w:r w:rsidR="00E22FF2" w:rsidRPr="008C5F1C">
              <w:rPr>
                <w:rFonts w:ascii="Times New Roman" w:hAnsi="Times New Roman" w:cs="Times New Roman"/>
              </w:rPr>
              <w:t>ț</w:t>
            </w:r>
            <w:r w:rsidR="003A203B" w:rsidRPr="008C5F1C">
              <w:rPr>
                <w:rFonts w:ascii="Times New Roman" w:hAnsi="Times New Roman" w:cs="Times New Roman"/>
              </w:rPr>
              <w:t>ie activă</w:t>
            </w:r>
            <w:r w:rsidR="003A203B" w:rsidRPr="008C5F1C">
              <w:rPr>
                <w:rStyle w:val="FootnoteReference"/>
                <w:rFonts w:ascii="Times New Roman" w:hAnsi="Times New Roman" w:cs="Times New Roman"/>
              </w:rPr>
              <w:footnoteReference w:id="15"/>
            </w:r>
            <w:r w:rsidR="003A203B" w:rsidRPr="008C5F1C">
              <w:rPr>
                <w:rFonts w:ascii="Times New Roman" w:hAnsi="Times New Roman" w:cs="Times New Roman"/>
              </w:rPr>
              <w:t xml:space="preserve"> (63,76%), având cel mai mare procent de vârstnici (26,08%). La polul opus se situează Cluj</w:t>
            </w:r>
            <w:r w:rsidRPr="008C5F1C">
              <w:rPr>
                <w:rFonts w:ascii="Times New Roman" w:hAnsi="Times New Roman" w:cs="Times New Roman"/>
              </w:rPr>
              <w:t>ul</w:t>
            </w:r>
            <w:r w:rsidR="003A203B" w:rsidRPr="008C5F1C">
              <w:rPr>
                <w:rFonts w:ascii="Times New Roman" w:hAnsi="Times New Roman" w:cs="Times New Roman"/>
              </w:rPr>
              <w:t xml:space="preserve">, </w:t>
            </w:r>
            <w:r w:rsidRPr="008C5F1C">
              <w:rPr>
                <w:rFonts w:ascii="Times New Roman" w:hAnsi="Times New Roman" w:cs="Times New Roman"/>
              </w:rPr>
              <w:t>cu</w:t>
            </w:r>
            <w:r w:rsidR="003A203B" w:rsidRPr="008C5F1C">
              <w:rPr>
                <w:rFonts w:ascii="Times New Roman" w:hAnsi="Times New Roman" w:cs="Times New Roman"/>
              </w:rPr>
              <w:t xml:space="preserve"> ce</w:t>
            </w:r>
            <w:r w:rsidR="003A3C4E" w:rsidRPr="008C5F1C">
              <w:rPr>
                <w:rFonts w:ascii="Times New Roman" w:hAnsi="Times New Roman" w:cs="Times New Roman"/>
              </w:rPr>
              <w:t>a</w:t>
            </w:r>
            <w:r w:rsidR="003A203B" w:rsidRPr="008C5F1C">
              <w:rPr>
                <w:rFonts w:ascii="Times New Roman" w:hAnsi="Times New Roman" w:cs="Times New Roman"/>
              </w:rPr>
              <w:t xml:space="preserve"> mai ridicat</w:t>
            </w:r>
            <w:r w:rsidR="003A3C4E" w:rsidRPr="008C5F1C">
              <w:rPr>
                <w:rFonts w:ascii="Times New Roman" w:hAnsi="Times New Roman" w:cs="Times New Roman"/>
              </w:rPr>
              <w:t>ă</w:t>
            </w:r>
            <w:r w:rsidR="003A203B" w:rsidRPr="008C5F1C">
              <w:rPr>
                <w:rFonts w:ascii="Times New Roman" w:hAnsi="Times New Roman" w:cs="Times New Roman"/>
              </w:rPr>
              <w:t xml:space="preserve"> </w:t>
            </w:r>
            <w:r w:rsidR="003A3C4E" w:rsidRPr="008C5F1C">
              <w:rPr>
                <w:rFonts w:ascii="Times New Roman" w:hAnsi="Times New Roman" w:cs="Times New Roman"/>
              </w:rPr>
              <w:t xml:space="preserve">pondere a </w:t>
            </w:r>
            <w:r w:rsidR="003A203B" w:rsidRPr="008C5F1C">
              <w:rPr>
                <w:rFonts w:ascii="Times New Roman" w:hAnsi="Times New Roman" w:cs="Times New Roman"/>
              </w:rPr>
              <w:t>popula</w:t>
            </w:r>
            <w:r w:rsidR="00E22FF2" w:rsidRPr="008C5F1C">
              <w:rPr>
                <w:rFonts w:ascii="Times New Roman" w:hAnsi="Times New Roman" w:cs="Times New Roman"/>
              </w:rPr>
              <w:t>ț</w:t>
            </w:r>
            <w:r w:rsidR="003A203B" w:rsidRPr="008C5F1C">
              <w:rPr>
                <w:rFonts w:ascii="Times New Roman" w:hAnsi="Times New Roman" w:cs="Times New Roman"/>
              </w:rPr>
              <w:t>ie</w:t>
            </w:r>
            <w:r w:rsidR="003A3C4E" w:rsidRPr="008C5F1C">
              <w:rPr>
                <w:rFonts w:ascii="Times New Roman" w:hAnsi="Times New Roman" w:cs="Times New Roman"/>
              </w:rPr>
              <w:t>i</w:t>
            </w:r>
            <w:r w:rsidR="003A203B" w:rsidRPr="008C5F1C">
              <w:rPr>
                <w:rFonts w:ascii="Times New Roman" w:hAnsi="Times New Roman" w:cs="Times New Roman"/>
              </w:rPr>
              <w:t xml:space="preserve"> activ</w:t>
            </w:r>
            <w:r w:rsidR="003A3C4E" w:rsidRPr="008C5F1C">
              <w:rPr>
                <w:rFonts w:ascii="Times New Roman" w:hAnsi="Times New Roman" w:cs="Times New Roman"/>
              </w:rPr>
              <w:t>e</w:t>
            </w:r>
            <w:r w:rsidR="003A203B" w:rsidRPr="008C5F1C">
              <w:rPr>
                <w:rFonts w:ascii="Times New Roman" w:hAnsi="Times New Roman" w:cs="Times New Roman"/>
              </w:rPr>
              <w:t xml:space="preserve"> (68,42%)</w:t>
            </w:r>
            <w:r w:rsidR="00946502" w:rsidRPr="008C5F1C">
              <w:rPr>
                <w:rFonts w:ascii="Times New Roman" w:hAnsi="Times New Roman" w:cs="Times New Roman"/>
              </w:rPr>
              <w:t>.</w:t>
            </w:r>
            <w:r w:rsidR="006A223C" w:rsidRPr="008C5F1C">
              <w:rPr>
                <w:rFonts w:ascii="Times New Roman" w:hAnsi="Times New Roman" w:cs="Times New Roman"/>
              </w:rPr>
              <w:t xml:space="preserve"> Migrația externă </w:t>
            </w:r>
            <w:r w:rsidR="00E85CA3" w:rsidRPr="008C5F1C">
              <w:rPr>
                <w:rFonts w:ascii="Times New Roman" w:hAnsi="Times New Roman" w:cs="Times New Roman"/>
              </w:rPr>
              <w:t xml:space="preserve">în scop de muncă, </w:t>
            </w:r>
            <w:r w:rsidR="006A223C" w:rsidRPr="008C5F1C">
              <w:rPr>
                <w:rFonts w:ascii="Times New Roman" w:hAnsi="Times New Roman" w:cs="Times New Roman"/>
              </w:rPr>
              <w:t>afectează județele mai puțin dezvoltate</w:t>
            </w:r>
            <w:r w:rsidR="009177EE" w:rsidRPr="008C5F1C">
              <w:rPr>
                <w:rFonts w:ascii="Times New Roman" w:hAnsi="Times New Roman" w:cs="Times New Roman"/>
              </w:rPr>
              <w:t xml:space="preserve">. </w:t>
            </w:r>
            <w:r w:rsidR="00755854" w:rsidRPr="008C5F1C">
              <w:rPr>
                <w:rFonts w:ascii="Times New Roman" w:hAnsi="Times New Roman" w:cs="Times New Roman"/>
              </w:rPr>
              <w:t>Numărul copiilor cu părinții plecați la muncă în străinătate a crescut cu 5% față de anul 2008, ajungând la 10.197, iar județele cu cel mai mare număr de copii cu părinți plecați în străinătate au rămas aceleași, Maramureș și Bistrița-Năsăud.</w:t>
            </w:r>
            <w:r w:rsidR="000B2787" w:rsidRPr="008C5F1C">
              <w:rPr>
                <w:rFonts w:ascii="Times New Roman" w:hAnsi="Times New Roman" w:cs="Times New Roman"/>
              </w:rPr>
              <w:t xml:space="preserve"> Pe plan intern, Cluj-Napoca este principalul pol de atracție al regiunii, </w:t>
            </w:r>
            <w:r w:rsidR="00C15CDF" w:rsidRPr="008C5F1C">
              <w:rPr>
                <w:rFonts w:ascii="Times New Roman" w:hAnsi="Times New Roman" w:cs="Times New Roman"/>
              </w:rPr>
              <w:t>mai ales pentru tinerii care aleg să își continue educația.</w:t>
            </w:r>
          </w:p>
          <w:p w14:paraId="57F39B31" w14:textId="4CB22DF1" w:rsidR="00E57F52" w:rsidRPr="008C5F1C" w:rsidRDefault="00D57715">
            <w:pPr>
              <w:spacing w:after="120" w:line="240" w:lineRule="auto"/>
              <w:jc w:val="both"/>
              <w:rPr>
                <w:rFonts w:ascii="Times New Roman" w:hAnsi="Times New Roman" w:cs="Times New Roman"/>
              </w:rPr>
            </w:pPr>
            <w:r w:rsidRPr="008C5F1C">
              <w:rPr>
                <w:rFonts w:ascii="Times New Roman" w:hAnsi="Times New Roman" w:cs="Times New Roman"/>
                <w:b/>
                <w:bCs/>
              </w:rPr>
              <w:t>Ponderea popula</w:t>
            </w:r>
            <w:r w:rsidR="00E22FF2" w:rsidRPr="008C5F1C">
              <w:rPr>
                <w:rFonts w:ascii="Times New Roman" w:hAnsi="Times New Roman" w:cs="Times New Roman"/>
                <w:b/>
                <w:bCs/>
              </w:rPr>
              <w:t>ț</w:t>
            </w:r>
            <w:r w:rsidRPr="008C5F1C">
              <w:rPr>
                <w:rFonts w:ascii="Times New Roman" w:hAnsi="Times New Roman" w:cs="Times New Roman"/>
                <w:b/>
                <w:bCs/>
              </w:rPr>
              <w:t xml:space="preserve">iei totale aflate în risc de sărăcie </w:t>
            </w:r>
            <w:r w:rsidR="00106240" w:rsidRPr="008C5F1C">
              <w:rPr>
                <w:rFonts w:ascii="Times New Roman" w:hAnsi="Times New Roman" w:cs="Times New Roman"/>
                <w:b/>
                <w:bCs/>
              </w:rPr>
              <w:t>ș</w:t>
            </w:r>
            <w:r w:rsidRPr="008C5F1C">
              <w:rPr>
                <w:rFonts w:ascii="Times New Roman" w:hAnsi="Times New Roman" w:cs="Times New Roman"/>
                <w:b/>
                <w:bCs/>
              </w:rPr>
              <w:t xml:space="preserve">i excluziune socială este în scădere </w:t>
            </w:r>
            <w:r w:rsidR="00106240" w:rsidRPr="008C5F1C">
              <w:rPr>
                <w:rFonts w:ascii="Times New Roman" w:hAnsi="Times New Roman" w:cs="Times New Roman"/>
                <w:b/>
                <w:bCs/>
              </w:rPr>
              <w:t>ș</w:t>
            </w:r>
            <w:r w:rsidRPr="008C5F1C">
              <w:rPr>
                <w:rFonts w:ascii="Times New Roman" w:hAnsi="Times New Roman" w:cs="Times New Roman"/>
                <w:b/>
                <w:bCs/>
              </w:rPr>
              <w:t>i sub media na</w:t>
            </w:r>
            <w:r w:rsidR="00E22FF2" w:rsidRPr="008C5F1C">
              <w:rPr>
                <w:rFonts w:ascii="Times New Roman" w:hAnsi="Times New Roman" w:cs="Times New Roman"/>
                <w:b/>
                <w:bCs/>
              </w:rPr>
              <w:t>ț</w:t>
            </w:r>
            <w:r w:rsidRPr="008C5F1C">
              <w:rPr>
                <w:rFonts w:ascii="Times New Roman" w:hAnsi="Times New Roman" w:cs="Times New Roman"/>
                <w:b/>
                <w:bCs/>
              </w:rPr>
              <w:t>ională</w:t>
            </w:r>
            <w:r w:rsidRPr="008C5F1C">
              <w:rPr>
                <w:rFonts w:ascii="Times New Roman" w:hAnsi="Times New Roman" w:cs="Times New Roman"/>
              </w:rPr>
              <w:t>. Fa</w:t>
            </w:r>
            <w:r w:rsidR="00E22FF2" w:rsidRPr="008C5F1C">
              <w:rPr>
                <w:rFonts w:ascii="Times New Roman" w:hAnsi="Times New Roman" w:cs="Times New Roman"/>
              </w:rPr>
              <w:t>ț</w:t>
            </w:r>
            <w:r w:rsidRPr="008C5F1C">
              <w:rPr>
                <w:rFonts w:ascii="Times New Roman" w:hAnsi="Times New Roman" w:cs="Times New Roman"/>
              </w:rPr>
              <w:t>ă de 2012, indicatorul a scăzut în 2018 cu aproximativ 11 puncte procentuale (22,3%, fa</w:t>
            </w:r>
            <w:r w:rsidR="00E22FF2" w:rsidRPr="008C5F1C">
              <w:rPr>
                <w:rFonts w:ascii="Times New Roman" w:hAnsi="Times New Roman" w:cs="Times New Roman"/>
              </w:rPr>
              <w:t>ț</w:t>
            </w:r>
            <w:r w:rsidRPr="008C5F1C">
              <w:rPr>
                <w:rFonts w:ascii="Times New Roman" w:hAnsi="Times New Roman" w:cs="Times New Roman"/>
              </w:rPr>
              <w:t>ă de 33,5%).</w:t>
            </w:r>
            <w:r w:rsidR="00E57F52" w:rsidRPr="008C5F1C">
              <w:rPr>
                <w:rFonts w:ascii="Times New Roman" w:hAnsi="Times New Roman" w:cs="Times New Roman"/>
              </w:rPr>
              <w:t xml:space="preserve"> Rămâne ridicată ponderea popula</w:t>
            </w:r>
            <w:r w:rsidR="00E22FF2" w:rsidRPr="008C5F1C">
              <w:rPr>
                <w:rFonts w:ascii="Times New Roman" w:hAnsi="Times New Roman" w:cs="Times New Roman"/>
              </w:rPr>
              <w:t>ț</w:t>
            </w:r>
            <w:r w:rsidR="00E57F52" w:rsidRPr="008C5F1C">
              <w:rPr>
                <w:rFonts w:ascii="Times New Roman" w:hAnsi="Times New Roman" w:cs="Times New Roman"/>
              </w:rPr>
              <w:t>iei aflată în situa</w:t>
            </w:r>
            <w:r w:rsidR="00E22FF2" w:rsidRPr="008C5F1C">
              <w:rPr>
                <w:rFonts w:ascii="Times New Roman" w:hAnsi="Times New Roman" w:cs="Times New Roman"/>
              </w:rPr>
              <w:t>ț</w:t>
            </w:r>
            <w:r w:rsidR="00E57F52" w:rsidRPr="008C5F1C">
              <w:rPr>
                <w:rFonts w:ascii="Times New Roman" w:hAnsi="Times New Roman" w:cs="Times New Roman"/>
              </w:rPr>
              <w:t>ie de sărăcie (materială) severă</w:t>
            </w:r>
            <w:r w:rsidR="00DF264F" w:rsidRPr="008C5F1C">
              <w:rPr>
                <w:rFonts w:ascii="Times New Roman" w:hAnsi="Times New Roman" w:cs="Times New Roman"/>
              </w:rPr>
              <w:t xml:space="preserve"> (aprox. 9.3%)</w:t>
            </w:r>
            <w:r w:rsidR="00E57F52" w:rsidRPr="008C5F1C">
              <w:rPr>
                <w:rFonts w:ascii="Times New Roman" w:hAnsi="Times New Roman" w:cs="Times New Roman"/>
              </w:rPr>
              <w:t>, prin compara</w:t>
            </w:r>
            <w:r w:rsidR="00E22FF2" w:rsidRPr="008C5F1C">
              <w:rPr>
                <w:rFonts w:ascii="Times New Roman" w:hAnsi="Times New Roman" w:cs="Times New Roman"/>
              </w:rPr>
              <w:t>ț</w:t>
            </w:r>
            <w:r w:rsidR="00E57F52" w:rsidRPr="008C5F1C">
              <w:rPr>
                <w:rFonts w:ascii="Times New Roman" w:hAnsi="Times New Roman" w:cs="Times New Roman"/>
              </w:rPr>
              <w:t>ie cu valoarea indicatorului la nivel european</w:t>
            </w:r>
            <w:r w:rsidR="00DF264F" w:rsidRPr="008C5F1C">
              <w:rPr>
                <w:rFonts w:ascii="Times New Roman" w:hAnsi="Times New Roman" w:cs="Times New Roman"/>
              </w:rPr>
              <w:t xml:space="preserve"> (5,8%)</w:t>
            </w:r>
            <w:r w:rsidR="00E57F52" w:rsidRPr="008C5F1C">
              <w:rPr>
                <w:rFonts w:ascii="Times New Roman" w:hAnsi="Times New Roman" w:cs="Times New Roman"/>
              </w:rPr>
              <w:t>, dar mult sub media na</w:t>
            </w:r>
            <w:r w:rsidR="00E22FF2" w:rsidRPr="008C5F1C">
              <w:rPr>
                <w:rFonts w:ascii="Times New Roman" w:hAnsi="Times New Roman" w:cs="Times New Roman"/>
              </w:rPr>
              <w:t>ț</w:t>
            </w:r>
            <w:r w:rsidR="00E57F52" w:rsidRPr="008C5F1C">
              <w:rPr>
                <w:rFonts w:ascii="Times New Roman" w:hAnsi="Times New Roman" w:cs="Times New Roman"/>
              </w:rPr>
              <w:t>ională de 16,8%.</w:t>
            </w:r>
            <w:r w:rsidR="00B76496" w:rsidRPr="008C5F1C">
              <w:rPr>
                <w:rFonts w:ascii="Times New Roman" w:hAnsi="Times New Roman" w:cs="Times New Roman"/>
              </w:rPr>
              <w:t xml:space="preserve"> </w:t>
            </w:r>
            <w:r w:rsidR="00B5247C" w:rsidRPr="008C5F1C">
              <w:rPr>
                <w:rFonts w:ascii="Times New Roman" w:hAnsi="Times New Roman" w:cs="Times New Roman"/>
              </w:rPr>
              <w:t>Aproximativ 3% din popula</w:t>
            </w:r>
            <w:r w:rsidR="00E22FF2" w:rsidRPr="008C5F1C">
              <w:rPr>
                <w:rFonts w:ascii="Times New Roman" w:hAnsi="Times New Roman" w:cs="Times New Roman"/>
              </w:rPr>
              <w:t>ț</w:t>
            </w:r>
            <w:r w:rsidR="00B5247C" w:rsidRPr="008C5F1C">
              <w:rPr>
                <w:rFonts w:ascii="Times New Roman" w:hAnsi="Times New Roman" w:cs="Times New Roman"/>
              </w:rPr>
              <w:t>ie locuiește în zone urbane marginalizate</w:t>
            </w:r>
            <w:r w:rsidR="00B5247C" w:rsidRPr="008C5F1C">
              <w:rPr>
                <w:rStyle w:val="FootnoteReference"/>
                <w:rFonts w:ascii="Times New Roman" w:hAnsi="Times New Roman" w:cs="Times New Roman"/>
              </w:rPr>
              <w:footnoteReference w:id="16"/>
            </w:r>
            <w:r w:rsidR="00B5247C" w:rsidRPr="008C5F1C">
              <w:rPr>
                <w:rFonts w:ascii="Times New Roman" w:hAnsi="Times New Roman" w:cs="Times New Roman"/>
              </w:rPr>
              <w:t xml:space="preserve">, </w:t>
            </w:r>
            <w:r w:rsidR="002842AE" w:rsidRPr="008C5F1C">
              <w:rPr>
                <w:rFonts w:ascii="Times New Roman" w:hAnsi="Times New Roman" w:cs="Times New Roman"/>
              </w:rPr>
              <w:t>procentul</w:t>
            </w:r>
            <w:r w:rsidR="007D1D21" w:rsidRPr="008C5F1C">
              <w:rPr>
                <w:rFonts w:ascii="Times New Roman" w:hAnsi="Times New Roman" w:cs="Times New Roman"/>
              </w:rPr>
              <w:t xml:space="preserve"> depășind însă 10% în 6 orașe și ajungând până</w:t>
            </w:r>
            <w:r w:rsidR="002842AE" w:rsidRPr="008C5F1C">
              <w:rPr>
                <w:rFonts w:ascii="Times New Roman" w:hAnsi="Times New Roman" w:cs="Times New Roman"/>
              </w:rPr>
              <w:t xml:space="preserve"> la 27% (Săcuieni, BH)</w:t>
            </w:r>
            <w:r w:rsidR="007D1D21" w:rsidRPr="008C5F1C">
              <w:rPr>
                <w:rFonts w:ascii="Times New Roman" w:hAnsi="Times New Roman" w:cs="Times New Roman"/>
              </w:rPr>
              <w:t xml:space="preserve"> și 22% în Livada (SM).</w:t>
            </w:r>
            <w:r w:rsidR="00F274C9" w:rsidRPr="008C5F1C" w:rsidDel="00F274C9">
              <w:rPr>
                <w:rFonts w:ascii="Times New Roman" w:hAnsi="Times New Roman" w:cs="Times New Roman"/>
              </w:rPr>
              <w:t xml:space="preserve"> </w:t>
            </w:r>
          </w:p>
          <w:p w14:paraId="3795806A" w14:textId="77777777" w:rsidR="00674710" w:rsidRPr="008C5F1C" w:rsidRDefault="00674710">
            <w:pPr>
              <w:spacing w:after="120" w:line="240" w:lineRule="auto"/>
              <w:jc w:val="both"/>
              <w:rPr>
                <w:rFonts w:ascii="Times New Roman" w:hAnsi="Times New Roman" w:cs="Times New Roman"/>
                <w:i/>
                <w:iCs/>
                <w:sz w:val="24"/>
                <w:szCs w:val="24"/>
              </w:rPr>
            </w:pPr>
            <w:r w:rsidRPr="008C5F1C">
              <w:rPr>
                <w:rFonts w:ascii="Times New Roman" w:hAnsi="Times New Roman" w:cs="Times New Roman"/>
                <w:i/>
                <w:iCs/>
                <w:sz w:val="24"/>
                <w:szCs w:val="24"/>
              </w:rPr>
              <w:t>Dezvoltare urbană</w:t>
            </w:r>
            <w:r w:rsidR="00AA35A0" w:rsidRPr="008C5F1C">
              <w:rPr>
                <w:rFonts w:ascii="Times New Roman" w:hAnsi="Times New Roman" w:cs="Times New Roman"/>
                <w:i/>
                <w:iCs/>
                <w:sz w:val="24"/>
                <w:szCs w:val="24"/>
              </w:rPr>
              <w:t>. Provocări specifice mediului urban</w:t>
            </w:r>
          </w:p>
          <w:p w14:paraId="7D6C45A2" w14:textId="109200E1" w:rsidR="00E519A4" w:rsidRPr="008C5F1C" w:rsidRDefault="00120EB3">
            <w:pPr>
              <w:suppressAutoHyphens/>
              <w:spacing w:after="120" w:line="240" w:lineRule="auto"/>
              <w:jc w:val="both"/>
              <w:rPr>
                <w:rFonts w:ascii="Times New Roman" w:eastAsia="Times New Roman" w:hAnsi="Times New Roman" w:cs="Times New Roman"/>
                <w:lang w:eastAsia="ar-SA"/>
              </w:rPr>
            </w:pPr>
            <w:r w:rsidRPr="008C5F1C">
              <w:rPr>
                <w:rFonts w:ascii="Times New Roman" w:eastAsia="Times New Roman" w:hAnsi="Times New Roman" w:cs="Times New Roman"/>
                <w:b/>
                <w:bCs/>
                <w:lang w:eastAsia="ar-SA"/>
              </w:rPr>
              <w:t>Profilul urban al regiunii arată</w:t>
            </w:r>
            <w:r w:rsidR="0035171E" w:rsidRPr="008C5F1C">
              <w:rPr>
                <w:rFonts w:ascii="Times New Roman" w:eastAsia="Times New Roman" w:hAnsi="Times New Roman" w:cs="Times New Roman"/>
                <w:b/>
                <w:bCs/>
                <w:lang w:eastAsia="ar-SA"/>
              </w:rPr>
              <w:t xml:space="preserve"> predominanța orașelor</w:t>
            </w:r>
            <w:r w:rsidR="00DC2B2D" w:rsidRPr="008C5F1C">
              <w:rPr>
                <w:rFonts w:ascii="Times New Roman" w:eastAsia="Times New Roman" w:hAnsi="Times New Roman" w:cs="Times New Roman"/>
                <w:b/>
                <w:bCs/>
                <w:lang w:eastAsia="ar-SA"/>
              </w:rPr>
              <w:t xml:space="preserve"> mici</w:t>
            </w:r>
            <w:r w:rsidR="00455990" w:rsidRPr="008C5F1C">
              <w:rPr>
                <w:rFonts w:ascii="Times New Roman" w:eastAsia="Times New Roman" w:hAnsi="Times New Roman" w:cs="Times New Roman"/>
                <w:lang w:eastAsia="ar-SA"/>
              </w:rPr>
              <w:t xml:space="preserve">, </w:t>
            </w:r>
            <w:r w:rsidR="00455990" w:rsidRPr="008C5F1C">
              <w:rPr>
                <w:rFonts w:ascii="Times New Roman" w:eastAsia="Times New Roman" w:hAnsi="Times New Roman" w:cs="Times New Roman"/>
                <w:b/>
                <w:bCs/>
                <w:lang w:eastAsia="ar-SA"/>
              </w:rPr>
              <w:t>aproape jumătate dintre orașe neîndeplinind criteriul privind populația minimă</w:t>
            </w:r>
            <w:r w:rsidR="00455990" w:rsidRPr="008C5F1C">
              <w:rPr>
                <w:rStyle w:val="FootnoteReference"/>
                <w:rFonts w:ascii="Times New Roman" w:eastAsia="Times New Roman" w:hAnsi="Times New Roman" w:cs="Times New Roman"/>
                <w:lang w:eastAsia="ar-SA"/>
              </w:rPr>
              <w:footnoteReference w:id="17"/>
            </w:r>
            <w:r w:rsidR="00E519A4" w:rsidRPr="008C5F1C">
              <w:rPr>
                <w:rFonts w:ascii="Times New Roman" w:eastAsia="Times New Roman" w:hAnsi="Times New Roman" w:cs="Times New Roman"/>
                <w:b/>
                <w:bCs/>
                <w:lang w:eastAsia="ar-SA"/>
              </w:rPr>
              <w:t>.</w:t>
            </w:r>
            <w:r w:rsidR="00E519A4" w:rsidRPr="008C5F1C">
              <w:rPr>
                <w:rFonts w:ascii="Times New Roman" w:eastAsia="Times New Roman" w:hAnsi="Times New Roman" w:cs="Times New Roman"/>
                <w:lang w:eastAsia="ar-SA"/>
              </w:rPr>
              <w:t xml:space="preserve"> Cel mai mare număr de orașe este în Maramureș (13), iar cel mai mic în Bistrița-Năsăud și Sălaj (câte 4). Predomină </w:t>
            </w:r>
            <w:r w:rsidR="00333DD4" w:rsidRPr="008C5F1C">
              <w:rPr>
                <w:rFonts w:ascii="Times New Roman" w:eastAsia="Times New Roman" w:hAnsi="Times New Roman" w:cs="Times New Roman"/>
                <w:lang w:eastAsia="ar-SA"/>
              </w:rPr>
              <w:t xml:space="preserve">așezările urbane </w:t>
            </w:r>
            <w:r w:rsidR="00E519A4" w:rsidRPr="008C5F1C">
              <w:rPr>
                <w:rFonts w:ascii="Times New Roman" w:eastAsia="Times New Roman" w:hAnsi="Times New Roman" w:cs="Times New Roman"/>
                <w:lang w:eastAsia="ar-SA"/>
              </w:rPr>
              <w:t>foarte mici (sub 10.000 de locuitori) și cele mici (10.000 – 19.999 de locuitori), ambele categorii cu câte 15 orașe</w:t>
            </w:r>
            <w:r w:rsidR="005D5785" w:rsidRPr="008C5F1C">
              <w:rPr>
                <w:rFonts w:ascii="Times New Roman" w:eastAsia="Times New Roman" w:hAnsi="Times New Roman" w:cs="Times New Roman"/>
                <w:lang w:eastAsia="ar-SA"/>
              </w:rPr>
              <w:t>.</w:t>
            </w:r>
            <w:r w:rsidR="00E519A4" w:rsidRPr="008C5F1C">
              <w:rPr>
                <w:rFonts w:ascii="Times New Roman" w:eastAsia="Times New Roman" w:hAnsi="Times New Roman" w:cs="Times New Roman"/>
                <w:lang w:eastAsia="ar-SA"/>
              </w:rPr>
              <w:t xml:space="preserve"> Alte 9 orașe au o populație între 20.000 și 100.000 de locuitori (inclusiv Municipiul Zalău)</w:t>
            </w:r>
            <w:r w:rsidR="00DA70A5" w:rsidRPr="008C5F1C">
              <w:rPr>
                <w:rFonts w:ascii="Times New Roman" w:eastAsia="Times New Roman" w:hAnsi="Times New Roman" w:cs="Times New Roman"/>
                <w:lang w:eastAsia="ar-SA"/>
              </w:rPr>
              <w:t>.</w:t>
            </w:r>
            <w:r w:rsidR="0045433B" w:rsidRPr="008C5F1C">
              <w:rPr>
                <w:rFonts w:ascii="Times New Roman" w:eastAsia="Times New Roman" w:hAnsi="Times New Roman" w:cs="Times New Roman"/>
                <w:lang w:eastAsia="ar-SA"/>
              </w:rPr>
              <w:t xml:space="preserve"> </w:t>
            </w:r>
            <w:r w:rsidR="00B27F89" w:rsidRPr="008C5F1C">
              <w:rPr>
                <w:rFonts w:ascii="Times New Roman" w:eastAsia="Times New Roman" w:hAnsi="Times New Roman" w:cs="Times New Roman"/>
                <w:lang w:eastAsia="ar-SA"/>
              </w:rPr>
              <w:t xml:space="preserve">Zonele private de existența unor centre polarizatoare urbane, aflate în profund declin </w:t>
            </w:r>
            <w:proofErr w:type="spellStart"/>
            <w:r w:rsidR="00B27F89" w:rsidRPr="008C5F1C">
              <w:rPr>
                <w:rFonts w:ascii="Times New Roman" w:eastAsia="Times New Roman" w:hAnsi="Times New Roman" w:cs="Times New Roman"/>
                <w:lang w:eastAsia="ar-SA"/>
              </w:rPr>
              <w:t>socio</w:t>
            </w:r>
            <w:proofErr w:type="spellEnd"/>
            <w:r w:rsidR="00B27F89" w:rsidRPr="008C5F1C">
              <w:rPr>
                <w:rFonts w:ascii="Times New Roman" w:eastAsia="Times New Roman" w:hAnsi="Times New Roman" w:cs="Times New Roman"/>
                <w:lang w:eastAsia="ar-SA"/>
              </w:rPr>
              <w:t>-demografic sunt: sudul și estul județului Bistrița-Năsăud; partea de sud a județului Satu Mare; zona montană a județului Cluj, partea de nord și de est a acestuia; partea de sud a județului Bihor; partea de sud, sud-est a județului Sălaj.</w:t>
            </w:r>
          </w:p>
          <w:p w14:paraId="65DFEE58" w14:textId="469316C0" w:rsidR="009124CC" w:rsidRPr="008C5F1C" w:rsidRDefault="009124CC">
            <w:pPr>
              <w:suppressAutoHyphens/>
              <w:spacing w:after="120" w:line="240" w:lineRule="auto"/>
              <w:jc w:val="both"/>
              <w:rPr>
                <w:rFonts w:ascii="Times New Roman" w:hAnsi="Times New Roman" w:cs="Times New Roman"/>
              </w:rPr>
            </w:pPr>
            <w:r w:rsidRPr="008C5F1C">
              <w:rPr>
                <w:rFonts w:ascii="Times New Roman" w:hAnsi="Times New Roman" w:cs="Times New Roman"/>
                <w:b/>
                <w:bCs/>
              </w:rPr>
              <w:t>Expansiunea urbană necontrolată este una din principalele provocări pentru orașele mari, iar Regiunea de Dezvoltare Nord-Vest nu a fost ocolită de acest fenomen.</w:t>
            </w:r>
            <w:r w:rsidRPr="008C5F1C">
              <w:rPr>
                <w:rFonts w:ascii="Times New Roman" w:hAnsi="Times New Roman" w:cs="Times New Roman"/>
              </w:rPr>
              <w:t xml:space="preserve"> </w:t>
            </w:r>
            <w:r w:rsidR="001A6D34" w:rsidRPr="008C5F1C">
              <w:rPr>
                <w:rFonts w:ascii="Times New Roman" w:eastAsia="Times New Roman" w:hAnsi="Times New Roman" w:cs="Times New Roman"/>
                <w:lang w:eastAsia="ar-SA"/>
              </w:rPr>
              <w:t xml:space="preserve">Clujul este de departe cel mai urbanizat județ (cu 65,16% din populație trăind în mediul urban), iar gradul cel mai redus de urbanizare se înregistrează în Sălaj (39,73%). În jurul marilor centre urbane din regiune, precum Cluj-Napoca, Oradea, Baia Mare sau Satu Mare, se manifestă fenomenul de </w:t>
            </w:r>
            <w:proofErr w:type="spellStart"/>
            <w:r w:rsidR="001A6D34" w:rsidRPr="008C5F1C">
              <w:rPr>
                <w:rFonts w:ascii="Times New Roman" w:eastAsia="Times New Roman" w:hAnsi="Times New Roman" w:cs="Times New Roman"/>
                <w:lang w:eastAsia="ar-SA"/>
              </w:rPr>
              <w:t>suburbanizare</w:t>
            </w:r>
            <w:proofErr w:type="spellEnd"/>
            <w:r w:rsidR="001A6D34" w:rsidRPr="008C5F1C">
              <w:rPr>
                <w:rFonts w:ascii="Times New Roman" w:eastAsia="Times New Roman" w:hAnsi="Times New Roman" w:cs="Times New Roman"/>
                <w:lang w:eastAsia="ar-SA"/>
              </w:rPr>
              <w:t xml:space="preserve">. </w:t>
            </w:r>
            <w:r w:rsidRPr="008C5F1C">
              <w:rPr>
                <w:rFonts w:ascii="Times New Roman" w:hAnsi="Times New Roman" w:cs="Times New Roman"/>
              </w:rPr>
              <w:t>Așezările adiacente (de ex. Florești, pentru Cluj-Napoca) au preluat valurile succesive de expansiune</w:t>
            </w:r>
            <w:r w:rsidR="001A6D34" w:rsidRPr="008C5F1C">
              <w:rPr>
                <w:rFonts w:ascii="Times New Roman" w:hAnsi="Times New Roman" w:cs="Times New Roman"/>
              </w:rPr>
              <w:t xml:space="preserve"> urbană</w:t>
            </w:r>
            <w:r w:rsidRPr="008C5F1C">
              <w:rPr>
                <w:rFonts w:ascii="Times New Roman" w:hAnsi="Times New Roman" w:cs="Times New Roman"/>
              </w:rPr>
              <w:t xml:space="preserve">, ceea ce a făcut ca populația acestora să crească semnificativ </w:t>
            </w:r>
            <w:r w:rsidRPr="008C5F1C">
              <w:rPr>
                <w:rFonts w:ascii="Times New Roman" w:hAnsi="Times New Roman" w:cs="Times New Roman"/>
              </w:rPr>
              <w:lastRenderedPageBreak/>
              <w:t xml:space="preserve">în ultimii 10 ani. Din păcate această creștere este una </w:t>
            </w:r>
            <w:proofErr w:type="spellStart"/>
            <w:r w:rsidRPr="008C5F1C">
              <w:rPr>
                <w:rFonts w:ascii="Times New Roman" w:hAnsi="Times New Roman" w:cs="Times New Roman"/>
              </w:rPr>
              <w:t>nesustenabilă</w:t>
            </w:r>
            <w:proofErr w:type="spellEnd"/>
            <w:r w:rsidRPr="008C5F1C">
              <w:rPr>
                <w:rFonts w:ascii="Times New Roman" w:hAnsi="Times New Roman" w:cs="Times New Roman"/>
              </w:rPr>
              <w:t xml:space="preserve"> și haotică. Noile dezvoltări nu beneficiază de dotări și infrastructură de transport și funcționează preponderent </w:t>
            </w:r>
            <w:r w:rsidR="003A3C4E" w:rsidRPr="008C5F1C">
              <w:rPr>
                <w:rFonts w:ascii="Times New Roman" w:hAnsi="Times New Roman" w:cs="Times New Roman"/>
              </w:rPr>
              <w:t xml:space="preserve">cu rol de </w:t>
            </w:r>
            <w:r w:rsidRPr="008C5F1C">
              <w:rPr>
                <w:rFonts w:ascii="Times New Roman" w:hAnsi="Times New Roman" w:cs="Times New Roman"/>
              </w:rPr>
              <w:t>cartiere</w:t>
            </w:r>
            <w:r w:rsidR="00824FB6" w:rsidRPr="008C5F1C">
              <w:rPr>
                <w:rFonts w:ascii="Times New Roman" w:hAnsi="Times New Roman" w:cs="Times New Roman"/>
              </w:rPr>
              <w:t>-</w:t>
            </w:r>
            <w:r w:rsidRPr="008C5F1C">
              <w:rPr>
                <w:rFonts w:ascii="Times New Roman" w:hAnsi="Times New Roman" w:cs="Times New Roman"/>
              </w:rPr>
              <w:t xml:space="preserve">dormitor. </w:t>
            </w:r>
          </w:p>
          <w:p w14:paraId="5AC78A39" w14:textId="0466E7A0" w:rsidR="00446F48" w:rsidRPr="008C5F1C" w:rsidRDefault="00C67810">
            <w:pPr>
              <w:spacing w:after="120" w:line="240" w:lineRule="auto"/>
              <w:jc w:val="both"/>
              <w:rPr>
                <w:rFonts w:ascii="Times New Roman" w:hAnsi="Times New Roman" w:cs="Times New Roman"/>
                <w:sz w:val="20"/>
                <w:szCs w:val="20"/>
              </w:rPr>
            </w:pPr>
            <w:r w:rsidRPr="008C5F1C">
              <w:rPr>
                <w:rFonts w:ascii="Times New Roman" w:hAnsi="Times New Roman" w:cs="Times New Roman"/>
                <w:b/>
                <w:bCs/>
              </w:rPr>
              <w:t>Accesul la servicii publice de calitate, în special la cele de educație, este limitat de infrastructura insuficient dezvoltată</w:t>
            </w:r>
            <w:r w:rsidRPr="008C5F1C">
              <w:rPr>
                <w:rFonts w:ascii="Times New Roman" w:hAnsi="Times New Roman" w:cs="Times New Roman"/>
              </w:rPr>
              <w:t xml:space="preserve">. </w:t>
            </w:r>
            <w:r w:rsidR="001A6D34" w:rsidRPr="008C5F1C">
              <w:rPr>
                <w:rFonts w:ascii="Times New Roman" w:hAnsi="Times New Roman" w:cs="Times New Roman"/>
              </w:rPr>
              <w:t>C</w:t>
            </w:r>
            <w:r w:rsidRPr="008C5F1C">
              <w:rPr>
                <w:rFonts w:ascii="Times New Roman" w:hAnsi="Times New Roman" w:cs="Times New Roman"/>
              </w:rPr>
              <w:t>reștere</w:t>
            </w:r>
            <w:r w:rsidR="001A6D34" w:rsidRPr="008C5F1C">
              <w:rPr>
                <w:rFonts w:ascii="Times New Roman" w:hAnsi="Times New Roman" w:cs="Times New Roman"/>
              </w:rPr>
              <w:t>a</w:t>
            </w:r>
            <w:r w:rsidRPr="008C5F1C">
              <w:rPr>
                <w:rFonts w:ascii="Times New Roman" w:hAnsi="Times New Roman" w:cs="Times New Roman"/>
              </w:rPr>
              <w:t xml:space="preserve"> numărului de elevi</w:t>
            </w:r>
            <w:r w:rsidR="001A6D34" w:rsidRPr="008C5F1C">
              <w:rPr>
                <w:rFonts w:ascii="Times New Roman" w:hAnsi="Times New Roman" w:cs="Times New Roman"/>
              </w:rPr>
              <w:t xml:space="preserve"> în ciclul primar</w:t>
            </w:r>
            <w:r w:rsidR="001A6D34" w:rsidRPr="008C5F1C">
              <w:rPr>
                <w:rStyle w:val="FootnoteReference"/>
                <w:rFonts w:ascii="Times New Roman" w:hAnsi="Times New Roman" w:cs="Times New Roman"/>
              </w:rPr>
              <w:footnoteReference w:id="18"/>
            </w:r>
            <w:r w:rsidR="001A6D34" w:rsidRPr="008C5F1C">
              <w:rPr>
                <w:rFonts w:ascii="Times New Roman" w:hAnsi="Times New Roman" w:cs="Times New Roman"/>
              </w:rPr>
              <w:t xml:space="preserve"> </w:t>
            </w:r>
            <w:r w:rsidRPr="008C5F1C">
              <w:rPr>
                <w:rFonts w:ascii="Times New Roman" w:hAnsi="Times New Roman" w:cs="Times New Roman"/>
              </w:rPr>
              <w:t xml:space="preserve"> (</w:t>
            </w:r>
            <w:r w:rsidR="001A6D34" w:rsidRPr="008C5F1C">
              <w:rPr>
                <w:rFonts w:ascii="Times New Roman" w:hAnsi="Times New Roman" w:cs="Times New Roman"/>
              </w:rPr>
              <w:t xml:space="preserve">cu </w:t>
            </w:r>
            <w:r w:rsidR="00E21C34" w:rsidRPr="008C5F1C">
              <w:rPr>
                <w:rFonts w:ascii="Times New Roman" w:hAnsi="Times New Roman" w:cs="Times New Roman"/>
              </w:rPr>
              <w:t>aprox</w:t>
            </w:r>
            <w:r w:rsidR="001A6D34" w:rsidRPr="008C5F1C">
              <w:rPr>
                <w:rFonts w:ascii="Times New Roman" w:hAnsi="Times New Roman" w:cs="Times New Roman"/>
              </w:rPr>
              <w:t>.</w:t>
            </w:r>
            <w:r w:rsidR="00E21C34" w:rsidRPr="008C5F1C">
              <w:rPr>
                <w:rFonts w:ascii="Times New Roman" w:hAnsi="Times New Roman" w:cs="Times New Roman"/>
              </w:rPr>
              <w:t xml:space="preserve"> 30%</w:t>
            </w:r>
            <w:r w:rsidRPr="008C5F1C">
              <w:rPr>
                <w:rFonts w:ascii="Times New Roman" w:hAnsi="Times New Roman" w:cs="Times New Roman"/>
              </w:rPr>
              <w:t xml:space="preserve">), </w:t>
            </w:r>
            <w:r w:rsidR="001A6D34" w:rsidRPr="008C5F1C">
              <w:rPr>
                <w:rFonts w:ascii="Times New Roman" w:hAnsi="Times New Roman" w:cs="Times New Roman"/>
              </w:rPr>
              <w:t xml:space="preserve">solicită din plin infrastructura școlară, </w:t>
            </w:r>
            <w:r w:rsidRPr="008C5F1C">
              <w:rPr>
                <w:rFonts w:ascii="Times New Roman" w:hAnsi="Times New Roman" w:cs="Times New Roman"/>
              </w:rPr>
              <w:t xml:space="preserve">în condițiile în care doar 30% dintre unitățile de învățământ au capacitate adecvată, peste jumătate (56%) dintre elevii din România învață în </w:t>
            </w:r>
            <w:r w:rsidR="007C6395" w:rsidRPr="008C5F1C">
              <w:rPr>
                <w:rFonts w:ascii="Times New Roman" w:hAnsi="Times New Roman" w:cs="Times New Roman"/>
              </w:rPr>
              <w:t xml:space="preserve"> </w:t>
            </w:r>
            <w:r w:rsidRPr="008C5F1C">
              <w:rPr>
                <w:rFonts w:ascii="Times New Roman" w:hAnsi="Times New Roman" w:cs="Times New Roman"/>
              </w:rPr>
              <w:t xml:space="preserve">școli supraaglomerate ori </w:t>
            </w:r>
            <w:proofErr w:type="spellStart"/>
            <w:r w:rsidRPr="008C5F1C">
              <w:rPr>
                <w:rFonts w:ascii="Times New Roman" w:hAnsi="Times New Roman" w:cs="Times New Roman"/>
              </w:rPr>
              <w:t>subutilizate</w:t>
            </w:r>
            <w:proofErr w:type="spellEnd"/>
            <w:r w:rsidRPr="008C5F1C">
              <w:rPr>
                <w:rStyle w:val="FootnoteReference"/>
                <w:rFonts w:ascii="Times New Roman" w:hAnsi="Times New Roman" w:cs="Times New Roman"/>
              </w:rPr>
              <w:footnoteReference w:id="19"/>
            </w:r>
            <w:r w:rsidRPr="008C5F1C">
              <w:rPr>
                <w:rFonts w:ascii="Times New Roman" w:hAnsi="Times New Roman" w:cs="Times New Roman"/>
              </w:rPr>
              <w:t xml:space="preserve">. De asemenea, accesul elevilor cu dizabilități fizice este limitat în aproximativ jumătate dintre școli. Accesul la transport școlar este, de asemenea, deficitar, mai ales în Maramureș. </w:t>
            </w:r>
            <w:r w:rsidRPr="008C5F1C">
              <w:rPr>
                <w:rFonts w:ascii="Times New Roman" w:hAnsi="Times New Roman" w:cs="Times New Roman"/>
                <w:iCs/>
              </w:rPr>
              <w:t>Întârzierea optimizării rețelei școlare nu a permis investiții durabile în infrastructura educațională</w:t>
            </w:r>
            <w:r w:rsidR="00446F48" w:rsidRPr="008C5F1C">
              <w:rPr>
                <w:rFonts w:ascii="Times New Roman" w:hAnsi="Times New Roman" w:cs="Times New Roman"/>
                <w:iCs/>
              </w:rPr>
              <w:t xml:space="preserve">, aspect </w:t>
            </w:r>
            <w:r w:rsidR="00446F48" w:rsidRPr="008C5F1C">
              <w:rPr>
                <w:rFonts w:ascii="Times New Roman" w:hAnsi="Times New Roman" w:cs="Times New Roman"/>
              </w:rPr>
              <w:t>identificat și în Raportul de țară 2020</w:t>
            </w:r>
            <w:r w:rsidR="006B3866" w:rsidRPr="008C5F1C">
              <w:rPr>
                <w:rFonts w:ascii="Times New Roman" w:hAnsi="Times New Roman" w:cs="Times New Roman"/>
                <w:bCs/>
                <w:sz w:val="20"/>
                <w:szCs w:val="20"/>
              </w:rPr>
              <w:t>.</w:t>
            </w:r>
          </w:p>
          <w:p w14:paraId="2C803834" w14:textId="7BF4E91F" w:rsidR="007E7C33" w:rsidRPr="008C5F1C" w:rsidRDefault="007E7C33">
            <w:pPr>
              <w:spacing w:after="120" w:line="240" w:lineRule="auto"/>
              <w:jc w:val="both"/>
              <w:rPr>
                <w:rFonts w:ascii="Times New Roman" w:hAnsi="Times New Roman" w:cs="Times New Roman"/>
              </w:rPr>
            </w:pPr>
            <w:r w:rsidRPr="008C5F1C">
              <w:rPr>
                <w:rFonts w:ascii="Times New Roman" w:hAnsi="Times New Roman" w:cs="Times New Roman"/>
                <w:b/>
                <w:bCs/>
              </w:rPr>
              <w:t>Traficul rutier este afectat de un grad ridicat de congestie.</w:t>
            </w:r>
            <w:r w:rsidRPr="008C5F1C">
              <w:rPr>
                <w:rFonts w:ascii="Times New Roman" w:hAnsi="Times New Roman" w:cs="Times New Roman"/>
              </w:rPr>
              <w:t xml:space="preserve"> În lipsa dotărilor, obiectivelor de interes și a locurilor de muncă</w:t>
            </w:r>
            <w:r w:rsidR="00A956B9" w:rsidRPr="008C5F1C">
              <w:rPr>
                <w:rFonts w:ascii="Times New Roman" w:hAnsi="Times New Roman" w:cs="Times New Roman"/>
              </w:rPr>
              <w:t>,</w:t>
            </w:r>
            <w:r w:rsidRPr="008C5F1C">
              <w:rPr>
                <w:rFonts w:ascii="Times New Roman" w:hAnsi="Times New Roman" w:cs="Times New Roman"/>
              </w:rPr>
              <w:t xml:space="preserve"> noile zone rezidențiale din </w:t>
            </w:r>
            <w:proofErr w:type="spellStart"/>
            <w:r w:rsidRPr="008C5F1C">
              <w:rPr>
                <w:rFonts w:ascii="Times New Roman" w:hAnsi="Times New Roman" w:cs="Times New Roman"/>
              </w:rPr>
              <w:t>periurban</w:t>
            </w:r>
            <w:proofErr w:type="spellEnd"/>
            <w:r w:rsidRPr="008C5F1C">
              <w:rPr>
                <w:rFonts w:ascii="Times New Roman" w:hAnsi="Times New Roman" w:cs="Times New Roman"/>
              </w:rPr>
              <w:t xml:space="preserve"> generează deplasări frecvente către centrele urbane. Infrastructura de transport nu este adaptată pentru a susține acest număr ridicat de deplasări, ceea ce duce la aglomerarea traficului. </w:t>
            </w:r>
            <w:r w:rsidR="002B7040" w:rsidRPr="008C5F1C">
              <w:rPr>
                <w:rFonts w:ascii="Times New Roman" w:hAnsi="Times New Roman" w:cs="Times New Roman"/>
              </w:rPr>
              <w:t xml:space="preserve">Numărul orașelor care beneficiază de sisteme de management al traficului este încă foarte redus. </w:t>
            </w:r>
            <w:r w:rsidR="00E21C34" w:rsidRPr="008C5F1C">
              <w:rPr>
                <w:rFonts w:ascii="Times New Roman" w:hAnsi="Times New Roman" w:cs="Times New Roman"/>
              </w:rPr>
              <w:t>Excepțiile</w:t>
            </w:r>
            <w:r w:rsidR="00A956B9" w:rsidRPr="008C5F1C">
              <w:rPr>
                <w:rFonts w:ascii="Times New Roman" w:hAnsi="Times New Roman" w:cs="Times New Roman"/>
              </w:rPr>
              <w:t xml:space="preserve"> sunt reprezentate de o</w:t>
            </w:r>
            <w:r w:rsidR="002B7040" w:rsidRPr="008C5F1C">
              <w:rPr>
                <w:rFonts w:ascii="Times New Roman" w:hAnsi="Times New Roman" w:cs="Times New Roman"/>
              </w:rPr>
              <w:t>rașe precum Cluj Napoca, Zalău</w:t>
            </w:r>
            <w:r w:rsidR="00A956B9" w:rsidRPr="008C5F1C">
              <w:rPr>
                <w:rFonts w:ascii="Times New Roman" w:hAnsi="Times New Roman" w:cs="Times New Roman"/>
              </w:rPr>
              <w:t>, care</w:t>
            </w:r>
            <w:r w:rsidR="002B7040" w:rsidRPr="008C5F1C">
              <w:rPr>
                <w:rFonts w:ascii="Times New Roman" w:hAnsi="Times New Roman" w:cs="Times New Roman"/>
              </w:rPr>
              <w:t xml:space="preserve"> au implementat sisteme de management al traficului în perioada 2007-2013</w:t>
            </w:r>
            <w:r w:rsidR="00A956B9" w:rsidRPr="008C5F1C">
              <w:rPr>
                <w:rFonts w:ascii="Times New Roman" w:hAnsi="Times New Roman" w:cs="Times New Roman"/>
              </w:rPr>
              <w:t>, și</w:t>
            </w:r>
            <w:r w:rsidR="002B7040" w:rsidRPr="008C5F1C">
              <w:rPr>
                <w:rFonts w:ascii="Times New Roman" w:hAnsi="Times New Roman" w:cs="Times New Roman"/>
              </w:rPr>
              <w:t xml:space="preserve"> Oradea</w:t>
            </w:r>
            <w:r w:rsidR="00A956B9" w:rsidRPr="008C5F1C">
              <w:rPr>
                <w:rFonts w:ascii="Times New Roman" w:hAnsi="Times New Roman" w:cs="Times New Roman"/>
              </w:rPr>
              <w:t>, care</w:t>
            </w:r>
            <w:r w:rsidR="002B7040" w:rsidRPr="008C5F1C">
              <w:rPr>
                <w:rFonts w:ascii="Times New Roman" w:hAnsi="Times New Roman" w:cs="Times New Roman"/>
              </w:rPr>
              <w:t xml:space="preserve"> dețin</w:t>
            </w:r>
            <w:r w:rsidR="00A956B9" w:rsidRPr="008C5F1C">
              <w:rPr>
                <w:rFonts w:ascii="Times New Roman" w:hAnsi="Times New Roman" w:cs="Times New Roman"/>
              </w:rPr>
              <w:t>e</w:t>
            </w:r>
            <w:r w:rsidR="002B7040" w:rsidRPr="008C5F1C">
              <w:rPr>
                <w:rFonts w:ascii="Times New Roman" w:hAnsi="Times New Roman" w:cs="Times New Roman"/>
              </w:rPr>
              <w:t xml:space="preserve"> un sistem de management al traficului dedicat </w:t>
            </w:r>
            <w:proofErr w:type="spellStart"/>
            <w:r w:rsidR="002B7040" w:rsidRPr="008C5F1C">
              <w:rPr>
                <w:rFonts w:ascii="Times New Roman" w:hAnsi="Times New Roman" w:cs="Times New Roman"/>
              </w:rPr>
              <w:t>prioritizării</w:t>
            </w:r>
            <w:proofErr w:type="spellEnd"/>
            <w:r w:rsidR="002B7040" w:rsidRPr="008C5F1C">
              <w:rPr>
                <w:rFonts w:ascii="Times New Roman" w:hAnsi="Times New Roman" w:cs="Times New Roman"/>
              </w:rPr>
              <w:t xml:space="preserve"> tramvaiului.</w:t>
            </w:r>
          </w:p>
          <w:p w14:paraId="4DF8FED4" w14:textId="29BD0147" w:rsidR="007E7C33" w:rsidRPr="008C5F1C" w:rsidRDefault="007E7C33">
            <w:pPr>
              <w:spacing w:after="120" w:line="240" w:lineRule="auto"/>
              <w:jc w:val="both"/>
              <w:rPr>
                <w:rFonts w:ascii="Times New Roman" w:hAnsi="Times New Roman" w:cs="Times New Roman"/>
              </w:rPr>
            </w:pPr>
            <w:r w:rsidRPr="008C5F1C">
              <w:rPr>
                <w:rFonts w:ascii="Times New Roman" w:hAnsi="Times New Roman" w:cs="Times New Roman"/>
                <w:b/>
                <w:bCs/>
              </w:rPr>
              <w:t>Transportul public reușește cu greu să deservească aceste zone</w:t>
            </w:r>
            <w:r w:rsidR="00A956B9" w:rsidRPr="008C5F1C">
              <w:rPr>
                <w:rFonts w:ascii="Times New Roman" w:hAnsi="Times New Roman" w:cs="Times New Roman"/>
                <w:b/>
                <w:bCs/>
              </w:rPr>
              <w:t>;</w:t>
            </w:r>
            <w:r w:rsidRPr="008C5F1C">
              <w:rPr>
                <w:rFonts w:ascii="Times New Roman" w:hAnsi="Times New Roman" w:cs="Times New Roman"/>
                <w:b/>
                <w:bCs/>
              </w:rPr>
              <w:t xml:space="preserve"> fie circulă doar pe principalele artere</w:t>
            </w:r>
            <w:r w:rsidR="00A956B9" w:rsidRPr="008C5F1C">
              <w:rPr>
                <w:rFonts w:ascii="Times New Roman" w:hAnsi="Times New Roman" w:cs="Times New Roman"/>
                <w:b/>
                <w:bCs/>
              </w:rPr>
              <w:t>, fie</w:t>
            </w:r>
            <w:r w:rsidRPr="008C5F1C">
              <w:rPr>
                <w:rFonts w:ascii="Times New Roman" w:hAnsi="Times New Roman" w:cs="Times New Roman"/>
                <w:b/>
                <w:bCs/>
              </w:rPr>
              <w:t xml:space="preserve"> poate asigura doar o frecvență scăzută, de regulă peste 20 min.</w:t>
            </w:r>
            <w:r w:rsidRPr="008C5F1C">
              <w:rPr>
                <w:rFonts w:ascii="Times New Roman" w:hAnsi="Times New Roman" w:cs="Times New Roman"/>
              </w:rPr>
              <w:t xml:space="preserve"> În ciuda faptului că regiunea are un sistem de transport public bine dezvoltat, din perspectiva liniilor de transport public și al pasagerilor transportați, congestia legăturilor principale are un impact negativ și asupra mijloacelor de transport public care nu își pot respecta programul. Acest aspect face </w:t>
            </w:r>
            <w:r w:rsidR="00A956B9" w:rsidRPr="008C5F1C">
              <w:rPr>
                <w:rFonts w:ascii="Times New Roman" w:hAnsi="Times New Roman" w:cs="Times New Roman"/>
              </w:rPr>
              <w:t xml:space="preserve">ca </w:t>
            </w:r>
            <w:r w:rsidRPr="008C5F1C">
              <w:rPr>
                <w:rFonts w:ascii="Times New Roman" w:hAnsi="Times New Roman" w:cs="Times New Roman"/>
              </w:rPr>
              <w:t xml:space="preserve">o mare parte din </w:t>
            </w:r>
            <w:r w:rsidR="00A956B9" w:rsidRPr="008C5F1C">
              <w:rPr>
                <w:rFonts w:ascii="Times New Roman" w:hAnsi="Times New Roman" w:cs="Times New Roman"/>
              </w:rPr>
              <w:t xml:space="preserve">rezidenții </w:t>
            </w:r>
            <w:r w:rsidRPr="008C5F1C">
              <w:rPr>
                <w:rFonts w:ascii="Times New Roman" w:hAnsi="Times New Roman" w:cs="Times New Roman"/>
              </w:rPr>
              <w:t>noil</w:t>
            </w:r>
            <w:r w:rsidR="00A956B9" w:rsidRPr="008C5F1C">
              <w:rPr>
                <w:rFonts w:ascii="Times New Roman" w:hAnsi="Times New Roman" w:cs="Times New Roman"/>
              </w:rPr>
              <w:t>or</w:t>
            </w:r>
            <w:r w:rsidRPr="008C5F1C">
              <w:rPr>
                <w:rFonts w:ascii="Times New Roman" w:hAnsi="Times New Roman" w:cs="Times New Roman"/>
              </w:rPr>
              <w:t xml:space="preserve"> dezvoltări să fie dependent</w:t>
            </w:r>
            <w:r w:rsidR="00A956B9" w:rsidRPr="008C5F1C">
              <w:rPr>
                <w:rFonts w:ascii="Times New Roman" w:hAnsi="Times New Roman" w:cs="Times New Roman"/>
              </w:rPr>
              <w:t>ă</w:t>
            </w:r>
            <w:r w:rsidRPr="008C5F1C">
              <w:rPr>
                <w:rFonts w:ascii="Times New Roman" w:hAnsi="Times New Roman" w:cs="Times New Roman"/>
              </w:rPr>
              <w:t xml:space="preserve"> de autovehiculul personal, ceea ce suprasolicită legăturile rutiere cu centrul urban. Calitatea transportului public local este afectată </w:t>
            </w:r>
            <w:r w:rsidR="00A956B9" w:rsidRPr="008C5F1C">
              <w:rPr>
                <w:rFonts w:ascii="Times New Roman" w:hAnsi="Times New Roman" w:cs="Times New Roman"/>
              </w:rPr>
              <w:t xml:space="preserve">și </w:t>
            </w:r>
            <w:r w:rsidRPr="008C5F1C">
              <w:rPr>
                <w:rFonts w:ascii="Times New Roman" w:hAnsi="Times New Roman" w:cs="Times New Roman"/>
              </w:rPr>
              <w:t>de vechimea mijloacelor de transport.</w:t>
            </w:r>
          </w:p>
          <w:p w14:paraId="6454DFFB" w14:textId="060C3D08" w:rsidR="00D54217" w:rsidRPr="008C5F1C" w:rsidRDefault="00D54217">
            <w:pPr>
              <w:spacing w:after="120" w:line="240" w:lineRule="auto"/>
              <w:jc w:val="both"/>
              <w:rPr>
                <w:rFonts w:ascii="Times New Roman" w:hAnsi="Times New Roman" w:cs="Times New Roman"/>
              </w:rPr>
            </w:pPr>
            <w:r w:rsidRPr="008C5F1C">
              <w:rPr>
                <w:rFonts w:ascii="Times New Roman" w:hAnsi="Times New Roman" w:cs="Times New Roman"/>
                <w:b/>
                <w:bCs/>
              </w:rPr>
              <w:t>În ultimii ani</w:t>
            </w:r>
            <w:r w:rsidR="0024209C" w:rsidRPr="008C5F1C">
              <w:rPr>
                <w:rFonts w:ascii="Times New Roman" w:hAnsi="Times New Roman" w:cs="Times New Roman"/>
                <w:b/>
                <w:bCs/>
              </w:rPr>
              <w:t>,</w:t>
            </w:r>
            <w:r w:rsidRPr="008C5F1C">
              <w:rPr>
                <w:rFonts w:ascii="Times New Roman" w:hAnsi="Times New Roman" w:cs="Times New Roman"/>
                <w:b/>
                <w:bCs/>
              </w:rPr>
              <w:t xml:space="preserve"> diversitatea serviciilor de mobilitate a crescut considerabil</w:t>
            </w:r>
            <w:r w:rsidR="00175AFB" w:rsidRPr="008C5F1C">
              <w:rPr>
                <w:rFonts w:ascii="Times New Roman" w:hAnsi="Times New Roman" w:cs="Times New Roman"/>
                <w:b/>
                <w:bCs/>
              </w:rPr>
              <w:t>,</w:t>
            </w:r>
            <w:r w:rsidRPr="008C5F1C">
              <w:rPr>
                <w:rFonts w:ascii="Times New Roman" w:hAnsi="Times New Roman" w:cs="Times New Roman"/>
                <w:b/>
                <w:bCs/>
              </w:rPr>
              <w:t xml:space="preserve"> dar numai în orașele mari</w:t>
            </w:r>
            <w:r w:rsidR="00B27F89" w:rsidRPr="008C5F1C">
              <w:rPr>
                <w:rFonts w:ascii="Times New Roman" w:hAnsi="Times New Roman" w:cs="Times New Roman"/>
                <w:b/>
                <w:bCs/>
              </w:rPr>
              <w:t>.</w:t>
            </w:r>
            <w:r w:rsidRPr="008C5F1C">
              <w:rPr>
                <w:rFonts w:ascii="Times New Roman" w:hAnsi="Times New Roman" w:cs="Times New Roman"/>
                <w:b/>
                <w:bCs/>
              </w:rPr>
              <w:t xml:space="preserve"> </w:t>
            </w:r>
            <w:r w:rsidRPr="008C5F1C">
              <w:rPr>
                <w:rFonts w:ascii="Times New Roman" w:hAnsi="Times New Roman" w:cs="Times New Roman"/>
              </w:rPr>
              <w:t>La nivelul orașelor mari s</w:t>
            </w:r>
            <w:r w:rsidR="00102D15" w:rsidRPr="008C5F1C">
              <w:rPr>
                <w:rFonts w:ascii="Times New Roman" w:hAnsi="Times New Roman" w:cs="Times New Roman"/>
              </w:rPr>
              <w:t xml:space="preserve">unt oferite </w:t>
            </w:r>
            <w:r w:rsidRPr="008C5F1C">
              <w:rPr>
                <w:rFonts w:ascii="Times New Roman" w:hAnsi="Times New Roman" w:cs="Times New Roman"/>
              </w:rPr>
              <w:t>servicii de mobilitate</w:t>
            </w:r>
            <w:r w:rsidR="00102D15" w:rsidRPr="008C5F1C">
              <w:rPr>
                <w:rFonts w:ascii="Times New Roman" w:hAnsi="Times New Roman" w:cs="Times New Roman"/>
              </w:rPr>
              <w:t xml:space="preserve"> de tip</w:t>
            </w:r>
            <w:r w:rsidRPr="008C5F1C">
              <w:rPr>
                <w:rFonts w:ascii="Times New Roman" w:hAnsi="Times New Roman" w:cs="Times New Roman"/>
              </w:rPr>
              <w:t xml:space="preserve"> transport public</w:t>
            </w:r>
            <w:r w:rsidR="00102D15" w:rsidRPr="008C5F1C">
              <w:rPr>
                <w:rFonts w:ascii="Times New Roman" w:hAnsi="Times New Roman" w:cs="Times New Roman"/>
              </w:rPr>
              <w:t xml:space="preserve"> precum și</w:t>
            </w:r>
            <w:r w:rsidRPr="008C5F1C">
              <w:rPr>
                <w:rFonts w:ascii="Times New Roman" w:hAnsi="Times New Roman" w:cs="Times New Roman"/>
              </w:rPr>
              <w:t xml:space="preserve"> servicii de </w:t>
            </w:r>
            <w:proofErr w:type="spellStart"/>
            <w:r w:rsidRPr="008C5F1C">
              <w:rPr>
                <w:rFonts w:ascii="Times New Roman" w:hAnsi="Times New Roman" w:cs="Times New Roman"/>
              </w:rPr>
              <w:t>micromobilitate</w:t>
            </w:r>
            <w:proofErr w:type="spellEnd"/>
            <w:r w:rsidR="00102D15" w:rsidRPr="008C5F1C">
              <w:rPr>
                <w:rFonts w:ascii="Times New Roman" w:hAnsi="Times New Roman" w:cs="Times New Roman"/>
              </w:rPr>
              <w:t>:</w:t>
            </w:r>
            <w:r w:rsidRPr="008C5F1C">
              <w:rPr>
                <w:rFonts w:ascii="Times New Roman" w:hAnsi="Times New Roman" w:cs="Times New Roman"/>
              </w:rPr>
              <w:t xml:space="preserve"> închiriere scutere; car </w:t>
            </w:r>
            <w:proofErr w:type="spellStart"/>
            <w:r w:rsidRPr="008C5F1C">
              <w:rPr>
                <w:rFonts w:ascii="Times New Roman" w:hAnsi="Times New Roman" w:cs="Times New Roman"/>
              </w:rPr>
              <w:t>sharing</w:t>
            </w:r>
            <w:proofErr w:type="spellEnd"/>
            <w:r w:rsidRPr="008C5F1C">
              <w:rPr>
                <w:rFonts w:ascii="Times New Roman" w:hAnsi="Times New Roman" w:cs="Times New Roman"/>
              </w:rPr>
              <w:t>, „</w:t>
            </w:r>
            <w:proofErr w:type="spellStart"/>
            <w:r w:rsidRPr="008C5F1C">
              <w:rPr>
                <w:rFonts w:ascii="Times New Roman" w:hAnsi="Times New Roman" w:cs="Times New Roman"/>
              </w:rPr>
              <w:t>bike-sharing</w:t>
            </w:r>
            <w:proofErr w:type="spellEnd"/>
            <w:r w:rsidRPr="008C5F1C">
              <w:rPr>
                <w:rFonts w:ascii="Times New Roman" w:hAnsi="Times New Roman" w:cs="Times New Roman"/>
              </w:rPr>
              <w:t>”, „</w:t>
            </w:r>
            <w:proofErr w:type="spellStart"/>
            <w:r w:rsidRPr="008C5F1C">
              <w:rPr>
                <w:rFonts w:ascii="Times New Roman" w:hAnsi="Times New Roman" w:cs="Times New Roman"/>
              </w:rPr>
              <w:t>ride-sharing</w:t>
            </w:r>
            <w:proofErr w:type="spellEnd"/>
            <w:r w:rsidRPr="008C5F1C">
              <w:rPr>
                <w:rFonts w:ascii="Times New Roman" w:hAnsi="Times New Roman" w:cs="Times New Roman"/>
              </w:rPr>
              <w:t xml:space="preserve">” și taxi. Toate aceste servicii funcționează în paralel, singurul mod de integrare a lor </w:t>
            </w:r>
            <w:r w:rsidR="0024209C" w:rsidRPr="008C5F1C">
              <w:rPr>
                <w:rFonts w:ascii="Times New Roman" w:hAnsi="Times New Roman" w:cs="Times New Roman"/>
              </w:rPr>
              <w:t>fiind</w:t>
            </w:r>
            <w:r w:rsidRPr="008C5F1C">
              <w:rPr>
                <w:rFonts w:ascii="Times New Roman" w:hAnsi="Times New Roman" w:cs="Times New Roman"/>
              </w:rPr>
              <w:t xml:space="preserve"> asigurat de Google </w:t>
            </w:r>
            <w:proofErr w:type="spellStart"/>
            <w:r w:rsidRPr="008C5F1C">
              <w:rPr>
                <w:rFonts w:ascii="Times New Roman" w:hAnsi="Times New Roman" w:cs="Times New Roman"/>
              </w:rPr>
              <w:t>Maps</w:t>
            </w:r>
            <w:proofErr w:type="spellEnd"/>
            <w:r w:rsidRPr="008C5F1C">
              <w:rPr>
                <w:rFonts w:ascii="Times New Roman" w:hAnsi="Times New Roman" w:cs="Times New Roman"/>
              </w:rPr>
              <w:t>. Mai mult de atât, corelarea fizică a diferitelor mijloace de transport este asigurată doar prin simpla învecinare a facilităților. Concepte precum facilitățile de tip „</w:t>
            </w:r>
            <w:proofErr w:type="spellStart"/>
            <w:r w:rsidRPr="008C5F1C">
              <w:rPr>
                <w:rFonts w:ascii="Times New Roman" w:hAnsi="Times New Roman" w:cs="Times New Roman"/>
              </w:rPr>
              <w:t>park</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and</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ride</w:t>
            </w:r>
            <w:proofErr w:type="spellEnd"/>
            <w:r w:rsidRPr="008C5F1C">
              <w:rPr>
                <w:rFonts w:ascii="Times New Roman" w:hAnsi="Times New Roman" w:cs="Times New Roman"/>
              </w:rPr>
              <w:t>” sau „</w:t>
            </w:r>
            <w:proofErr w:type="spellStart"/>
            <w:r w:rsidRPr="008C5F1C">
              <w:rPr>
                <w:rFonts w:ascii="Times New Roman" w:hAnsi="Times New Roman" w:cs="Times New Roman"/>
              </w:rPr>
              <w:t>park</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and</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walk</w:t>
            </w:r>
            <w:proofErr w:type="spellEnd"/>
            <w:r w:rsidRPr="008C5F1C">
              <w:rPr>
                <w:rFonts w:ascii="Times New Roman" w:hAnsi="Times New Roman" w:cs="Times New Roman"/>
              </w:rPr>
              <w:t xml:space="preserve">” </w:t>
            </w:r>
            <w:r w:rsidR="00E21C34" w:rsidRPr="008C5F1C">
              <w:rPr>
                <w:rFonts w:ascii="Times New Roman" w:hAnsi="Times New Roman" w:cs="Times New Roman"/>
              </w:rPr>
              <w:t>nu sunt valorificate</w:t>
            </w:r>
            <w:r w:rsidR="0024209C" w:rsidRPr="008C5F1C">
              <w:rPr>
                <w:rFonts w:ascii="Times New Roman" w:hAnsi="Times New Roman" w:cs="Times New Roman"/>
              </w:rPr>
              <w:t>,</w:t>
            </w:r>
            <w:r w:rsidRPr="008C5F1C">
              <w:rPr>
                <w:rFonts w:ascii="Times New Roman" w:hAnsi="Times New Roman" w:cs="Times New Roman"/>
              </w:rPr>
              <w:t xml:space="preserve"> iar integrarea (fizică și tarifară) a sistemelor de transport metropolitan / județean și local este încă dificilă. În orașele mici, diversitatea serviciilor de mobilitate este redusă, fiind limitată la transportul public și taxi. </w:t>
            </w:r>
          </w:p>
          <w:p w14:paraId="27219FA3" w14:textId="54CBAE3C" w:rsidR="007E7C33" w:rsidRPr="008C5F1C" w:rsidRDefault="007E7C33">
            <w:pPr>
              <w:spacing w:after="120" w:line="240" w:lineRule="auto"/>
              <w:jc w:val="both"/>
              <w:rPr>
                <w:rFonts w:ascii="Times New Roman" w:hAnsi="Times New Roman" w:cs="Times New Roman"/>
              </w:rPr>
            </w:pPr>
            <w:r w:rsidRPr="008C5F1C">
              <w:rPr>
                <w:rFonts w:ascii="Times New Roman" w:hAnsi="Times New Roman" w:cs="Times New Roman"/>
                <w:b/>
                <w:bCs/>
              </w:rPr>
              <w:t>Progresul în ceea ce privește infrastructura pentru biciclete este încă lent.</w:t>
            </w:r>
            <w:r w:rsidRPr="008C5F1C">
              <w:rPr>
                <w:rFonts w:ascii="Times New Roman" w:hAnsi="Times New Roman" w:cs="Times New Roman"/>
              </w:rPr>
              <w:t xml:space="preserve"> Pistele realizate în numeroase </w:t>
            </w:r>
            <w:r w:rsidR="00A61D7A" w:rsidRPr="008C5F1C">
              <w:rPr>
                <w:rFonts w:ascii="Times New Roman" w:hAnsi="Times New Roman" w:cs="Times New Roman"/>
              </w:rPr>
              <w:t xml:space="preserve">localități </w:t>
            </w:r>
            <w:r w:rsidRPr="008C5F1C">
              <w:rPr>
                <w:rFonts w:ascii="Times New Roman" w:hAnsi="Times New Roman" w:cs="Times New Roman"/>
              </w:rPr>
              <w:t>au avut greșeli serioase de proiectare, ceea ce a dus la o slabă utilizare. Lipsa facilităților care să permită o deplasare sigură a bicicliștilor în mediul urban este principalul motiv pentru care ponderea acestui mod de deplasare este încă redus (sub 5%). În orașele mai mici, principala constrângere în calea dezvoltării de piste pentru biciclete este legată de  străzile cu un profil prea îngust și de dificultatea de a interveni pe drumurile naționale (practic principala axă de transport)</w:t>
            </w:r>
          </w:p>
          <w:p w14:paraId="2CC16EB3" w14:textId="319DE5FC" w:rsidR="007E7C33" w:rsidRPr="008C5F1C" w:rsidRDefault="00FB7B45" w:rsidP="00927E15">
            <w:pPr>
              <w:spacing w:after="120" w:line="240" w:lineRule="auto"/>
              <w:jc w:val="both"/>
              <w:rPr>
                <w:rFonts w:ascii="Times New Roman" w:hAnsi="Times New Roman" w:cs="Times New Roman"/>
              </w:rPr>
            </w:pPr>
            <w:r w:rsidRPr="008C5F1C">
              <w:rPr>
                <w:rFonts w:ascii="Times New Roman" w:hAnsi="Times New Roman" w:cs="Times New Roman"/>
                <w:b/>
                <w:bCs/>
              </w:rPr>
              <w:t>Nivelul de poluare în zonele urbane este ridicat</w:t>
            </w:r>
            <w:r w:rsidR="00E21C34" w:rsidRPr="008C5F1C">
              <w:rPr>
                <w:rFonts w:ascii="Times New Roman" w:hAnsi="Times New Roman" w:cs="Times New Roman"/>
                <w:b/>
                <w:bCs/>
              </w:rPr>
              <w:t xml:space="preserve"> iar infrastructura de </w:t>
            </w:r>
            <w:r w:rsidR="00EA0D49" w:rsidRPr="008C5F1C">
              <w:rPr>
                <w:rFonts w:ascii="Times New Roman" w:hAnsi="Times New Roman" w:cs="Times New Roman"/>
                <w:b/>
                <w:bCs/>
              </w:rPr>
              <w:t>măsurare</w:t>
            </w:r>
            <w:r w:rsidR="00E21C34" w:rsidRPr="008C5F1C">
              <w:rPr>
                <w:rFonts w:ascii="Times New Roman" w:hAnsi="Times New Roman" w:cs="Times New Roman"/>
                <w:b/>
                <w:bCs/>
              </w:rPr>
              <w:t xml:space="preserve"> </w:t>
            </w:r>
            <w:r w:rsidR="00EA0D49" w:rsidRPr="008C5F1C">
              <w:rPr>
                <w:rFonts w:ascii="Times New Roman" w:hAnsi="Times New Roman" w:cs="Times New Roman"/>
                <w:b/>
                <w:bCs/>
              </w:rPr>
              <w:t>î</w:t>
            </w:r>
            <w:r w:rsidR="00E21C34" w:rsidRPr="008C5F1C">
              <w:rPr>
                <w:rFonts w:ascii="Times New Roman" w:hAnsi="Times New Roman" w:cs="Times New Roman"/>
                <w:b/>
                <w:bCs/>
              </w:rPr>
              <w:t>n timp real a emisiilor de carbon</w:t>
            </w:r>
            <w:r w:rsidR="00E34CA2" w:rsidRPr="008C5F1C">
              <w:rPr>
                <w:rFonts w:ascii="Times New Roman" w:hAnsi="Times New Roman" w:cs="Times New Roman"/>
                <w:b/>
                <w:bCs/>
              </w:rPr>
              <w:t xml:space="preserve"> lipsește</w:t>
            </w:r>
            <w:r w:rsidRPr="008C5F1C">
              <w:rPr>
                <w:rFonts w:ascii="Times New Roman" w:hAnsi="Times New Roman" w:cs="Times New Roman"/>
              </w:rPr>
              <w:t xml:space="preserve">. </w:t>
            </w:r>
            <w:r w:rsidR="007E7C33" w:rsidRPr="008C5F1C">
              <w:rPr>
                <w:rFonts w:ascii="Times New Roman" w:hAnsi="Times New Roman" w:cs="Times New Roman"/>
              </w:rPr>
              <w:t xml:space="preserve">Zonele cu cea mai precară calitate a aerului și cu probleme în ceea ce privește poluarea fonică se concentrează în lungul principalelor artere de circulație. Măsurile de reducere a poluării pe aceste artere au vizat în cel mai bun caz introducerea de benzi dedicate pentru transportul public, amenajarea de piste pentru biciclete dar prea rar a fost incluse </w:t>
            </w:r>
            <w:r w:rsidR="00B47BE2" w:rsidRPr="008C5F1C">
              <w:rPr>
                <w:rFonts w:ascii="Times New Roman" w:hAnsi="Times New Roman" w:cs="Times New Roman"/>
              </w:rPr>
              <w:t>aliniamente de arbori cu capacitate mare de retenție a CO2</w:t>
            </w:r>
            <w:r w:rsidR="007E7C33" w:rsidRPr="008C5F1C">
              <w:rPr>
                <w:rFonts w:ascii="Times New Roman" w:hAnsi="Times New Roman" w:cs="Times New Roman"/>
              </w:rPr>
              <w:t xml:space="preserve">. </w:t>
            </w:r>
          </w:p>
          <w:p w14:paraId="13C09382" w14:textId="4FF86B0A" w:rsidR="00B01E98" w:rsidRPr="003E7AA2" w:rsidRDefault="00175AFB" w:rsidP="00AF5E39">
            <w:pPr>
              <w:spacing w:after="120" w:line="240" w:lineRule="auto"/>
              <w:jc w:val="both"/>
              <w:rPr>
                <w:rFonts w:ascii="Times New Roman" w:hAnsi="Times New Roman" w:cs="Times New Roman"/>
              </w:rPr>
            </w:pPr>
            <w:r w:rsidRPr="008C5F1C">
              <w:rPr>
                <w:rFonts w:ascii="Times New Roman" w:hAnsi="Times New Roman" w:cs="Times New Roman"/>
                <w:b/>
                <w:bCs/>
              </w:rPr>
              <w:t>Performanța energetică a clădirilor din mediul urban este foarte scăzută, ceea ce contribuie la deteriorarea mediului înconjurător</w:t>
            </w:r>
            <w:r w:rsidR="00F274C9" w:rsidRPr="008C5F1C">
              <w:rPr>
                <w:rFonts w:ascii="Times New Roman" w:hAnsi="Times New Roman" w:cs="Times New Roman"/>
                <w:b/>
                <w:bCs/>
              </w:rPr>
              <w:t xml:space="preserve">. </w:t>
            </w:r>
            <w:r w:rsidRPr="008C5F1C">
              <w:rPr>
                <w:rFonts w:ascii="Times New Roman" w:hAnsi="Times New Roman" w:cs="Times New Roman"/>
              </w:rPr>
              <w:t xml:space="preserve">Fondul locativ </w:t>
            </w:r>
            <w:r w:rsidR="003D1C56" w:rsidRPr="008C5F1C">
              <w:rPr>
                <w:rFonts w:ascii="Times New Roman" w:hAnsi="Times New Roman" w:cs="Times New Roman"/>
              </w:rPr>
              <w:t>c</w:t>
            </w:r>
            <w:r w:rsidRPr="008C5F1C">
              <w:rPr>
                <w:rFonts w:ascii="Times New Roman" w:hAnsi="Times New Roman" w:cs="Times New Roman"/>
              </w:rPr>
              <w:t>uprinde 1.1 mil</w:t>
            </w:r>
            <w:r w:rsidR="003D1C56" w:rsidRPr="008C5F1C">
              <w:rPr>
                <w:rFonts w:ascii="Times New Roman" w:hAnsi="Times New Roman" w:cs="Times New Roman"/>
              </w:rPr>
              <w:t>.</w:t>
            </w:r>
            <w:r w:rsidRPr="008C5F1C">
              <w:rPr>
                <w:rFonts w:ascii="Times New Roman" w:hAnsi="Times New Roman" w:cs="Times New Roman"/>
              </w:rPr>
              <w:t xml:space="preserve"> locuințe, </w:t>
            </w:r>
            <w:r w:rsidR="00FD51DB" w:rsidRPr="008C5F1C">
              <w:rPr>
                <w:rFonts w:ascii="Times New Roman" w:hAnsi="Times New Roman" w:cs="Times New Roman"/>
              </w:rPr>
              <w:t xml:space="preserve">din care </w:t>
            </w:r>
            <w:r w:rsidRPr="008C5F1C">
              <w:rPr>
                <w:rFonts w:ascii="Times New Roman" w:hAnsi="Times New Roman" w:cs="Times New Roman"/>
              </w:rPr>
              <w:t xml:space="preserve">52,62% în mediul urban. 98,77% </w:t>
            </w:r>
            <w:r w:rsidR="00FD51DB" w:rsidRPr="008C5F1C">
              <w:rPr>
                <w:rFonts w:ascii="Times New Roman" w:hAnsi="Times New Roman" w:cs="Times New Roman"/>
              </w:rPr>
              <w:t xml:space="preserve">dintre acestea </w:t>
            </w:r>
            <w:r w:rsidRPr="008C5F1C">
              <w:rPr>
                <w:rFonts w:ascii="Times New Roman" w:hAnsi="Times New Roman" w:cs="Times New Roman"/>
              </w:rPr>
              <w:t>se afl</w:t>
            </w:r>
            <w:r w:rsidR="003D1C56" w:rsidRPr="008C5F1C">
              <w:rPr>
                <w:rFonts w:ascii="Times New Roman" w:hAnsi="Times New Roman" w:cs="Times New Roman"/>
              </w:rPr>
              <w:t>ă</w:t>
            </w:r>
            <w:r w:rsidRPr="008C5F1C">
              <w:rPr>
                <w:rFonts w:ascii="Times New Roman" w:hAnsi="Times New Roman" w:cs="Times New Roman"/>
              </w:rPr>
              <w:t xml:space="preserve"> în proprietate privată, iar restul în proprietate publică</w:t>
            </w:r>
            <w:r w:rsidRPr="008C5F1C">
              <w:rPr>
                <w:rStyle w:val="FootnoteReference"/>
                <w:rFonts w:ascii="Times New Roman" w:hAnsi="Times New Roman" w:cs="Times New Roman"/>
              </w:rPr>
              <w:footnoteReference w:id="20"/>
            </w:r>
            <w:r w:rsidRPr="008C5F1C">
              <w:rPr>
                <w:rFonts w:ascii="Times New Roman" w:hAnsi="Times New Roman" w:cs="Times New Roman"/>
              </w:rPr>
              <w:t xml:space="preserve">. </w:t>
            </w:r>
            <w:r w:rsidR="00B01E98" w:rsidRPr="008C5F1C">
              <w:rPr>
                <w:rFonts w:ascii="Times New Roman" w:hAnsi="Times New Roman" w:cs="Times New Roman"/>
              </w:rPr>
              <w:t xml:space="preserve">În regiune există un patrimoniu important de clădiri construite preponderent în perioada 1960-1990, cu standarde scăzute în ceea </w:t>
            </w:r>
            <w:r w:rsidR="00B01E98" w:rsidRPr="008C5F1C">
              <w:rPr>
                <w:rFonts w:ascii="Times New Roman" w:hAnsi="Times New Roman" w:cs="Times New Roman"/>
              </w:rPr>
              <w:lastRenderedPageBreak/>
              <w:t>ce privește eficiența energetică și, implicit, cu un grad redus de izolare termică</w:t>
            </w:r>
            <w:r w:rsidR="00FC027C" w:rsidRPr="008C5F1C">
              <w:rPr>
                <w:rStyle w:val="FootnoteReference"/>
                <w:rFonts w:ascii="Times New Roman" w:hAnsi="Times New Roman" w:cs="Times New Roman"/>
              </w:rPr>
              <w:footnoteReference w:id="21"/>
            </w:r>
            <w:r w:rsidR="00B01E98" w:rsidRPr="008C5F1C">
              <w:rPr>
                <w:rFonts w:ascii="Times New Roman" w:hAnsi="Times New Roman" w:cs="Times New Roman"/>
              </w:rPr>
              <w:t xml:space="preserve">. Clădirile publice, dintre care unele încadrate în categoria monumentelor de arhitectură, necesită mari cheltuieli pentru întreținere și sunt mult </w:t>
            </w:r>
            <w:r w:rsidR="00B01E98" w:rsidRPr="003E7AA2">
              <w:rPr>
                <w:rFonts w:ascii="Times New Roman" w:hAnsi="Times New Roman" w:cs="Times New Roman"/>
              </w:rPr>
              <w:t>sub nivelul standardelor actuale privind eficiența energetică. Dintre monumentele istorice, aproape 40% se află într-o stare proastă</w:t>
            </w:r>
            <w:r w:rsidR="002A0777" w:rsidRPr="003E7AA2">
              <w:rPr>
                <w:rStyle w:val="FootnoteReference"/>
                <w:rFonts w:ascii="Times New Roman" w:hAnsi="Times New Roman" w:cs="Times New Roman"/>
              </w:rPr>
              <w:footnoteReference w:id="22"/>
            </w:r>
            <w:r w:rsidR="00B01E98" w:rsidRPr="003E7AA2">
              <w:rPr>
                <w:rFonts w:ascii="Times New Roman" w:hAnsi="Times New Roman" w:cs="Times New Roman"/>
              </w:rPr>
              <w:t>. Potențialul de economisire în clădiri este semnificativ, situându-se în intervalul de aproximativ 40-50% sau chiar peste, prin promovarea reabilitării energetice profunde (</w:t>
            </w:r>
            <w:proofErr w:type="spellStart"/>
            <w:r w:rsidR="00B01E98" w:rsidRPr="003E7AA2">
              <w:rPr>
                <w:rFonts w:ascii="Times New Roman" w:hAnsi="Times New Roman" w:cs="Times New Roman"/>
                <w:i/>
                <w:iCs/>
              </w:rPr>
              <w:t>deep</w:t>
            </w:r>
            <w:proofErr w:type="spellEnd"/>
            <w:r w:rsidR="00B01E98" w:rsidRPr="003E7AA2">
              <w:rPr>
                <w:rFonts w:ascii="Times New Roman" w:hAnsi="Times New Roman" w:cs="Times New Roman"/>
                <w:i/>
                <w:iCs/>
              </w:rPr>
              <w:t xml:space="preserve"> </w:t>
            </w:r>
            <w:proofErr w:type="spellStart"/>
            <w:r w:rsidR="00B01E98" w:rsidRPr="003E7AA2">
              <w:rPr>
                <w:rFonts w:ascii="Times New Roman" w:hAnsi="Times New Roman" w:cs="Times New Roman"/>
                <w:i/>
                <w:iCs/>
              </w:rPr>
              <w:t>renovation</w:t>
            </w:r>
            <w:proofErr w:type="spellEnd"/>
            <w:r w:rsidR="00B01E98" w:rsidRPr="003E7AA2">
              <w:rPr>
                <w:rFonts w:ascii="Times New Roman" w:hAnsi="Times New Roman" w:cs="Times New Roman"/>
              </w:rPr>
              <w:t>).</w:t>
            </w:r>
          </w:p>
          <w:p w14:paraId="082F51CD" w14:textId="61F3E149" w:rsidR="0016447E" w:rsidRPr="003E7AA2" w:rsidRDefault="0016447E" w:rsidP="00AF5E39">
            <w:pPr>
              <w:spacing w:after="120" w:line="240" w:lineRule="auto"/>
              <w:jc w:val="both"/>
              <w:rPr>
                <w:rFonts w:ascii="Times New Roman" w:hAnsi="Times New Roman" w:cs="Times New Roman"/>
              </w:rPr>
            </w:pPr>
            <w:r w:rsidRPr="003E7AA2">
              <w:rPr>
                <w:rFonts w:ascii="Times New Roman" w:hAnsi="Times New Roman" w:cs="Times New Roman"/>
                <w:b/>
                <w:bCs/>
              </w:rPr>
              <w:t>Infrastructura de apă și apă uzată insuficientă și inadecvată</w:t>
            </w:r>
            <w:r w:rsidRPr="003E7AA2">
              <w:rPr>
                <w:rFonts w:ascii="Times New Roman" w:hAnsi="Times New Roman" w:cs="Times New Roman"/>
              </w:rPr>
              <w:t xml:space="preserve"> </w:t>
            </w:r>
            <w:r w:rsidR="001E3E11" w:rsidRPr="003E7AA2">
              <w:rPr>
                <w:rFonts w:ascii="Times New Roman" w:hAnsi="Times New Roman" w:cs="Times New Roman"/>
              </w:rPr>
              <w:t xml:space="preserve">inclusiv </w:t>
            </w:r>
            <w:r w:rsidR="003E7AA2" w:rsidRPr="003E7AA2">
              <w:rPr>
                <w:rFonts w:ascii="Times New Roman" w:hAnsi="Times New Roman" w:cs="Times New Roman"/>
              </w:rPr>
              <w:t>î</w:t>
            </w:r>
            <w:r w:rsidRPr="003E7AA2">
              <w:rPr>
                <w:rFonts w:ascii="Times New Roman" w:hAnsi="Times New Roman" w:cs="Times New Roman"/>
              </w:rPr>
              <w:t xml:space="preserve">n zonele periurbane aflate </w:t>
            </w:r>
            <w:r w:rsidR="003E7AA2" w:rsidRPr="003E7AA2">
              <w:rPr>
                <w:rFonts w:ascii="Times New Roman" w:hAnsi="Times New Roman" w:cs="Times New Roman"/>
              </w:rPr>
              <w:t>î</w:t>
            </w:r>
            <w:r w:rsidRPr="003E7AA2">
              <w:rPr>
                <w:rFonts w:ascii="Times New Roman" w:hAnsi="Times New Roman" w:cs="Times New Roman"/>
              </w:rPr>
              <w:t>n proximitate</w:t>
            </w:r>
            <w:r w:rsidR="003E7AA2" w:rsidRPr="003E7AA2">
              <w:rPr>
                <w:rFonts w:ascii="Times New Roman" w:hAnsi="Times New Roman" w:cs="Times New Roman"/>
              </w:rPr>
              <w:t>a</w:t>
            </w:r>
            <w:r w:rsidR="001E3E11" w:rsidRPr="003E7AA2">
              <w:rPr>
                <w:rFonts w:ascii="Times New Roman" w:hAnsi="Times New Roman" w:cs="Times New Roman"/>
              </w:rPr>
              <w:t xml:space="preserve"> aglomerărilor</w:t>
            </w:r>
            <w:r w:rsidRPr="003E7AA2">
              <w:rPr>
                <w:rFonts w:ascii="Times New Roman" w:hAnsi="Times New Roman" w:cs="Times New Roman"/>
              </w:rPr>
              <w:t xml:space="preserve"> urbane</w:t>
            </w:r>
            <w:r w:rsidR="001E3E11" w:rsidRPr="003E7AA2">
              <w:rPr>
                <w:rFonts w:ascii="Times New Roman" w:hAnsi="Times New Roman" w:cs="Times New Roman"/>
              </w:rPr>
              <w:t xml:space="preserve">, zone </w:t>
            </w:r>
            <w:r w:rsidR="003E7AA2" w:rsidRPr="003E7AA2">
              <w:rPr>
                <w:rFonts w:ascii="Times New Roman" w:hAnsi="Times New Roman" w:cs="Times New Roman"/>
              </w:rPr>
              <w:t>î</w:t>
            </w:r>
            <w:r w:rsidR="001E3E11" w:rsidRPr="003E7AA2">
              <w:rPr>
                <w:rFonts w:ascii="Times New Roman" w:hAnsi="Times New Roman" w:cs="Times New Roman"/>
              </w:rPr>
              <w:t>n care extinderea locuirii a fost de multe ori realizat</w:t>
            </w:r>
            <w:r w:rsidR="003E7AA2" w:rsidRPr="003E7AA2">
              <w:rPr>
                <w:rFonts w:ascii="Times New Roman" w:hAnsi="Times New Roman" w:cs="Times New Roman"/>
              </w:rPr>
              <w:t>ă</w:t>
            </w:r>
            <w:r w:rsidR="001E3E11" w:rsidRPr="003E7AA2">
              <w:rPr>
                <w:rFonts w:ascii="Times New Roman" w:hAnsi="Times New Roman" w:cs="Times New Roman"/>
              </w:rPr>
              <w:t xml:space="preserve"> fără investiții corespunzătoare </w:t>
            </w:r>
            <w:r w:rsidR="003E7AA2" w:rsidRPr="003E7AA2">
              <w:rPr>
                <w:rFonts w:ascii="Times New Roman" w:hAnsi="Times New Roman" w:cs="Times New Roman"/>
              </w:rPr>
              <w:t>î</w:t>
            </w:r>
            <w:r w:rsidR="001E3E11" w:rsidRPr="003E7AA2">
              <w:rPr>
                <w:rFonts w:ascii="Times New Roman" w:hAnsi="Times New Roman" w:cs="Times New Roman"/>
              </w:rPr>
              <w:t>n infrastructura edilitar</w:t>
            </w:r>
            <w:r w:rsidR="003E7AA2" w:rsidRPr="003E7AA2">
              <w:rPr>
                <w:rFonts w:ascii="Times New Roman" w:hAnsi="Times New Roman" w:cs="Times New Roman"/>
              </w:rPr>
              <w:t>ă</w:t>
            </w:r>
            <w:r w:rsidR="001E3E11" w:rsidRPr="003E7AA2">
              <w:rPr>
                <w:rFonts w:ascii="Times New Roman" w:hAnsi="Times New Roman" w:cs="Times New Roman"/>
              </w:rPr>
              <w:t>, creând astfel atât probleme de mediu</w:t>
            </w:r>
            <w:r w:rsidR="003E7AA2" w:rsidRPr="003E7AA2">
              <w:rPr>
                <w:rFonts w:ascii="Times New Roman" w:hAnsi="Times New Roman" w:cs="Times New Roman"/>
              </w:rPr>
              <w:t>,</w:t>
            </w:r>
            <w:r w:rsidR="001E3E11" w:rsidRPr="003E7AA2">
              <w:rPr>
                <w:rFonts w:ascii="Times New Roman" w:hAnsi="Times New Roman" w:cs="Times New Roman"/>
              </w:rPr>
              <w:t xml:space="preserve"> c</w:t>
            </w:r>
            <w:r w:rsidR="003E7AA2" w:rsidRPr="003E7AA2">
              <w:rPr>
                <w:rFonts w:ascii="Times New Roman" w:hAnsi="Times New Roman" w:cs="Times New Roman"/>
              </w:rPr>
              <w:t>â</w:t>
            </w:r>
            <w:r w:rsidR="001E3E11" w:rsidRPr="003E7AA2">
              <w:rPr>
                <w:rFonts w:ascii="Times New Roman" w:hAnsi="Times New Roman" w:cs="Times New Roman"/>
              </w:rPr>
              <w:t xml:space="preserve">t </w:t>
            </w:r>
            <w:r w:rsidR="003E7AA2" w:rsidRPr="003E7AA2">
              <w:rPr>
                <w:rFonts w:ascii="Times New Roman" w:hAnsi="Times New Roman" w:cs="Times New Roman"/>
              </w:rPr>
              <w:t>ș</w:t>
            </w:r>
            <w:r w:rsidR="001E3E11" w:rsidRPr="003E7AA2">
              <w:rPr>
                <w:rFonts w:ascii="Times New Roman" w:hAnsi="Times New Roman" w:cs="Times New Roman"/>
              </w:rPr>
              <w:t xml:space="preserve">i probleme </w:t>
            </w:r>
            <w:r w:rsidR="003E7AA2" w:rsidRPr="003E7AA2">
              <w:rPr>
                <w:rFonts w:ascii="Times New Roman" w:hAnsi="Times New Roman" w:cs="Times New Roman"/>
              </w:rPr>
              <w:t>legate de</w:t>
            </w:r>
            <w:r w:rsidR="001E3E11" w:rsidRPr="003E7AA2">
              <w:rPr>
                <w:rFonts w:ascii="Times New Roman" w:hAnsi="Times New Roman" w:cs="Times New Roman"/>
              </w:rPr>
              <w:t xml:space="preserve"> calitatea locuirii </w:t>
            </w:r>
            <w:r w:rsidR="003E7AA2" w:rsidRPr="003E7AA2">
              <w:rPr>
                <w:rFonts w:ascii="Times New Roman" w:hAnsi="Times New Roman" w:cs="Times New Roman"/>
              </w:rPr>
              <w:t>î</w:t>
            </w:r>
            <w:r w:rsidR="001E3E11" w:rsidRPr="003E7AA2">
              <w:rPr>
                <w:rFonts w:ascii="Times New Roman" w:hAnsi="Times New Roman" w:cs="Times New Roman"/>
              </w:rPr>
              <w:t>n aceste zone.</w:t>
            </w:r>
          </w:p>
          <w:p w14:paraId="1B313127" w14:textId="2BADBECC" w:rsidR="00C061DD" w:rsidRPr="008C5F1C" w:rsidRDefault="00EE59AC" w:rsidP="00221F37">
            <w:pPr>
              <w:spacing w:after="120" w:line="240" w:lineRule="auto"/>
              <w:jc w:val="both"/>
              <w:rPr>
                <w:rFonts w:ascii="Times New Roman" w:hAnsi="Times New Roman" w:cs="Times New Roman"/>
              </w:rPr>
            </w:pPr>
            <w:r w:rsidRPr="003E7AA2">
              <w:rPr>
                <w:rFonts w:ascii="Times New Roman" w:hAnsi="Times New Roman" w:cs="Times New Roman"/>
                <w:b/>
                <w:bCs/>
              </w:rPr>
              <w:t xml:space="preserve">Calitatea mediului </w:t>
            </w:r>
            <w:r w:rsidR="00772D10" w:rsidRPr="003E7AA2">
              <w:rPr>
                <w:rFonts w:ascii="Times New Roman" w:hAnsi="Times New Roman" w:cs="Times New Roman"/>
                <w:b/>
                <w:bCs/>
              </w:rPr>
              <w:t xml:space="preserve">de locuit </w:t>
            </w:r>
            <w:r w:rsidRPr="003E7AA2">
              <w:rPr>
                <w:rFonts w:ascii="Times New Roman" w:hAnsi="Times New Roman" w:cs="Times New Roman"/>
                <w:b/>
                <w:bCs/>
              </w:rPr>
              <w:t>s-a deterior</w:t>
            </w:r>
            <w:r w:rsidR="00772D10" w:rsidRPr="003E7AA2">
              <w:rPr>
                <w:rFonts w:ascii="Times New Roman" w:hAnsi="Times New Roman" w:cs="Times New Roman"/>
                <w:b/>
                <w:bCs/>
              </w:rPr>
              <w:t>at considerabil.</w:t>
            </w:r>
            <w:r w:rsidR="00772D10" w:rsidRPr="003E7AA2">
              <w:rPr>
                <w:rFonts w:ascii="Times New Roman" w:hAnsi="Times New Roman" w:cs="Times New Roman"/>
              </w:rPr>
              <w:t xml:space="preserve"> </w:t>
            </w:r>
            <w:r w:rsidR="009D4E63" w:rsidRPr="003E7AA2">
              <w:rPr>
                <w:rFonts w:ascii="Times New Roman" w:hAnsi="Times New Roman" w:cs="Times New Roman"/>
              </w:rPr>
              <w:t>Infrastructura de transport nu este accesibilizată pentru persoanele cu mobilitate redusă iar spațiul utilizabil al trotuarelor este adesea subdimensionat</w:t>
            </w:r>
            <w:r w:rsidR="00473F54" w:rsidRPr="003E7AA2">
              <w:rPr>
                <w:rFonts w:ascii="Times New Roman" w:hAnsi="Times New Roman" w:cs="Times New Roman"/>
              </w:rPr>
              <w:t xml:space="preserve">, </w:t>
            </w:r>
            <w:r w:rsidR="009D4E63" w:rsidRPr="003E7AA2">
              <w:rPr>
                <w:rFonts w:ascii="Times New Roman" w:hAnsi="Times New Roman" w:cs="Times New Roman"/>
              </w:rPr>
              <w:t xml:space="preserve">lipsește (mai ales în zonele de expansiune din </w:t>
            </w:r>
            <w:proofErr w:type="spellStart"/>
            <w:r w:rsidR="009D4E63" w:rsidRPr="003E7AA2">
              <w:rPr>
                <w:rFonts w:ascii="Times New Roman" w:hAnsi="Times New Roman" w:cs="Times New Roman"/>
              </w:rPr>
              <w:t>periurban</w:t>
            </w:r>
            <w:proofErr w:type="spellEnd"/>
            <w:r w:rsidR="009D4E63" w:rsidRPr="003E7AA2">
              <w:rPr>
                <w:rFonts w:ascii="Times New Roman" w:hAnsi="Times New Roman" w:cs="Times New Roman"/>
              </w:rPr>
              <w:t>) sau este ocupat prin parcări neregulamentare. S</w:t>
            </w:r>
            <w:r w:rsidR="00772D10" w:rsidRPr="003E7AA2">
              <w:rPr>
                <w:rFonts w:ascii="Times New Roman" w:hAnsi="Times New Roman" w:cs="Times New Roman"/>
              </w:rPr>
              <w:t>pațiile verzi și adesea trotuarele din zonele</w:t>
            </w:r>
            <w:r w:rsidR="00772D10" w:rsidRPr="008C5F1C">
              <w:rPr>
                <w:rFonts w:ascii="Times New Roman" w:hAnsi="Times New Roman" w:cs="Times New Roman"/>
              </w:rPr>
              <w:t xml:space="preserve"> de locuințe colective </w:t>
            </w:r>
            <w:r w:rsidR="009D4E63" w:rsidRPr="008C5F1C">
              <w:rPr>
                <w:rFonts w:ascii="Times New Roman" w:hAnsi="Times New Roman" w:cs="Times New Roman"/>
              </w:rPr>
              <w:t xml:space="preserve">au fost  adesea </w:t>
            </w:r>
            <w:r w:rsidR="00772D10" w:rsidRPr="008C5F1C">
              <w:rPr>
                <w:rFonts w:ascii="Times New Roman" w:hAnsi="Times New Roman" w:cs="Times New Roman"/>
              </w:rPr>
              <w:t>transformate în parcări de reședință.</w:t>
            </w:r>
            <w:r w:rsidR="00473F54" w:rsidRPr="008C5F1C">
              <w:rPr>
                <w:rFonts w:ascii="Times New Roman" w:hAnsi="Times New Roman" w:cs="Times New Roman"/>
              </w:rPr>
              <w:t xml:space="preserve"> S</w:t>
            </w:r>
            <w:r w:rsidR="00772D10" w:rsidRPr="008C5F1C">
              <w:rPr>
                <w:rFonts w:ascii="Times New Roman" w:hAnsi="Times New Roman" w:cs="Times New Roman"/>
              </w:rPr>
              <w:t>uprafața spațiilor verzi și a celor comunitare s-ar redus treptat în multe cartiere</w:t>
            </w:r>
            <w:r w:rsidR="00FD51DB" w:rsidRPr="008C5F1C">
              <w:rPr>
                <w:rFonts w:ascii="Times New Roman" w:hAnsi="Times New Roman" w:cs="Times New Roman"/>
              </w:rPr>
              <w:t>,</w:t>
            </w:r>
            <w:r w:rsidR="00772D10" w:rsidRPr="008C5F1C">
              <w:rPr>
                <w:rFonts w:ascii="Times New Roman" w:hAnsi="Times New Roman" w:cs="Times New Roman"/>
              </w:rPr>
              <w:t xml:space="preserve"> aspect care a scăzut considerabil calitatea factorilor de mediu și implicit calitatea locuirii. </w:t>
            </w:r>
            <w:r w:rsidR="00C061DD" w:rsidRPr="008C5F1C">
              <w:rPr>
                <w:rFonts w:ascii="Times New Roman" w:hAnsi="Times New Roman" w:cs="Times New Roman"/>
              </w:rPr>
              <w:t xml:space="preserve">În regiune, 11 </w:t>
            </w:r>
            <w:proofErr w:type="spellStart"/>
            <w:r w:rsidR="00C061DD" w:rsidRPr="008C5F1C">
              <w:rPr>
                <w:rFonts w:ascii="Times New Roman" w:hAnsi="Times New Roman" w:cs="Times New Roman"/>
              </w:rPr>
              <w:t>localităţi</w:t>
            </w:r>
            <w:proofErr w:type="spellEnd"/>
            <w:r w:rsidR="00C061DD" w:rsidRPr="008C5F1C">
              <w:rPr>
                <w:rFonts w:ascii="Times New Roman" w:hAnsi="Times New Roman" w:cs="Times New Roman"/>
              </w:rPr>
              <w:t xml:space="preserve"> </w:t>
            </w:r>
            <w:proofErr w:type="spellStart"/>
            <w:r w:rsidR="00C061DD" w:rsidRPr="008C5F1C">
              <w:rPr>
                <w:rFonts w:ascii="Times New Roman" w:hAnsi="Times New Roman" w:cs="Times New Roman"/>
              </w:rPr>
              <w:t>depăşesc</w:t>
            </w:r>
            <w:proofErr w:type="spellEnd"/>
            <w:r w:rsidR="00C061DD" w:rsidRPr="008C5F1C">
              <w:rPr>
                <w:rFonts w:ascii="Times New Roman" w:hAnsi="Times New Roman" w:cs="Times New Roman"/>
              </w:rPr>
              <w:t xml:space="preserve"> norma europeană privind </w:t>
            </w:r>
            <w:r w:rsidR="00E34CA2" w:rsidRPr="008C5F1C">
              <w:rPr>
                <w:rFonts w:ascii="Times New Roman" w:hAnsi="Times New Roman" w:cs="Times New Roman"/>
              </w:rPr>
              <w:t>spațiile</w:t>
            </w:r>
            <w:r w:rsidR="00C061DD" w:rsidRPr="008C5F1C">
              <w:rPr>
                <w:rFonts w:ascii="Times New Roman" w:hAnsi="Times New Roman" w:cs="Times New Roman"/>
              </w:rPr>
              <w:t xml:space="preserve"> verzi în mediul urban de 26 mp/loc, iar alte 11 au mai </w:t>
            </w:r>
            <w:proofErr w:type="spellStart"/>
            <w:r w:rsidR="00C061DD" w:rsidRPr="008C5F1C">
              <w:rPr>
                <w:rFonts w:ascii="Times New Roman" w:hAnsi="Times New Roman" w:cs="Times New Roman"/>
              </w:rPr>
              <w:t>puţin</w:t>
            </w:r>
            <w:proofErr w:type="spellEnd"/>
            <w:r w:rsidR="00C061DD" w:rsidRPr="008C5F1C">
              <w:rPr>
                <w:rFonts w:ascii="Times New Roman" w:hAnsi="Times New Roman" w:cs="Times New Roman"/>
              </w:rPr>
              <w:t xml:space="preserve"> de 10 mp de </w:t>
            </w:r>
            <w:proofErr w:type="spellStart"/>
            <w:r w:rsidR="00C061DD" w:rsidRPr="008C5F1C">
              <w:rPr>
                <w:rFonts w:ascii="Times New Roman" w:hAnsi="Times New Roman" w:cs="Times New Roman"/>
              </w:rPr>
              <w:t>spaţiu</w:t>
            </w:r>
            <w:proofErr w:type="spellEnd"/>
            <w:r w:rsidR="00C061DD" w:rsidRPr="008C5F1C">
              <w:rPr>
                <w:rFonts w:ascii="Times New Roman" w:hAnsi="Times New Roman" w:cs="Times New Roman"/>
              </w:rPr>
              <w:t xml:space="preserve"> verde pe cap de locuitor. Din cele 43 de </w:t>
            </w:r>
            <w:proofErr w:type="spellStart"/>
            <w:r w:rsidR="00C061DD" w:rsidRPr="008C5F1C">
              <w:rPr>
                <w:rFonts w:ascii="Times New Roman" w:hAnsi="Times New Roman" w:cs="Times New Roman"/>
              </w:rPr>
              <w:t>oraşe</w:t>
            </w:r>
            <w:proofErr w:type="spellEnd"/>
            <w:r w:rsidR="00C061DD" w:rsidRPr="008C5F1C">
              <w:rPr>
                <w:rFonts w:ascii="Times New Roman" w:hAnsi="Times New Roman" w:cs="Times New Roman"/>
              </w:rPr>
              <w:t xml:space="preserve"> ale regiunii Nord-Vest, doar 3 </w:t>
            </w:r>
            <w:proofErr w:type="spellStart"/>
            <w:r w:rsidR="00C061DD" w:rsidRPr="008C5F1C">
              <w:rPr>
                <w:rFonts w:ascii="Times New Roman" w:hAnsi="Times New Roman" w:cs="Times New Roman"/>
              </w:rPr>
              <w:t>depăşesc</w:t>
            </w:r>
            <w:proofErr w:type="spellEnd"/>
            <w:r w:rsidR="00C061DD" w:rsidRPr="008C5F1C">
              <w:rPr>
                <w:rFonts w:ascii="Times New Roman" w:hAnsi="Times New Roman" w:cs="Times New Roman"/>
              </w:rPr>
              <w:t xml:space="preserve"> </w:t>
            </w:r>
            <w:proofErr w:type="spellStart"/>
            <w:r w:rsidR="00C061DD" w:rsidRPr="008C5F1C">
              <w:rPr>
                <w:rFonts w:ascii="Times New Roman" w:hAnsi="Times New Roman" w:cs="Times New Roman"/>
              </w:rPr>
              <w:t>suprafaţa</w:t>
            </w:r>
            <w:proofErr w:type="spellEnd"/>
            <w:r w:rsidR="00C061DD" w:rsidRPr="008C5F1C">
              <w:rPr>
                <w:rFonts w:ascii="Times New Roman" w:hAnsi="Times New Roman" w:cs="Times New Roman"/>
              </w:rPr>
              <w:t xml:space="preserve"> de 52 mp/loc. recomandată de </w:t>
            </w:r>
            <w:proofErr w:type="spellStart"/>
            <w:r w:rsidR="00C061DD" w:rsidRPr="008C5F1C">
              <w:rPr>
                <w:rFonts w:ascii="Times New Roman" w:hAnsi="Times New Roman" w:cs="Times New Roman"/>
              </w:rPr>
              <w:t>Organizaţia</w:t>
            </w:r>
            <w:proofErr w:type="spellEnd"/>
            <w:r w:rsidR="00C061DD" w:rsidRPr="008C5F1C">
              <w:rPr>
                <w:rFonts w:ascii="Times New Roman" w:hAnsi="Times New Roman" w:cs="Times New Roman"/>
              </w:rPr>
              <w:t xml:space="preserve"> Mondială a </w:t>
            </w:r>
            <w:proofErr w:type="spellStart"/>
            <w:r w:rsidR="00C061DD" w:rsidRPr="008C5F1C">
              <w:rPr>
                <w:rFonts w:ascii="Times New Roman" w:hAnsi="Times New Roman" w:cs="Times New Roman"/>
              </w:rPr>
              <w:t>Sănătăţii</w:t>
            </w:r>
            <w:proofErr w:type="spellEnd"/>
            <w:r w:rsidR="00C061DD" w:rsidRPr="008C5F1C">
              <w:rPr>
                <w:rFonts w:ascii="Times New Roman" w:hAnsi="Times New Roman" w:cs="Times New Roman"/>
              </w:rPr>
              <w:t xml:space="preserve">. </w:t>
            </w:r>
          </w:p>
          <w:p w14:paraId="1B918798" w14:textId="45E8D5CB" w:rsidR="00EE59AC" w:rsidRPr="008C5F1C" w:rsidRDefault="00E725DA" w:rsidP="00B373F4">
            <w:pPr>
              <w:spacing w:after="120" w:line="240" w:lineRule="auto"/>
              <w:jc w:val="both"/>
              <w:rPr>
                <w:rFonts w:ascii="Times New Roman" w:hAnsi="Times New Roman" w:cs="Times New Roman"/>
              </w:rPr>
            </w:pPr>
            <w:r w:rsidRPr="008C5F1C">
              <w:rPr>
                <w:rFonts w:ascii="Times New Roman" w:hAnsi="Times New Roman" w:cs="Times New Roman"/>
                <w:b/>
                <w:bCs/>
              </w:rPr>
              <w:t>Transformările economice și sociale au determinat apariția unor</w:t>
            </w:r>
            <w:r w:rsidR="00EE59AC" w:rsidRPr="008C5F1C">
              <w:rPr>
                <w:rFonts w:ascii="Times New Roman" w:hAnsi="Times New Roman" w:cs="Times New Roman"/>
                <w:b/>
                <w:bCs/>
              </w:rPr>
              <w:t xml:space="preserve"> spații numeroase și generoase, abandonate</w:t>
            </w:r>
            <w:r w:rsidRPr="008C5F1C">
              <w:rPr>
                <w:rFonts w:ascii="Times New Roman" w:hAnsi="Times New Roman" w:cs="Times New Roman"/>
                <w:b/>
                <w:bCs/>
              </w:rPr>
              <w:t>, atât la marginea orașelor, cât și în interiorul acestora</w:t>
            </w:r>
            <w:r w:rsidR="00EE59AC" w:rsidRPr="008C5F1C">
              <w:rPr>
                <w:rFonts w:ascii="Times New Roman" w:hAnsi="Times New Roman" w:cs="Times New Roman"/>
                <w:b/>
                <w:bCs/>
              </w:rPr>
              <w:t>.</w:t>
            </w:r>
            <w:r w:rsidR="00EE59AC" w:rsidRPr="008C5F1C">
              <w:rPr>
                <w:rFonts w:ascii="Times New Roman" w:hAnsi="Times New Roman" w:cs="Times New Roman"/>
              </w:rPr>
              <w:t xml:space="preserve"> Aceste spații </w:t>
            </w:r>
            <w:r w:rsidRPr="008C5F1C">
              <w:rPr>
                <w:rFonts w:ascii="Times New Roman" w:hAnsi="Times New Roman" w:cs="Times New Roman"/>
              </w:rPr>
              <w:t xml:space="preserve">degradate </w:t>
            </w:r>
            <w:r w:rsidR="00EE59AC" w:rsidRPr="008C5F1C">
              <w:rPr>
                <w:rFonts w:ascii="Times New Roman" w:hAnsi="Times New Roman" w:cs="Times New Roman"/>
              </w:rPr>
              <w:t xml:space="preserve">au un potențial ridicat de reconstrucție și </w:t>
            </w:r>
            <w:r w:rsidR="003529BA" w:rsidRPr="008C5F1C">
              <w:rPr>
                <w:rFonts w:ascii="Times New Roman" w:hAnsi="Times New Roman" w:cs="Times New Roman"/>
              </w:rPr>
              <w:t xml:space="preserve">reutilizare </w:t>
            </w:r>
            <w:r w:rsidR="00EE59AC" w:rsidRPr="008C5F1C">
              <w:rPr>
                <w:rFonts w:ascii="Times New Roman" w:hAnsi="Times New Roman" w:cs="Times New Roman"/>
              </w:rPr>
              <w:t xml:space="preserve">prin integrarea lor în comunitate și pentru crearea de spații inovative, care pot contribui semnificativ la creșterea </w:t>
            </w:r>
            <w:proofErr w:type="spellStart"/>
            <w:r w:rsidR="00EE59AC" w:rsidRPr="008C5F1C">
              <w:rPr>
                <w:rFonts w:ascii="Times New Roman" w:hAnsi="Times New Roman" w:cs="Times New Roman"/>
              </w:rPr>
              <w:t>atractivit</w:t>
            </w:r>
            <w:r w:rsidR="00F56FF8" w:rsidRPr="008C5F1C">
              <w:rPr>
                <w:rFonts w:ascii="Times New Roman" w:hAnsi="Times New Roman" w:cs="Times New Roman"/>
              </w:rPr>
              <w:t>atii</w:t>
            </w:r>
            <w:proofErr w:type="spellEnd"/>
            <w:r w:rsidR="00EE59AC" w:rsidRPr="008C5F1C">
              <w:rPr>
                <w:rFonts w:ascii="Times New Roman" w:hAnsi="Times New Roman" w:cs="Times New Roman"/>
              </w:rPr>
              <w:t xml:space="preserve"> zonei pentru locuire</w:t>
            </w:r>
            <w:r w:rsidR="00F56FF8" w:rsidRPr="008C5F1C">
              <w:rPr>
                <w:rFonts w:ascii="Times New Roman" w:hAnsi="Times New Roman" w:cs="Times New Roman"/>
              </w:rPr>
              <w:t xml:space="preserve"> sau</w:t>
            </w:r>
            <w:r w:rsidR="00EE59AC" w:rsidRPr="008C5F1C">
              <w:rPr>
                <w:rFonts w:ascii="Times New Roman" w:hAnsi="Times New Roman" w:cs="Times New Roman"/>
              </w:rPr>
              <w:t xml:space="preserve"> investiții.</w:t>
            </w:r>
            <w:r w:rsidR="0027491B" w:rsidRPr="008C5F1C">
              <w:rPr>
                <w:rFonts w:ascii="Times New Roman" w:hAnsi="Times New Roman" w:cs="Times New Roman"/>
              </w:rPr>
              <w:t xml:space="preserve"> </w:t>
            </w:r>
            <w:r w:rsidR="00EE59AC" w:rsidRPr="008C5F1C">
              <w:rPr>
                <w:rFonts w:ascii="Times New Roman" w:hAnsi="Times New Roman" w:cs="Times New Roman"/>
              </w:rPr>
              <w:t xml:space="preserve">Capacitatea investițională diferită a făcut ca orașele mari să valorifice mai rapid spațiile urbane degradate și terenurile disponibile, în timp ce orașele mai mici nu au reușit încă acest lucru, ceea ce a condus la o deteriorare accentuată a calității mediului urban, în special în fostele zone industriale. </w:t>
            </w:r>
          </w:p>
          <w:p w14:paraId="390BA05F" w14:textId="0BDC8D97" w:rsidR="003A7516" w:rsidRPr="008C5F1C" w:rsidRDefault="003A7516" w:rsidP="00B373F4">
            <w:pPr>
              <w:spacing w:after="120" w:line="240" w:lineRule="auto"/>
              <w:jc w:val="both"/>
              <w:rPr>
                <w:rFonts w:ascii="Times New Roman" w:hAnsi="Times New Roman" w:cs="Times New Roman"/>
              </w:rPr>
            </w:pPr>
            <w:r w:rsidRPr="008C5F1C">
              <w:rPr>
                <w:rFonts w:ascii="Times New Roman" w:hAnsi="Times New Roman" w:cs="Times New Roman"/>
                <w:b/>
                <w:bCs/>
              </w:rPr>
              <w:t>Implementarea conceptului de ”</w:t>
            </w:r>
            <w:proofErr w:type="spellStart"/>
            <w:r w:rsidRPr="008C5F1C">
              <w:rPr>
                <w:rFonts w:ascii="Times New Roman" w:hAnsi="Times New Roman" w:cs="Times New Roman"/>
                <w:b/>
                <w:bCs/>
              </w:rPr>
              <w:t>smart-city</w:t>
            </w:r>
            <w:proofErr w:type="spellEnd"/>
            <w:r w:rsidRPr="008C5F1C">
              <w:rPr>
                <w:rFonts w:ascii="Times New Roman" w:hAnsi="Times New Roman" w:cs="Times New Roman"/>
                <w:b/>
                <w:bCs/>
              </w:rPr>
              <w:t>” este în etapa incipientă</w:t>
            </w:r>
            <w:r w:rsidRPr="008C5F1C">
              <w:rPr>
                <w:rFonts w:ascii="Times New Roman" w:hAnsi="Times New Roman" w:cs="Times New Roman"/>
              </w:rPr>
              <w:t>. Doar județul Cluj și municipiile Cluj-Napoca și Oradea au dezvoltat strategii sau planuri pentru adoptarea conceptului de „</w:t>
            </w:r>
            <w:proofErr w:type="spellStart"/>
            <w:r w:rsidRPr="008C5F1C">
              <w:rPr>
                <w:rFonts w:ascii="Times New Roman" w:hAnsi="Times New Roman" w:cs="Times New Roman"/>
              </w:rPr>
              <w:t>smart</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city</w:t>
            </w:r>
            <w:proofErr w:type="spellEnd"/>
            <w:r w:rsidRPr="008C5F1C">
              <w:rPr>
                <w:rFonts w:ascii="Times New Roman" w:hAnsi="Times New Roman" w:cs="Times New Roman"/>
              </w:rPr>
              <w:t>”, municipiul Cluj-Napoca fiind singurul oraș care apare în clasamentele și rețelele europene specifice „</w:t>
            </w:r>
            <w:proofErr w:type="spellStart"/>
            <w:r w:rsidRPr="008C5F1C">
              <w:rPr>
                <w:rFonts w:ascii="Times New Roman" w:hAnsi="Times New Roman" w:cs="Times New Roman"/>
              </w:rPr>
              <w:t>smart</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city</w:t>
            </w:r>
            <w:proofErr w:type="spellEnd"/>
            <w:r w:rsidRPr="008C5F1C">
              <w:rPr>
                <w:rFonts w:ascii="Times New Roman" w:hAnsi="Times New Roman" w:cs="Times New Roman"/>
              </w:rPr>
              <w:t>”.  Din ce în ce mai multe unități administrativ-teritoriale testează însă soluții de acest tip</w:t>
            </w:r>
            <w:r w:rsidR="00661D17" w:rsidRPr="008C5F1C">
              <w:rPr>
                <w:rFonts w:ascii="Times New Roman" w:hAnsi="Times New Roman" w:cs="Times New Roman"/>
              </w:rPr>
              <w:t>;</w:t>
            </w:r>
            <w:r w:rsidRPr="008C5F1C">
              <w:rPr>
                <w:rFonts w:ascii="Times New Roman" w:hAnsi="Times New Roman" w:cs="Times New Roman"/>
              </w:rPr>
              <w:t xml:space="preserve"> 70,6% din administrațiile publice consideră că sunt</w:t>
            </w:r>
            <w:r w:rsidR="00661D17" w:rsidRPr="008C5F1C">
              <w:rPr>
                <w:rFonts w:ascii="Times New Roman" w:hAnsi="Times New Roman" w:cs="Times New Roman"/>
              </w:rPr>
              <w:t xml:space="preserve"> încă</w:t>
            </w:r>
            <w:r w:rsidRPr="008C5F1C">
              <w:rPr>
                <w:rFonts w:ascii="Times New Roman" w:hAnsi="Times New Roman" w:cs="Times New Roman"/>
              </w:rPr>
              <w:t xml:space="preserve"> în fază incipientă, 11,8% își doresc să implementeze conceptul în următoarea perioadă de finanțare, iar 8,8% doresc implementarea de proiecte pilot. Cele mai frecvente proiecte</w:t>
            </w:r>
            <w:r w:rsidR="00C061DD" w:rsidRPr="008C5F1C">
              <w:rPr>
                <w:rFonts w:ascii="Times New Roman" w:hAnsi="Times New Roman" w:cs="Times New Roman"/>
              </w:rPr>
              <w:t xml:space="preserve"> avute în vedere pentru</w:t>
            </w:r>
            <w:r w:rsidRPr="008C5F1C">
              <w:rPr>
                <w:rFonts w:ascii="Times New Roman" w:hAnsi="Times New Roman" w:cs="Times New Roman"/>
              </w:rPr>
              <w:t xml:space="preserve"> „</w:t>
            </w:r>
            <w:proofErr w:type="spellStart"/>
            <w:r w:rsidRPr="008C5F1C">
              <w:rPr>
                <w:rFonts w:ascii="Times New Roman" w:hAnsi="Times New Roman" w:cs="Times New Roman"/>
              </w:rPr>
              <w:t>smart</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city</w:t>
            </w:r>
            <w:proofErr w:type="spellEnd"/>
            <w:r w:rsidRPr="008C5F1C">
              <w:rPr>
                <w:rFonts w:ascii="Times New Roman" w:hAnsi="Times New Roman" w:cs="Times New Roman"/>
              </w:rPr>
              <w:t>”</w:t>
            </w:r>
            <w:r w:rsidR="00C061DD" w:rsidRPr="008C5F1C">
              <w:rPr>
                <w:rFonts w:ascii="Times New Roman" w:hAnsi="Times New Roman" w:cs="Times New Roman"/>
              </w:rPr>
              <w:t xml:space="preserve"> </w:t>
            </w:r>
            <w:r w:rsidRPr="008C5F1C">
              <w:rPr>
                <w:rFonts w:ascii="Times New Roman" w:hAnsi="Times New Roman" w:cs="Times New Roman"/>
              </w:rPr>
              <w:t xml:space="preserve">se referă la optimizarea sistemului de transport, </w:t>
            </w:r>
            <w:r w:rsidR="00D5757A" w:rsidRPr="008C5F1C">
              <w:rPr>
                <w:rFonts w:ascii="Times New Roman" w:hAnsi="Times New Roman" w:cs="Times New Roman"/>
              </w:rPr>
              <w:t xml:space="preserve">managementul deșeurilor, iluminat public, </w:t>
            </w:r>
            <w:r w:rsidRPr="008C5F1C">
              <w:rPr>
                <w:rFonts w:ascii="Times New Roman" w:hAnsi="Times New Roman" w:cs="Times New Roman"/>
              </w:rPr>
              <w:t>eficientizarea administrației publice și ameliorare</w:t>
            </w:r>
            <w:r w:rsidR="00C561C2" w:rsidRPr="008C5F1C">
              <w:rPr>
                <w:rFonts w:ascii="Times New Roman" w:hAnsi="Times New Roman" w:cs="Times New Roman"/>
              </w:rPr>
              <w:t>a</w:t>
            </w:r>
            <w:r w:rsidRPr="008C5F1C">
              <w:rPr>
                <w:rFonts w:ascii="Times New Roman" w:hAnsi="Times New Roman" w:cs="Times New Roman"/>
              </w:rPr>
              <w:t xml:space="preserve"> interacțiunii cu cetățenii </w:t>
            </w:r>
          </w:p>
          <w:p w14:paraId="354E30B5" w14:textId="77777777" w:rsidR="00645C98" w:rsidRPr="008C5F1C" w:rsidRDefault="00645C98" w:rsidP="00C2180E">
            <w:pPr>
              <w:keepNext/>
              <w:suppressAutoHyphens/>
              <w:spacing w:after="120" w:line="240" w:lineRule="auto"/>
              <w:jc w:val="both"/>
              <w:rPr>
                <w:rFonts w:ascii="Times New Roman" w:eastAsia="Times New Roman" w:hAnsi="Times New Roman" w:cs="Times New Roman"/>
                <w:i/>
                <w:iCs/>
                <w:sz w:val="24"/>
                <w:szCs w:val="24"/>
                <w:lang w:eastAsia="ar-SA"/>
              </w:rPr>
            </w:pPr>
            <w:r w:rsidRPr="008C5F1C">
              <w:rPr>
                <w:rFonts w:ascii="Times New Roman" w:eastAsia="Times New Roman" w:hAnsi="Times New Roman" w:cs="Times New Roman"/>
                <w:i/>
                <w:iCs/>
                <w:sz w:val="24"/>
                <w:szCs w:val="24"/>
                <w:lang w:eastAsia="ar-SA"/>
              </w:rPr>
              <w:t>Mediul rural</w:t>
            </w:r>
          </w:p>
          <w:p w14:paraId="13AF7044" w14:textId="1E5F31B1" w:rsidR="00645C98" w:rsidRPr="008C5F1C" w:rsidRDefault="00645C98">
            <w:pPr>
              <w:suppressAutoHyphens/>
              <w:spacing w:after="120" w:line="240" w:lineRule="auto"/>
              <w:jc w:val="both"/>
              <w:rPr>
                <w:rFonts w:ascii="Times New Roman" w:eastAsia="Times New Roman" w:hAnsi="Times New Roman" w:cs="Times New Roman"/>
                <w:lang w:eastAsia="ar-SA"/>
              </w:rPr>
            </w:pPr>
            <w:r w:rsidRPr="008C5F1C">
              <w:rPr>
                <w:rFonts w:ascii="Times New Roman" w:eastAsia="Times New Roman" w:hAnsi="Times New Roman" w:cs="Times New Roman"/>
                <w:lang w:eastAsia="ar-SA"/>
              </w:rPr>
              <w:t>Mediul rural din regiune este format din 403 comune. Din punct de vedere administrativ 48 de sate aparțin de municipii și orașe (făcând astfel parte din mediul urban, nu sunt eligibile pentru fondurile de dezvoltare rurală). Principalele provocări, relevante pentru POR N</w:t>
            </w:r>
            <w:r w:rsidR="00EA1AFD" w:rsidRPr="008C5F1C">
              <w:rPr>
                <w:rFonts w:ascii="Times New Roman" w:eastAsia="Times New Roman" w:hAnsi="Times New Roman" w:cs="Times New Roman"/>
                <w:lang w:eastAsia="ar-SA"/>
              </w:rPr>
              <w:t>ord</w:t>
            </w:r>
            <w:r w:rsidRPr="008C5F1C">
              <w:rPr>
                <w:rFonts w:ascii="Times New Roman" w:eastAsia="Times New Roman" w:hAnsi="Times New Roman" w:cs="Times New Roman"/>
                <w:lang w:eastAsia="ar-SA"/>
              </w:rPr>
              <w:t>-V</w:t>
            </w:r>
            <w:r w:rsidR="00EA1AFD" w:rsidRPr="008C5F1C">
              <w:rPr>
                <w:rFonts w:ascii="Times New Roman" w:eastAsia="Times New Roman" w:hAnsi="Times New Roman" w:cs="Times New Roman"/>
                <w:lang w:eastAsia="ar-SA"/>
              </w:rPr>
              <w:t>est</w:t>
            </w:r>
            <w:r w:rsidRPr="008C5F1C">
              <w:rPr>
                <w:rFonts w:ascii="Times New Roman" w:eastAsia="Times New Roman" w:hAnsi="Times New Roman" w:cs="Times New Roman"/>
                <w:lang w:eastAsia="ar-SA"/>
              </w:rPr>
              <w:t xml:space="preserve">, sunt legate de: </w:t>
            </w:r>
          </w:p>
          <w:p w14:paraId="4C729261" w14:textId="77777777" w:rsidR="00645C98" w:rsidRPr="008C5F1C" w:rsidRDefault="00645C98" w:rsidP="003D64F1">
            <w:pPr>
              <w:pStyle w:val="ListParagraph"/>
              <w:numPr>
                <w:ilvl w:val="0"/>
                <w:numId w:val="68"/>
              </w:numPr>
              <w:suppressAutoHyphens/>
              <w:spacing w:before="0" w:line="240" w:lineRule="auto"/>
              <w:jc w:val="both"/>
              <w:rPr>
                <w:rFonts w:eastAsia="Times New Roman"/>
                <w:lang w:val="ro-RO" w:eastAsia="ar-SA"/>
              </w:rPr>
            </w:pPr>
            <w:r w:rsidRPr="008C5F1C">
              <w:rPr>
                <w:rFonts w:eastAsia="Times New Roman"/>
                <w:sz w:val="22"/>
                <w:lang w:val="ro-RO" w:eastAsia="ar-SA"/>
              </w:rPr>
              <w:t>conectivitatea redusă sau deficitară, în special în zonele metropolitane sau către obiective turistice/ de patrimoniu cu potențial economic ridicat, care însă au o accesibilitate redusă, rămânând nevalorificate</w:t>
            </w:r>
          </w:p>
          <w:p w14:paraId="62667D7C" w14:textId="77777777" w:rsidR="00645C98" w:rsidRPr="008C5F1C" w:rsidRDefault="00645C98" w:rsidP="003D64F1">
            <w:pPr>
              <w:pStyle w:val="ListParagraph"/>
              <w:numPr>
                <w:ilvl w:val="0"/>
                <w:numId w:val="68"/>
              </w:numPr>
              <w:suppressAutoHyphens/>
              <w:spacing w:before="0" w:line="240" w:lineRule="auto"/>
              <w:jc w:val="both"/>
              <w:rPr>
                <w:rFonts w:eastAsia="Times New Roman"/>
                <w:lang w:val="ro-RO" w:eastAsia="ar-SA"/>
              </w:rPr>
            </w:pPr>
            <w:r w:rsidRPr="008C5F1C">
              <w:rPr>
                <w:rFonts w:eastAsia="Times New Roman"/>
                <w:sz w:val="22"/>
                <w:lang w:val="ro-RO" w:eastAsia="ar-SA"/>
              </w:rPr>
              <w:t xml:space="preserve">eficiență suboptimală a intervențiilor din mediul urban, în condițiile în care acestea s-ar realiza neintegrat/necorelat cu zonele rurale din proximitate: de ex. investiții în infrastructura de transport public sau circuite turistice. </w:t>
            </w:r>
          </w:p>
          <w:p w14:paraId="10E8ED9E" w14:textId="77777777" w:rsidR="00645C98" w:rsidRPr="008C5F1C" w:rsidRDefault="00645C98" w:rsidP="003D64F1">
            <w:pPr>
              <w:pStyle w:val="ListParagraph"/>
              <w:numPr>
                <w:ilvl w:val="0"/>
                <w:numId w:val="68"/>
              </w:numPr>
              <w:suppressAutoHyphens/>
              <w:spacing w:before="0" w:line="240" w:lineRule="auto"/>
              <w:jc w:val="both"/>
              <w:rPr>
                <w:rFonts w:eastAsia="Times New Roman"/>
                <w:lang w:val="ro-RO" w:eastAsia="ar-SA"/>
              </w:rPr>
            </w:pPr>
            <w:r w:rsidRPr="008C5F1C">
              <w:rPr>
                <w:rFonts w:eastAsia="Times New Roman"/>
                <w:sz w:val="22"/>
                <w:lang w:val="ro-RO" w:eastAsia="ar-SA"/>
              </w:rPr>
              <w:t>calitatea scăzută a serviciilor publice în localitățile rurale din zonele metropolitane sau din proximitatea zonelor urbane</w:t>
            </w:r>
          </w:p>
          <w:p w14:paraId="52F08BA2" w14:textId="77777777" w:rsidR="00645C98" w:rsidRPr="008C5F1C" w:rsidRDefault="00645C98" w:rsidP="003D64F1">
            <w:pPr>
              <w:pStyle w:val="ListParagraph"/>
              <w:numPr>
                <w:ilvl w:val="0"/>
                <w:numId w:val="68"/>
              </w:numPr>
              <w:suppressAutoHyphens/>
              <w:spacing w:before="0" w:line="240" w:lineRule="auto"/>
              <w:jc w:val="both"/>
              <w:rPr>
                <w:rFonts w:eastAsia="Times New Roman"/>
                <w:lang w:val="ro-RO" w:eastAsia="ar-SA"/>
              </w:rPr>
            </w:pPr>
            <w:r w:rsidRPr="008C5F1C">
              <w:rPr>
                <w:rFonts w:eastAsia="Times New Roman"/>
                <w:sz w:val="22"/>
                <w:lang w:val="ro-RO" w:eastAsia="ar-SA"/>
              </w:rPr>
              <w:t>nivel de ridicat de degradare a obiectivelor de patrimoniu</w:t>
            </w:r>
          </w:p>
          <w:p w14:paraId="71299965" w14:textId="71652EA3" w:rsidR="00645C98" w:rsidRPr="008C5F1C" w:rsidRDefault="00645C98" w:rsidP="003D64F1">
            <w:pPr>
              <w:pStyle w:val="ListParagraph"/>
              <w:numPr>
                <w:ilvl w:val="0"/>
                <w:numId w:val="68"/>
              </w:numPr>
              <w:suppressAutoHyphens/>
              <w:spacing w:before="0" w:line="240" w:lineRule="auto"/>
              <w:jc w:val="both"/>
              <w:rPr>
                <w:rFonts w:eastAsia="Times New Roman"/>
                <w:lang w:val="ro-RO" w:eastAsia="ar-SA"/>
              </w:rPr>
            </w:pPr>
            <w:r w:rsidRPr="008C5F1C">
              <w:rPr>
                <w:rFonts w:eastAsia="Times New Roman"/>
                <w:sz w:val="22"/>
                <w:lang w:val="ro-RO" w:eastAsia="ar-SA"/>
              </w:rPr>
              <w:t>nivel scăzut de valorificare a potențialului turistic, natural sau antropic</w:t>
            </w:r>
            <w:r w:rsidR="003A5231" w:rsidRPr="008C5F1C">
              <w:rPr>
                <w:rFonts w:eastAsia="Times New Roman"/>
                <w:sz w:val="22"/>
                <w:lang w:val="ro-RO" w:eastAsia="ar-SA"/>
              </w:rPr>
              <w:t>.</w:t>
            </w:r>
          </w:p>
          <w:p w14:paraId="58689B4E" w14:textId="0C666B24" w:rsidR="00A65C9A" w:rsidRPr="008C5F1C" w:rsidRDefault="00A65C9A" w:rsidP="00F507FB">
            <w:pPr>
              <w:suppressAutoHyphens/>
              <w:spacing w:after="120" w:line="240" w:lineRule="auto"/>
              <w:jc w:val="both"/>
              <w:rPr>
                <w:rFonts w:ascii="Times New Roman" w:eastAsia="Times New Roman" w:hAnsi="Times New Roman" w:cs="Times New Roman"/>
                <w:lang w:eastAsia="ar-SA"/>
              </w:rPr>
            </w:pPr>
            <w:r w:rsidRPr="008C5F1C">
              <w:rPr>
                <w:rFonts w:ascii="Times New Roman" w:eastAsia="Times New Roman" w:hAnsi="Times New Roman" w:cs="Times New Roman"/>
                <w:b/>
                <w:bCs/>
                <w:lang w:eastAsia="ar-SA"/>
              </w:rPr>
              <w:lastRenderedPageBreak/>
              <w:t>Abordarea dezvoltării din perspectiva teritoriului (place-</w:t>
            </w:r>
            <w:proofErr w:type="spellStart"/>
            <w:r w:rsidRPr="008C5F1C">
              <w:rPr>
                <w:rFonts w:ascii="Times New Roman" w:eastAsia="Times New Roman" w:hAnsi="Times New Roman" w:cs="Times New Roman"/>
                <w:b/>
                <w:bCs/>
                <w:lang w:eastAsia="ar-SA"/>
              </w:rPr>
              <w:t>based</w:t>
            </w:r>
            <w:proofErr w:type="spellEnd"/>
            <w:r w:rsidRPr="008C5F1C">
              <w:rPr>
                <w:rFonts w:ascii="Times New Roman" w:eastAsia="Times New Roman" w:hAnsi="Times New Roman" w:cs="Times New Roman"/>
                <w:b/>
                <w:bCs/>
                <w:lang w:eastAsia="ar-SA"/>
              </w:rPr>
              <w:t xml:space="preserve">) este încă incipientă. </w:t>
            </w:r>
            <w:r w:rsidRPr="008C5F1C">
              <w:rPr>
                <w:rFonts w:ascii="Times New Roman" w:eastAsia="Times New Roman" w:hAnsi="Times New Roman" w:cs="Times New Roman"/>
                <w:lang w:eastAsia="ar-SA"/>
              </w:rPr>
              <w:t xml:space="preserve">În prezent, cinci din șase municipii reședință de </w:t>
            </w:r>
            <w:r w:rsidR="00037F74" w:rsidRPr="008C5F1C">
              <w:rPr>
                <w:rFonts w:ascii="Times New Roman" w:eastAsia="Times New Roman" w:hAnsi="Times New Roman" w:cs="Times New Roman"/>
                <w:lang w:eastAsia="ar-SA"/>
              </w:rPr>
              <w:t>județ</w:t>
            </w:r>
            <w:r w:rsidRPr="008C5F1C">
              <w:rPr>
                <w:rFonts w:ascii="Times New Roman" w:eastAsia="Times New Roman" w:hAnsi="Times New Roman" w:cs="Times New Roman"/>
                <w:lang w:eastAsia="ar-SA"/>
              </w:rPr>
              <w:t xml:space="preserve"> au constituite asociații la nivelul zonelor metropolitane (excepție făcând Bistrița) iar  trei (Cluj-Napoca, Oradea și Baia Mare) au realizat strategii integrate de dezvoltare urbană (SIDU) care vizează întregul teritoriu metropolitan. Celelalte trei reședințe de județ încă analizează oportunitatea dezvoltării unor strategii și intervenții pe teritoriul zonei urbane funcționale. În cazul municipiilor non reședință de județ și a orașelor mici, dezvoltarea integrată este asigurată prin strategiile de dezvoltare locală (SDL). Majoritatea municipiilor și orașelor din regiune dispun de o astfel de strategie. </w:t>
            </w:r>
          </w:p>
          <w:p w14:paraId="4710D5E5" w14:textId="77777777" w:rsidR="00957211" w:rsidRPr="008C5F1C" w:rsidRDefault="00957211" w:rsidP="003D64F1">
            <w:pPr>
              <w:pStyle w:val="Default"/>
              <w:spacing w:after="120"/>
              <w:jc w:val="both"/>
              <w:rPr>
                <w:rFonts w:ascii="Times New Roman" w:eastAsiaTheme="minorHAnsi" w:hAnsi="Times New Roman" w:cs="Times New Roman"/>
                <w:color w:val="auto"/>
                <w:sz w:val="22"/>
                <w:szCs w:val="20"/>
                <w:lang w:val="ro-RO" w:eastAsia="en-US"/>
              </w:rPr>
            </w:pPr>
            <w:r w:rsidRPr="008C5F1C">
              <w:rPr>
                <w:rFonts w:ascii="Times New Roman" w:eastAsiaTheme="minorHAnsi" w:hAnsi="Times New Roman" w:cs="Times New Roman"/>
                <w:color w:val="auto"/>
                <w:sz w:val="22"/>
                <w:szCs w:val="20"/>
                <w:lang w:val="ro-RO" w:eastAsia="en-US"/>
              </w:rPr>
              <w:t xml:space="preserve">Obiectivele indicate în Prioritatea 3 vor contribui la implementarea </w:t>
            </w:r>
            <w:r w:rsidRPr="008C5F1C">
              <w:rPr>
                <w:rFonts w:ascii="Times New Roman" w:eastAsiaTheme="minorHAnsi" w:hAnsi="Times New Roman" w:cs="Times New Roman"/>
                <w:b/>
                <w:bCs/>
                <w:color w:val="auto"/>
                <w:sz w:val="22"/>
                <w:szCs w:val="20"/>
                <w:lang w:val="ro-RO" w:eastAsia="en-US"/>
              </w:rPr>
              <w:t>Strategiei Uniunii Europene pentru Regiunea Dunării (SUERD),</w:t>
            </w:r>
            <w:r w:rsidRPr="008C5F1C">
              <w:rPr>
                <w:rFonts w:ascii="Times New Roman" w:eastAsiaTheme="minorHAnsi" w:hAnsi="Times New Roman" w:cs="Times New Roman"/>
                <w:color w:val="auto"/>
                <w:sz w:val="22"/>
                <w:szCs w:val="20"/>
                <w:lang w:val="ro-RO" w:eastAsia="en-US"/>
              </w:rPr>
              <w:t xml:space="preserve"> prin promovarea unor investiții în conformitate cu ariile prioritare SUERD în scopul maximizării impactului acesteia la nivel regional. Aceste operațiuni sunt în concordanță cu ariile prioritare SUERD definite în  Planul de acțiune ce însoțește Comunicarea Comisiei către Parlamentul European, Consiliu, Comitetul Economic și Social European și Comitetul Regiunilor</w:t>
            </w:r>
            <w:r w:rsidRPr="008C5F1C">
              <w:rPr>
                <w:rFonts w:ascii="Times New Roman" w:eastAsiaTheme="minorHAnsi" w:hAnsi="Times New Roman" w:cs="Times New Roman"/>
                <w:color w:val="auto"/>
                <w:sz w:val="22"/>
                <w:szCs w:val="20"/>
                <w:lang w:val="ro-RO" w:eastAsia="en-US"/>
              </w:rPr>
              <w:footnoteReference w:id="23"/>
            </w:r>
            <w:r w:rsidRPr="008C5F1C">
              <w:rPr>
                <w:rFonts w:ascii="Times New Roman" w:eastAsiaTheme="minorHAnsi" w:hAnsi="Times New Roman" w:cs="Times New Roman"/>
                <w:color w:val="auto"/>
                <w:sz w:val="22"/>
                <w:szCs w:val="20"/>
                <w:lang w:val="ro-RO" w:eastAsia="en-US"/>
              </w:rPr>
              <w:t xml:space="preserve">, respectiv aria prioritară 2 „Energie Sustenabilă”, pentru P.I. 3.1 și P.I.3.2, ariile prioritare  5 „Gestionarea riscurilor de mediu” și 6. „Conservarea biodiversității, a peisajelor și a calității aerului și solurilor” (pentru P.I. 3.3) și aria prioritară 1.B „Îmbunătățirea mobilității și a </w:t>
            </w:r>
            <w:proofErr w:type="spellStart"/>
            <w:r w:rsidRPr="008C5F1C">
              <w:rPr>
                <w:rFonts w:ascii="Times New Roman" w:eastAsiaTheme="minorHAnsi" w:hAnsi="Times New Roman" w:cs="Times New Roman"/>
                <w:color w:val="auto"/>
                <w:sz w:val="22"/>
                <w:szCs w:val="20"/>
                <w:lang w:val="ro-RO" w:eastAsia="en-US"/>
              </w:rPr>
              <w:t>multimodalităţii</w:t>
            </w:r>
            <w:proofErr w:type="spellEnd"/>
            <w:r w:rsidRPr="008C5F1C">
              <w:rPr>
                <w:rFonts w:ascii="Times New Roman" w:eastAsiaTheme="minorHAnsi" w:hAnsi="Times New Roman" w:cs="Times New Roman"/>
                <w:color w:val="auto"/>
                <w:sz w:val="22"/>
                <w:szCs w:val="20"/>
                <w:lang w:val="ro-RO" w:eastAsia="en-US"/>
              </w:rPr>
              <w:t xml:space="preserve"> - legături rutiere, feroviare și aeriene” pentru P.I. 3.4. </w:t>
            </w:r>
          </w:p>
          <w:p w14:paraId="71ABAE09" w14:textId="03A73F08" w:rsidR="009F7F84" w:rsidRPr="008C5F1C" w:rsidRDefault="003D64F1" w:rsidP="003D64F1">
            <w:pPr>
              <w:keepNext/>
              <w:keepLines/>
              <w:suppressAutoHyphens/>
              <w:spacing w:after="120" w:line="240" w:lineRule="auto"/>
              <w:jc w:val="both"/>
              <w:outlineLvl w:val="0"/>
              <w:rPr>
                <w:rFonts w:ascii="Times New Roman" w:eastAsiaTheme="majorEastAsia" w:hAnsi="Times New Roman" w:cs="Times New Roman"/>
                <w:i/>
                <w:iCs/>
                <w:sz w:val="24"/>
                <w:szCs w:val="24"/>
                <w:lang w:eastAsia="ar-SA"/>
              </w:rPr>
            </w:pPr>
            <w:r w:rsidRPr="008C5F1C">
              <w:rPr>
                <w:rFonts w:ascii="Times New Roman" w:eastAsiaTheme="majorEastAsia" w:hAnsi="Times New Roman" w:cs="Times New Roman"/>
                <w:i/>
                <w:iCs/>
                <w:sz w:val="24"/>
                <w:szCs w:val="24"/>
                <w:lang w:eastAsia="ar-SA"/>
              </w:rPr>
              <w:t>D</w:t>
            </w:r>
            <w:r w:rsidR="009F7F84" w:rsidRPr="008C5F1C">
              <w:rPr>
                <w:rFonts w:ascii="Times New Roman" w:eastAsiaTheme="majorEastAsia" w:hAnsi="Times New Roman" w:cs="Times New Roman"/>
                <w:i/>
                <w:iCs/>
                <w:sz w:val="24"/>
                <w:szCs w:val="24"/>
                <w:lang w:eastAsia="ar-SA"/>
              </w:rPr>
              <w:t>ezvoltarea urbană integrată</w:t>
            </w:r>
          </w:p>
          <w:p w14:paraId="62408BCC" w14:textId="4B027C93" w:rsidR="009F7F84" w:rsidRPr="008C5F1C" w:rsidRDefault="009F7F84" w:rsidP="00F507FB">
            <w:pPr>
              <w:suppressAutoHyphens/>
              <w:spacing w:after="120" w:line="240" w:lineRule="auto"/>
              <w:jc w:val="both"/>
              <w:rPr>
                <w:rFonts w:ascii="Times New Roman" w:eastAsia="Times New Roman" w:hAnsi="Times New Roman" w:cs="Times New Roman"/>
                <w:lang w:eastAsia="ar-SA"/>
              </w:rPr>
            </w:pPr>
            <w:r w:rsidRPr="008C5F1C">
              <w:rPr>
                <w:rFonts w:ascii="Times New Roman" w:eastAsia="Times New Roman" w:hAnsi="Times New Roman" w:cs="Times New Roman"/>
                <w:lang w:eastAsia="ar-SA"/>
              </w:rPr>
              <w:t>În linie cu recomandările CE și ale Băncii Mondiale, pentru perioada de programare 2021-2027 se are în vedere asigurarea unei abordări flexibile, descentralizate, în ceea ce privește accesarea și implementarea proiectelor. Astfel, se urmărește adoptarea unor mecanisme separate de finanțare pentru diferitele categorii de zone urbane, care să fie adaptate atât nevoilor, cât și capacității acestora de a pregăti propuneri viabile și de a implementa proiecte complexe. Finanțarea POR N</w:t>
            </w:r>
            <w:r w:rsidR="008055DD" w:rsidRPr="008C5F1C">
              <w:rPr>
                <w:rFonts w:ascii="Times New Roman" w:eastAsia="Times New Roman" w:hAnsi="Times New Roman" w:cs="Times New Roman"/>
                <w:lang w:eastAsia="ar-SA"/>
              </w:rPr>
              <w:t>ord-</w:t>
            </w:r>
            <w:r w:rsidRPr="008C5F1C">
              <w:rPr>
                <w:rFonts w:ascii="Times New Roman" w:eastAsia="Times New Roman" w:hAnsi="Times New Roman" w:cs="Times New Roman"/>
                <w:lang w:eastAsia="ar-SA"/>
              </w:rPr>
              <w:t>V</w:t>
            </w:r>
            <w:r w:rsidR="008055DD" w:rsidRPr="008C5F1C">
              <w:rPr>
                <w:rFonts w:ascii="Times New Roman" w:eastAsia="Times New Roman" w:hAnsi="Times New Roman" w:cs="Times New Roman"/>
                <w:lang w:eastAsia="ar-SA"/>
              </w:rPr>
              <w:t>est</w:t>
            </w:r>
            <w:r w:rsidRPr="008C5F1C">
              <w:rPr>
                <w:rFonts w:ascii="Times New Roman" w:eastAsia="Times New Roman" w:hAnsi="Times New Roman" w:cs="Times New Roman"/>
                <w:lang w:eastAsia="ar-SA"/>
              </w:rPr>
              <w:t xml:space="preserve"> va avea în vedere:</w:t>
            </w:r>
          </w:p>
          <w:p w14:paraId="61400D1D" w14:textId="77777777" w:rsidR="009F7F84" w:rsidRPr="008C5F1C" w:rsidRDefault="009F7F84" w:rsidP="0045307C">
            <w:pPr>
              <w:numPr>
                <w:ilvl w:val="0"/>
                <w:numId w:val="68"/>
              </w:numPr>
              <w:suppressAutoHyphens/>
              <w:spacing w:after="120" w:line="240" w:lineRule="auto"/>
              <w:contextualSpacing/>
              <w:jc w:val="both"/>
              <w:rPr>
                <w:rFonts w:ascii="Times New Roman" w:eastAsia="Times New Roman" w:hAnsi="Times New Roman" w:cs="Times New Roman"/>
                <w:lang w:eastAsia="ar-SA"/>
              </w:rPr>
            </w:pPr>
            <w:r w:rsidRPr="008C5F1C">
              <w:rPr>
                <w:rFonts w:ascii="Times New Roman" w:eastAsia="Times New Roman" w:hAnsi="Times New Roman" w:cs="Times New Roman"/>
                <w:lang w:eastAsia="ar-SA"/>
              </w:rPr>
              <w:t>Abordarea diferențiată în funcție de mărimea zonelor urbane, astfel încât orașele de mici dimensiuni să nu fie dezavantajate față de orașele mari, care dispun de o capacitate superioară atât din punct de vedere financiar, cât și administrativ.</w:t>
            </w:r>
          </w:p>
          <w:p w14:paraId="714402F9" w14:textId="4E8F2AD5" w:rsidR="009F7F84" w:rsidRPr="008C5F1C" w:rsidRDefault="009F7F84" w:rsidP="0045307C">
            <w:pPr>
              <w:numPr>
                <w:ilvl w:val="0"/>
                <w:numId w:val="68"/>
              </w:numPr>
              <w:suppressAutoHyphens/>
              <w:spacing w:after="120" w:line="240" w:lineRule="auto"/>
              <w:contextualSpacing/>
              <w:jc w:val="both"/>
              <w:rPr>
                <w:rFonts w:ascii="Times New Roman" w:eastAsia="Times New Roman" w:hAnsi="Times New Roman" w:cs="Times New Roman"/>
                <w:lang w:eastAsia="ar-SA"/>
              </w:rPr>
            </w:pPr>
            <w:r w:rsidRPr="008C5F1C">
              <w:rPr>
                <w:rFonts w:ascii="Times New Roman" w:eastAsia="Times New Roman" w:hAnsi="Times New Roman" w:cs="Times New Roman"/>
                <w:lang w:eastAsia="ar-SA"/>
              </w:rPr>
              <w:t xml:space="preserve">Încurajarea abordării inter-jurisdicționale în cazul zonelor urbane de mai mari dimensiuni, susținerea asociațiilor de dezvoltare intercomunitară (de ex. zonele metropolitane) și a parteneriatelor pentru implementarea unor proiecte punctuale. </w:t>
            </w:r>
          </w:p>
          <w:p w14:paraId="59330ACF" w14:textId="38C5F7DE" w:rsidR="009F7F84" w:rsidRPr="008C5F1C" w:rsidRDefault="009F7F84" w:rsidP="00473F54">
            <w:pPr>
              <w:numPr>
                <w:ilvl w:val="0"/>
                <w:numId w:val="68"/>
              </w:numPr>
              <w:suppressAutoHyphens/>
              <w:spacing w:after="120" w:line="240" w:lineRule="auto"/>
              <w:jc w:val="both"/>
              <w:rPr>
                <w:rFonts w:ascii="Times New Roman" w:eastAsia="Times New Roman" w:hAnsi="Times New Roman" w:cs="Times New Roman"/>
                <w:lang w:eastAsia="ar-SA"/>
              </w:rPr>
            </w:pPr>
            <w:r w:rsidRPr="008C5F1C">
              <w:rPr>
                <w:rFonts w:ascii="Times New Roman" w:eastAsia="Times New Roman" w:hAnsi="Times New Roman" w:cs="Times New Roman"/>
                <w:lang w:eastAsia="ar-SA"/>
              </w:rPr>
              <w:t xml:space="preserve">Abordarea integrată, </w:t>
            </w:r>
            <w:proofErr w:type="spellStart"/>
            <w:r w:rsidRPr="008C5F1C">
              <w:rPr>
                <w:rFonts w:ascii="Times New Roman" w:eastAsia="Times New Roman" w:hAnsi="Times New Roman" w:cs="Times New Roman"/>
                <w:lang w:eastAsia="ar-SA"/>
              </w:rPr>
              <w:t>multi</w:t>
            </w:r>
            <w:proofErr w:type="spellEnd"/>
            <w:r w:rsidRPr="008C5F1C">
              <w:rPr>
                <w:rFonts w:ascii="Times New Roman" w:eastAsia="Times New Roman" w:hAnsi="Times New Roman" w:cs="Times New Roman"/>
                <w:lang w:eastAsia="ar-SA"/>
              </w:rPr>
              <w:t xml:space="preserve">-dimensională a dezvoltării urbane. </w:t>
            </w:r>
            <w:r w:rsidR="003757D1" w:rsidRPr="008C5F1C">
              <w:rPr>
                <w:rFonts w:ascii="Times New Roman" w:eastAsia="Times New Roman" w:hAnsi="Times New Roman" w:cs="Times New Roman"/>
                <w:lang w:eastAsia="ar-SA"/>
              </w:rPr>
              <w:t>A</w:t>
            </w:r>
            <w:r w:rsidRPr="008C5F1C">
              <w:rPr>
                <w:rFonts w:ascii="Times New Roman" w:eastAsia="Times New Roman" w:hAnsi="Times New Roman" w:cs="Times New Roman"/>
                <w:lang w:eastAsia="ar-SA"/>
              </w:rPr>
              <w:t xml:space="preserve">ccesarea fondurilor va continua să fie condiționată de existența Strategiilor Integrate de Dezvoltare Urbană (SIDU) și de justificări bazate pe dovezi în ceea ce privește oportunitatea și rolul investițiilor în ansamblul dezvoltării. În funcție de situație, SIDU vor fi însoțite de Planuri de Mobilitate Urbană Durabilă </w:t>
            </w:r>
            <w:r w:rsidR="00162804" w:rsidRPr="008C5F1C">
              <w:rPr>
                <w:rFonts w:ascii="Times New Roman" w:eastAsia="Times New Roman" w:hAnsi="Times New Roman" w:cs="Times New Roman"/>
                <w:lang w:eastAsia="ar-SA"/>
              </w:rPr>
              <w:t xml:space="preserve">(PMUD) </w:t>
            </w:r>
            <w:r w:rsidRPr="008C5F1C">
              <w:rPr>
                <w:rFonts w:ascii="Times New Roman" w:eastAsia="Times New Roman" w:hAnsi="Times New Roman" w:cs="Times New Roman"/>
                <w:lang w:eastAsia="ar-SA"/>
              </w:rPr>
              <w:t>sau de alte strategii relevante la nivel regional</w:t>
            </w:r>
            <w:r w:rsidR="00162804" w:rsidRPr="008C5F1C">
              <w:rPr>
                <w:rFonts w:ascii="Times New Roman" w:eastAsia="Times New Roman" w:hAnsi="Times New Roman" w:cs="Times New Roman"/>
                <w:lang w:eastAsia="ar-SA"/>
              </w:rPr>
              <w:t xml:space="preserve"> (RIS3)</w:t>
            </w:r>
            <w:r w:rsidRPr="008C5F1C">
              <w:rPr>
                <w:rFonts w:ascii="Times New Roman" w:eastAsia="Times New Roman" w:hAnsi="Times New Roman" w:cs="Times New Roman"/>
                <w:lang w:eastAsia="ar-SA"/>
              </w:rPr>
              <w:t xml:space="preserve"> sau local</w:t>
            </w:r>
            <w:r w:rsidR="00162804" w:rsidRPr="008C5F1C">
              <w:rPr>
                <w:rFonts w:ascii="Times New Roman" w:eastAsia="Times New Roman" w:hAnsi="Times New Roman" w:cs="Times New Roman"/>
                <w:lang w:eastAsia="ar-SA"/>
              </w:rPr>
              <w:t xml:space="preserve"> (PAED)</w:t>
            </w:r>
            <w:r w:rsidRPr="008C5F1C">
              <w:rPr>
                <w:rFonts w:ascii="Times New Roman" w:eastAsia="Times New Roman" w:hAnsi="Times New Roman" w:cs="Times New Roman"/>
                <w:lang w:eastAsia="ar-SA"/>
              </w:rPr>
              <w:t xml:space="preserve">. De altfel, consultările cu părțile interesate au arătat faptul că majoritatea beneficiarilor potențiali pregătesc deja aceste documente. </w:t>
            </w:r>
          </w:p>
          <w:p w14:paraId="163286E3" w14:textId="4AC868C2" w:rsidR="009F7F84" w:rsidRPr="008C5F1C" w:rsidRDefault="009F7F84" w:rsidP="00F56FF8">
            <w:pPr>
              <w:suppressAutoHyphens/>
              <w:spacing w:after="120" w:line="240" w:lineRule="auto"/>
              <w:jc w:val="both"/>
              <w:rPr>
                <w:rFonts w:ascii="Times New Roman" w:eastAsia="Times New Roman" w:hAnsi="Times New Roman" w:cs="Times New Roman"/>
                <w:lang w:eastAsia="ar-SA"/>
              </w:rPr>
            </w:pPr>
            <w:r w:rsidRPr="008C5F1C">
              <w:rPr>
                <w:rFonts w:ascii="Times New Roman" w:eastAsia="Times New Roman" w:hAnsi="Times New Roman" w:cs="Times New Roman"/>
                <w:lang w:eastAsia="ar-SA"/>
              </w:rPr>
              <w:t>Pornind de la premisa că dezvoltarea urbană sustenabilă se întemeiază pe investiții integrate, POR N</w:t>
            </w:r>
            <w:r w:rsidR="008055DD" w:rsidRPr="008C5F1C">
              <w:rPr>
                <w:rFonts w:ascii="Times New Roman" w:eastAsia="Times New Roman" w:hAnsi="Times New Roman" w:cs="Times New Roman"/>
                <w:lang w:eastAsia="ar-SA"/>
              </w:rPr>
              <w:t>ord-</w:t>
            </w:r>
            <w:r w:rsidRPr="008C5F1C">
              <w:rPr>
                <w:rFonts w:ascii="Times New Roman" w:eastAsia="Times New Roman" w:hAnsi="Times New Roman" w:cs="Times New Roman"/>
                <w:lang w:eastAsia="ar-SA"/>
              </w:rPr>
              <w:t>V</w:t>
            </w:r>
            <w:r w:rsidR="008055DD" w:rsidRPr="008C5F1C">
              <w:rPr>
                <w:rFonts w:ascii="Times New Roman" w:eastAsia="Times New Roman" w:hAnsi="Times New Roman" w:cs="Times New Roman"/>
                <w:lang w:eastAsia="ar-SA"/>
              </w:rPr>
              <w:t>est</w:t>
            </w:r>
            <w:r w:rsidRPr="008C5F1C">
              <w:rPr>
                <w:rFonts w:ascii="Times New Roman" w:eastAsia="Times New Roman" w:hAnsi="Times New Roman" w:cs="Times New Roman"/>
                <w:lang w:eastAsia="ar-SA"/>
              </w:rPr>
              <w:t xml:space="preserve"> 2021-2027 are în vedere un mix de intervenții complementare, care, împreună, să susțină obținerea schimbărilor așteptate în ceea ce privește reducerea decalajelor de dezvoltare intra și inter-regionale, îmbunătățirea condițiilor de viață a locuitorilor și un nivel crescut de bunăstare. Abordare integrată a dezvoltării urbane </w:t>
            </w:r>
            <w:r w:rsidR="00162804" w:rsidRPr="008C5F1C">
              <w:rPr>
                <w:rFonts w:ascii="Times New Roman" w:eastAsia="Times New Roman" w:hAnsi="Times New Roman" w:cs="Times New Roman"/>
                <w:lang w:eastAsia="ar-SA"/>
              </w:rPr>
              <w:t>abordează separat municipiile reședință de județ de restul municipiilor și orașelor, si pune accentul in urbanul mare pe următoarele intervenții integrate:</w:t>
            </w:r>
          </w:p>
          <w:p w14:paraId="6375DCE3" w14:textId="6F33A233" w:rsidR="008F1957" w:rsidRPr="008C5F1C" w:rsidRDefault="008F1957" w:rsidP="00F56FF8">
            <w:pPr>
              <w:numPr>
                <w:ilvl w:val="0"/>
                <w:numId w:val="68"/>
              </w:numPr>
              <w:suppressAutoHyphens/>
              <w:spacing w:after="120" w:line="240" w:lineRule="auto"/>
              <w:contextualSpacing/>
              <w:jc w:val="both"/>
              <w:rPr>
                <w:rFonts w:ascii="Times New Roman" w:eastAsia="Times New Roman" w:hAnsi="Times New Roman" w:cs="Times New Roman"/>
                <w:lang w:eastAsia="ar-SA"/>
              </w:rPr>
            </w:pPr>
            <w:r w:rsidRPr="008C5F1C">
              <w:rPr>
                <w:rFonts w:ascii="Times New Roman" w:eastAsia="Times New Roman" w:hAnsi="Times New Roman" w:cs="Times New Roman"/>
                <w:lang w:eastAsia="ar-SA"/>
              </w:rPr>
              <w:t>I</w:t>
            </w:r>
            <w:r w:rsidR="00EA2BB2" w:rsidRPr="008C5F1C">
              <w:rPr>
                <w:rFonts w:ascii="Times New Roman" w:eastAsia="Times New Roman" w:hAnsi="Times New Roman" w:cs="Times New Roman"/>
                <w:lang w:eastAsia="ar-SA"/>
              </w:rPr>
              <w:t xml:space="preserve">nvestiții </w:t>
            </w:r>
            <w:proofErr w:type="spellStart"/>
            <w:r w:rsidR="00EA2BB2" w:rsidRPr="008C5F1C">
              <w:rPr>
                <w:rFonts w:ascii="Times New Roman" w:eastAsia="Times New Roman" w:hAnsi="Times New Roman" w:cs="Times New Roman"/>
                <w:i/>
                <w:iCs/>
                <w:lang w:eastAsia="ar-SA"/>
              </w:rPr>
              <w:t>smart-city</w:t>
            </w:r>
            <w:proofErr w:type="spellEnd"/>
            <w:r w:rsidR="004D2385" w:rsidRPr="008C5F1C">
              <w:rPr>
                <w:rFonts w:ascii="Times New Roman" w:eastAsia="Times New Roman" w:hAnsi="Times New Roman" w:cs="Times New Roman"/>
                <w:lang w:eastAsia="ar-SA"/>
              </w:rPr>
              <w:t>, s</w:t>
            </w:r>
            <w:r w:rsidR="00EA2BB2" w:rsidRPr="008C5F1C">
              <w:rPr>
                <w:rFonts w:ascii="Times New Roman" w:eastAsia="Times New Roman" w:hAnsi="Times New Roman" w:cs="Times New Roman"/>
                <w:lang w:eastAsia="ar-SA"/>
              </w:rPr>
              <w:t>oluții TIC, servicii electronice și aplicații guvernamentale</w:t>
            </w:r>
            <w:r w:rsidRPr="008C5F1C">
              <w:rPr>
                <w:rFonts w:ascii="Times New Roman" w:eastAsia="Times New Roman" w:hAnsi="Times New Roman" w:cs="Times New Roman"/>
                <w:lang w:eastAsia="ar-SA"/>
              </w:rPr>
              <w:t xml:space="preserve"> (OP1</w:t>
            </w:r>
            <w:r w:rsidR="00EA2BB2" w:rsidRPr="008C5F1C">
              <w:rPr>
                <w:rFonts w:ascii="Times New Roman" w:eastAsia="Times New Roman" w:hAnsi="Times New Roman" w:cs="Times New Roman"/>
                <w:lang w:eastAsia="ar-SA"/>
              </w:rPr>
              <w:t xml:space="preserve">), </w:t>
            </w:r>
          </w:p>
          <w:p w14:paraId="32B8C62F" w14:textId="77777777" w:rsidR="008F1957" w:rsidRPr="008C5F1C" w:rsidRDefault="008F1957" w:rsidP="00221F37">
            <w:pPr>
              <w:numPr>
                <w:ilvl w:val="0"/>
                <w:numId w:val="68"/>
              </w:numPr>
              <w:suppressAutoHyphens/>
              <w:spacing w:after="120" w:line="240" w:lineRule="auto"/>
              <w:contextualSpacing/>
              <w:jc w:val="both"/>
              <w:rPr>
                <w:rFonts w:ascii="Times New Roman" w:eastAsia="Times New Roman" w:hAnsi="Times New Roman" w:cs="Times New Roman"/>
                <w:lang w:eastAsia="ar-SA"/>
              </w:rPr>
            </w:pPr>
            <w:r w:rsidRPr="008C5F1C">
              <w:rPr>
                <w:rFonts w:ascii="Times New Roman" w:eastAsia="Times New Roman" w:hAnsi="Times New Roman" w:cs="Times New Roman"/>
                <w:lang w:eastAsia="ar-SA"/>
              </w:rPr>
              <w:t xml:space="preserve">Refacerea mediului urban degradat </w:t>
            </w:r>
            <w:r w:rsidR="00E90D91" w:rsidRPr="008C5F1C">
              <w:rPr>
                <w:rFonts w:ascii="Times New Roman" w:eastAsia="Times New Roman" w:hAnsi="Times New Roman" w:cs="Times New Roman"/>
                <w:lang w:eastAsia="ar-SA"/>
              </w:rPr>
              <w:t>OP</w:t>
            </w:r>
            <w:r w:rsidR="000F5B66" w:rsidRPr="008C5F1C">
              <w:rPr>
                <w:rFonts w:ascii="Times New Roman" w:eastAsia="Times New Roman" w:hAnsi="Times New Roman" w:cs="Times New Roman"/>
                <w:lang w:eastAsia="ar-SA"/>
              </w:rPr>
              <w:t>2</w:t>
            </w:r>
          </w:p>
          <w:p w14:paraId="0E78009D" w14:textId="31FDD4D0" w:rsidR="009F7F84" w:rsidRPr="008C5F1C" w:rsidRDefault="009F7F84" w:rsidP="003D64F1">
            <w:pPr>
              <w:numPr>
                <w:ilvl w:val="0"/>
                <w:numId w:val="68"/>
              </w:numPr>
              <w:suppressAutoHyphens/>
              <w:spacing w:after="120" w:line="240" w:lineRule="auto"/>
              <w:ind w:left="714" w:hanging="357"/>
              <w:jc w:val="both"/>
              <w:rPr>
                <w:rFonts w:ascii="Times New Roman" w:eastAsia="Times New Roman" w:hAnsi="Times New Roman" w:cs="Times New Roman"/>
                <w:lang w:eastAsia="ar-SA"/>
              </w:rPr>
            </w:pPr>
            <w:r w:rsidRPr="008C5F1C">
              <w:rPr>
                <w:rFonts w:ascii="Times New Roman" w:eastAsia="Times New Roman" w:hAnsi="Times New Roman" w:cs="Times New Roman"/>
                <w:lang w:eastAsia="ar-SA"/>
              </w:rPr>
              <w:t xml:space="preserve">Promovarea mobilității urbane </w:t>
            </w:r>
            <w:proofErr w:type="spellStart"/>
            <w:r w:rsidRPr="008C5F1C">
              <w:rPr>
                <w:rFonts w:ascii="Times New Roman" w:eastAsia="Times New Roman" w:hAnsi="Times New Roman" w:cs="Times New Roman"/>
                <w:lang w:eastAsia="ar-SA"/>
              </w:rPr>
              <w:t>multimodale</w:t>
            </w:r>
            <w:proofErr w:type="spellEnd"/>
            <w:r w:rsidRPr="008C5F1C">
              <w:rPr>
                <w:rFonts w:ascii="Times New Roman" w:eastAsia="Times New Roman" w:hAnsi="Times New Roman" w:cs="Times New Roman"/>
                <w:lang w:eastAsia="ar-SA"/>
              </w:rPr>
              <w:t xml:space="preserve"> sustenabile</w:t>
            </w:r>
            <w:r w:rsidR="008F1957" w:rsidRPr="008C5F1C">
              <w:rPr>
                <w:rFonts w:ascii="Times New Roman" w:eastAsia="Times New Roman" w:hAnsi="Times New Roman" w:cs="Times New Roman"/>
                <w:lang w:eastAsia="ar-SA"/>
              </w:rPr>
              <w:t xml:space="preserve"> (OP2)</w:t>
            </w:r>
          </w:p>
          <w:p w14:paraId="397AEFDD" w14:textId="77777777" w:rsidR="00220DDD" w:rsidRPr="008C5F1C" w:rsidRDefault="00574700" w:rsidP="00221F37">
            <w:pPr>
              <w:spacing w:after="120" w:line="240" w:lineRule="auto"/>
              <w:jc w:val="both"/>
              <w:rPr>
                <w:rFonts w:ascii="Times New Roman" w:eastAsia="Times New Roman" w:hAnsi="Times New Roman" w:cs="Times New Roman"/>
                <w:lang w:eastAsia="ar-SA"/>
              </w:rPr>
            </w:pPr>
            <w:r w:rsidRPr="008C5F1C">
              <w:rPr>
                <w:rFonts w:ascii="Times New Roman" w:eastAsia="Times New Roman" w:hAnsi="Times New Roman" w:cs="Times New Roman"/>
                <w:lang w:eastAsia="ar-SA"/>
              </w:rPr>
              <w:t>Municipiile reședință de județ</w:t>
            </w:r>
            <w:r w:rsidR="00162804" w:rsidRPr="008C5F1C">
              <w:rPr>
                <w:rFonts w:ascii="Times New Roman" w:eastAsia="Times New Roman" w:hAnsi="Times New Roman" w:cs="Times New Roman"/>
                <w:lang w:eastAsia="ar-SA"/>
              </w:rPr>
              <w:t xml:space="preserve"> vor dezvolta SIDU și PMUD si </w:t>
            </w:r>
            <w:r w:rsidRPr="008C5F1C">
              <w:rPr>
                <w:rFonts w:ascii="Times New Roman" w:eastAsia="Times New Roman" w:hAnsi="Times New Roman" w:cs="Times New Roman"/>
                <w:lang w:eastAsia="ar-SA"/>
              </w:rPr>
              <w:t xml:space="preserve">își </w:t>
            </w:r>
            <w:r w:rsidR="00162804" w:rsidRPr="008C5F1C">
              <w:rPr>
                <w:rFonts w:ascii="Times New Roman" w:eastAsia="Times New Roman" w:hAnsi="Times New Roman" w:cs="Times New Roman"/>
                <w:lang w:eastAsia="ar-SA"/>
              </w:rPr>
              <w:t>vor selecta din portofoliile de proiecte aferente proiectele prioritare</w:t>
            </w:r>
            <w:r w:rsidRPr="008C5F1C">
              <w:rPr>
                <w:rFonts w:ascii="Times New Roman" w:eastAsia="Times New Roman" w:hAnsi="Times New Roman" w:cs="Times New Roman"/>
                <w:lang w:eastAsia="ar-SA"/>
              </w:rPr>
              <w:t>,</w:t>
            </w:r>
            <w:r w:rsidR="00162804" w:rsidRPr="008C5F1C">
              <w:rPr>
                <w:rFonts w:ascii="Times New Roman" w:eastAsia="Times New Roman" w:hAnsi="Times New Roman" w:cs="Times New Roman"/>
                <w:lang w:eastAsia="ar-SA"/>
              </w:rPr>
              <w:t xml:space="preserve"> </w:t>
            </w:r>
            <w:r w:rsidRPr="008C5F1C">
              <w:rPr>
                <w:rFonts w:ascii="Times New Roman" w:eastAsia="Times New Roman" w:hAnsi="Times New Roman" w:cs="Times New Roman"/>
                <w:lang w:eastAsia="ar-SA"/>
              </w:rPr>
              <w:t>d</w:t>
            </w:r>
            <w:r w:rsidR="00162804" w:rsidRPr="008C5F1C">
              <w:rPr>
                <w:rFonts w:ascii="Times New Roman" w:eastAsia="Times New Roman" w:hAnsi="Times New Roman" w:cs="Times New Roman"/>
                <w:lang w:eastAsia="ar-SA"/>
              </w:rPr>
              <w:t xml:space="preserve">ecizia privind proiectele prioritare ce vor fi promovate la finanțare </w:t>
            </w:r>
            <w:r w:rsidRPr="008C5F1C">
              <w:rPr>
                <w:rFonts w:ascii="Times New Roman" w:eastAsia="Times New Roman" w:hAnsi="Times New Roman" w:cs="Times New Roman"/>
                <w:lang w:eastAsia="ar-SA"/>
              </w:rPr>
              <w:t xml:space="preserve">le </w:t>
            </w:r>
            <w:r w:rsidR="00162804" w:rsidRPr="008C5F1C">
              <w:rPr>
                <w:rFonts w:ascii="Times New Roman" w:eastAsia="Times New Roman" w:hAnsi="Times New Roman" w:cs="Times New Roman"/>
                <w:lang w:eastAsia="ar-SA"/>
              </w:rPr>
              <w:t>va aparține</w:t>
            </w:r>
            <w:r w:rsidRPr="008C5F1C">
              <w:rPr>
                <w:rFonts w:ascii="Times New Roman" w:eastAsia="Times New Roman" w:hAnsi="Times New Roman" w:cs="Times New Roman"/>
                <w:lang w:eastAsia="ar-SA"/>
              </w:rPr>
              <w:t xml:space="preserve"> (prin Consiliul Local sau ADI</w:t>
            </w:r>
            <w:r w:rsidR="00162804" w:rsidRPr="008C5F1C">
              <w:rPr>
                <w:rFonts w:ascii="Times New Roman" w:eastAsia="Times New Roman" w:hAnsi="Times New Roman" w:cs="Times New Roman"/>
                <w:lang w:eastAsia="ar-SA"/>
              </w:rPr>
              <w:t xml:space="preserve"> sau altă structură decizională a parteneriatului</w:t>
            </w:r>
            <w:r w:rsidRPr="008C5F1C">
              <w:rPr>
                <w:rFonts w:ascii="Times New Roman" w:eastAsia="Times New Roman" w:hAnsi="Times New Roman" w:cs="Times New Roman"/>
                <w:lang w:eastAsia="ar-SA"/>
              </w:rPr>
              <w:t>)</w:t>
            </w:r>
            <w:r w:rsidR="00162804" w:rsidRPr="008C5F1C">
              <w:rPr>
                <w:rFonts w:ascii="Times New Roman" w:eastAsia="Times New Roman" w:hAnsi="Times New Roman" w:cs="Times New Roman"/>
                <w:lang w:eastAsia="ar-SA"/>
              </w:rPr>
              <w:t>.</w:t>
            </w:r>
            <w:r w:rsidRPr="008C5F1C">
              <w:rPr>
                <w:rFonts w:ascii="Times New Roman" w:eastAsia="Times New Roman" w:hAnsi="Times New Roman" w:cs="Times New Roman"/>
                <w:lang w:eastAsia="ar-SA"/>
              </w:rPr>
              <w:t xml:space="preserve"> </w:t>
            </w:r>
          </w:p>
          <w:p w14:paraId="25ED54D6" w14:textId="4164220C" w:rsidR="00D809C5" w:rsidRPr="008C5F1C" w:rsidRDefault="00113976" w:rsidP="00B373F4">
            <w:pPr>
              <w:spacing w:after="120" w:line="240" w:lineRule="auto"/>
              <w:jc w:val="both"/>
              <w:rPr>
                <w:rFonts w:ascii="Times New Roman" w:eastAsia="Times New Roman" w:hAnsi="Times New Roman" w:cs="Times New Roman"/>
                <w:lang w:eastAsia="ar-SA"/>
              </w:rPr>
            </w:pPr>
            <w:r w:rsidRPr="008C5F1C">
              <w:rPr>
                <w:rFonts w:ascii="Times New Roman" w:eastAsia="Times New Roman" w:hAnsi="Times New Roman" w:cs="Times New Roman"/>
                <w:lang w:eastAsia="ar-SA"/>
              </w:rPr>
              <w:t>Alocările</w:t>
            </w:r>
            <w:r w:rsidR="002D7C97" w:rsidRPr="008C5F1C">
              <w:rPr>
                <w:rFonts w:ascii="Times New Roman" w:eastAsia="Times New Roman" w:hAnsi="Times New Roman" w:cs="Times New Roman"/>
                <w:lang w:eastAsia="ar-SA"/>
              </w:rPr>
              <w:t xml:space="preserve"> destinate </w:t>
            </w:r>
            <w:r w:rsidRPr="008C5F1C">
              <w:rPr>
                <w:rFonts w:ascii="Times New Roman" w:eastAsia="Times New Roman" w:hAnsi="Times New Roman" w:cs="Times New Roman"/>
                <w:lang w:eastAsia="ar-SA"/>
              </w:rPr>
              <w:t>dezvoltării</w:t>
            </w:r>
            <w:r w:rsidR="002D7C97" w:rsidRPr="008C5F1C">
              <w:rPr>
                <w:rFonts w:ascii="Times New Roman" w:eastAsia="Times New Roman" w:hAnsi="Times New Roman" w:cs="Times New Roman"/>
                <w:lang w:eastAsia="ar-SA"/>
              </w:rPr>
              <w:t xml:space="preserve"> urbane in baza SIDU aferente limitei </w:t>
            </w:r>
            <w:r w:rsidRPr="008C5F1C">
              <w:rPr>
                <w:rFonts w:ascii="Times New Roman" w:eastAsia="Times New Roman" w:hAnsi="Times New Roman" w:cs="Times New Roman"/>
                <w:lang w:eastAsia="ar-SA"/>
              </w:rPr>
              <w:t>minime</w:t>
            </w:r>
            <w:r w:rsidR="002D7C97" w:rsidRPr="008C5F1C">
              <w:rPr>
                <w:rFonts w:ascii="Times New Roman" w:eastAsia="Times New Roman" w:hAnsi="Times New Roman" w:cs="Times New Roman"/>
                <w:lang w:eastAsia="ar-SA"/>
              </w:rPr>
              <w:t xml:space="preserve"> de 6% din FEDR in cadrul obiectivului „Investiții pentru ocuparea forței de muncă și creștere economică” se stabilesc pe baza </w:t>
            </w:r>
            <w:r w:rsidRPr="008C5F1C">
              <w:rPr>
                <w:rFonts w:ascii="Times New Roman" w:eastAsia="Times New Roman" w:hAnsi="Times New Roman" w:cs="Times New Roman"/>
                <w:lang w:eastAsia="ar-SA"/>
              </w:rPr>
              <w:t>proporției</w:t>
            </w:r>
            <w:r w:rsidR="002D7C97" w:rsidRPr="008C5F1C">
              <w:rPr>
                <w:rFonts w:ascii="Times New Roman" w:eastAsia="Times New Roman" w:hAnsi="Times New Roman" w:cs="Times New Roman"/>
                <w:lang w:eastAsia="ar-SA"/>
              </w:rPr>
              <w:t xml:space="preserve"> </w:t>
            </w:r>
            <w:r w:rsidR="002D7C97" w:rsidRPr="008C5F1C">
              <w:rPr>
                <w:rFonts w:ascii="Times New Roman" w:eastAsia="Times New Roman" w:hAnsi="Times New Roman" w:cs="Times New Roman"/>
                <w:lang w:eastAsia="ar-SA"/>
              </w:rPr>
              <w:lastRenderedPageBreak/>
              <w:t xml:space="preserve">intre numărul populației de la nivelul municipiilor reședință de județ și numărul populației de la nivelul </w:t>
            </w:r>
            <w:r w:rsidRPr="008C5F1C">
              <w:rPr>
                <w:rFonts w:ascii="Times New Roman" w:eastAsia="Times New Roman" w:hAnsi="Times New Roman" w:cs="Times New Roman"/>
                <w:lang w:eastAsia="ar-SA"/>
              </w:rPr>
              <w:t>UAT</w:t>
            </w:r>
            <w:r w:rsidR="002D7C97" w:rsidRPr="008C5F1C">
              <w:rPr>
                <w:rFonts w:ascii="Times New Roman" w:eastAsia="Times New Roman" w:hAnsi="Times New Roman" w:cs="Times New Roman"/>
                <w:lang w:eastAsia="ar-SA"/>
              </w:rPr>
              <w:t xml:space="preserve"> cu statut de municipii și numărul populației de la nivelul </w:t>
            </w:r>
            <w:r w:rsidRPr="008C5F1C">
              <w:rPr>
                <w:rFonts w:ascii="Times New Roman" w:eastAsia="Times New Roman" w:hAnsi="Times New Roman" w:cs="Times New Roman"/>
                <w:lang w:eastAsia="ar-SA"/>
              </w:rPr>
              <w:t>UAT</w:t>
            </w:r>
            <w:r w:rsidR="002D7C97" w:rsidRPr="008C5F1C">
              <w:rPr>
                <w:rFonts w:ascii="Times New Roman" w:eastAsia="Times New Roman" w:hAnsi="Times New Roman" w:cs="Times New Roman"/>
                <w:lang w:eastAsia="ar-SA"/>
              </w:rPr>
              <w:t xml:space="preserve"> cu statut de orașe</w:t>
            </w:r>
            <w:r w:rsidRPr="008C5F1C">
              <w:rPr>
                <w:rFonts w:ascii="Times New Roman" w:eastAsia="Times New Roman" w:hAnsi="Times New Roman" w:cs="Times New Roman"/>
                <w:lang w:eastAsia="ar-SA"/>
              </w:rPr>
              <w:t xml:space="preserve">. </w:t>
            </w:r>
          </w:p>
          <w:p w14:paraId="45E820D7" w14:textId="614B71B1" w:rsidR="00113976" w:rsidRPr="008C5F1C" w:rsidRDefault="00113976" w:rsidP="00B373F4">
            <w:pPr>
              <w:spacing w:after="120" w:line="240" w:lineRule="auto"/>
              <w:jc w:val="both"/>
              <w:rPr>
                <w:rFonts w:ascii="Times New Roman" w:eastAsia="Times New Roman" w:hAnsi="Times New Roman" w:cs="Times New Roman"/>
                <w:lang w:eastAsia="ar-SA"/>
              </w:rPr>
            </w:pPr>
            <w:r w:rsidRPr="008C5F1C">
              <w:rPr>
                <w:rFonts w:ascii="Times New Roman" w:eastAsia="Times New Roman" w:hAnsi="Times New Roman" w:cs="Times New Roman"/>
                <w:lang w:eastAsia="ar-SA"/>
              </w:rPr>
              <w:t xml:space="preserve">Fondurile alocate municipiilor </w:t>
            </w:r>
            <w:proofErr w:type="spellStart"/>
            <w:r w:rsidRPr="008C5F1C">
              <w:rPr>
                <w:rFonts w:ascii="Times New Roman" w:eastAsia="Times New Roman" w:hAnsi="Times New Roman" w:cs="Times New Roman"/>
                <w:lang w:eastAsia="ar-SA"/>
              </w:rPr>
              <w:t>resedinta</w:t>
            </w:r>
            <w:proofErr w:type="spellEnd"/>
            <w:r w:rsidRPr="008C5F1C">
              <w:rPr>
                <w:rFonts w:ascii="Times New Roman" w:eastAsia="Times New Roman" w:hAnsi="Times New Roman" w:cs="Times New Roman"/>
                <w:lang w:eastAsia="ar-SA"/>
              </w:rPr>
              <w:t xml:space="preserve"> de </w:t>
            </w:r>
            <w:proofErr w:type="spellStart"/>
            <w:r w:rsidRPr="008C5F1C">
              <w:rPr>
                <w:rFonts w:ascii="Times New Roman" w:eastAsia="Times New Roman" w:hAnsi="Times New Roman" w:cs="Times New Roman"/>
                <w:lang w:eastAsia="ar-SA"/>
              </w:rPr>
              <w:t>judet</w:t>
            </w:r>
            <w:proofErr w:type="spellEnd"/>
            <w:r w:rsidRPr="008C5F1C">
              <w:rPr>
                <w:rFonts w:ascii="Times New Roman" w:eastAsia="Times New Roman" w:hAnsi="Times New Roman" w:cs="Times New Roman"/>
                <w:lang w:eastAsia="ar-SA"/>
              </w:rPr>
              <w:t xml:space="preserve"> se </w:t>
            </w:r>
            <w:proofErr w:type="spellStart"/>
            <w:r w:rsidRPr="008C5F1C">
              <w:rPr>
                <w:rFonts w:ascii="Times New Roman" w:eastAsia="Times New Roman" w:hAnsi="Times New Roman" w:cs="Times New Roman"/>
                <w:lang w:eastAsia="ar-SA"/>
              </w:rPr>
              <w:t>repartizeaza</w:t>
            </w:r>
            <w:proofErr w:type="spellEnd"/>
            <w:r w:rsidRPr="008C5F1C">
              <w:rPr>
                <w:rFonts w:ascii="Times New Roman" w:eastAsia="Times New Roman" w:hAnsi="Times New Roman" w:cs="Times New Roman"/>
                <w:lang w:eastAsia="ar-SA"/>
              </w:rPr>
              <w:t xml:space="preserve"> pe fiecare municipiu </w:t>
            </w:r>
            <w:proofErr w:type="spellStart"/>
            <w:r w:rsidRPr="008C5F1C">
              <w:rPr>
                <w:rFonts w:ascii="Times New Roman" w:eastAsia="Times New Roman" w:hAnsi="Times New Roman" w:cs="Times New Roman"/>
                <w:lang w:eastAsia="ar-SA"/>
              </w:rPr>
              <w:t>resedinta</w:t>
            </w:r>
            <w:proofErr w:type="spellEnd"/>
            <w:r w:rsidRPr="008C5F1C">
              <w:rPr>
                <w:rFonts w:ascii="Times New Roman" w:eastAsia="Times New Roman" w:hAnsi="Times New Roman" w:cs="Times New Roman"/>
                <w:lang w:eastAsia="ar-SA"/>
              </w:rPr>
              <w:t xml:space="preserve"> de </w:t>
            </w:r>
            <w:proofErr w:type="spellStart"/>
            <w:r w:rsidRPr="008C5F1C">
              <w:rPr>
                <w:rFonts w:ascii="Times New Roman" w:eastAsia="Times New Roman" w:hAnsi="Times New Roman" w:cs="Times New Roman"/>
                <w:lang w:eastAsia="ar-SA"/>
              </w:rPr>
              <w:t>judet</w:t>
            </w:r>
            <w:proofErr w:type="spellEnd"/>
            <w:r w:rsidRPr="008C5F1C">
              <w:rPr>
                <w:rFonts w:ascii="Times New Roman" w:eastAsia="Times New Roman" w:hAnsi="Times New Roman" w:cs="Times New Roman"/>
                <w:lang w:eastAsia="ar-SA"/>
              </w:rPr>
              <w:t xml:space="preserve"> astfel: 35% din fondurile totale se repartizează în mod egal pentru toate municipiile reședință de județ; 65% din fondurile totale se repartizează în funcție de numărul total populației de la nivelul municipiilor reședință de județ.</w:t>
            </w:r>
          </w:p>
          <w:p w14:paraId="1EE35404" w14:textId="4BD78529" w:rsidR="00113976" w:rsidRPr="008C5F1C" w:rsidRDefault="00D809C5" w:rsidP="00C2180E">
            <w:pPr>
              <w:spacing w:after="120" w:line="240" w:lineRule="auto"/>
              <w:jc w:val="both"/>
              <w:rPr>
                <w:rFonts w:ascii="Times New Roman" w:eastAsia="Times New Roman" w:hAnsi="Times New Roman" w:cs="Times New Roman"/>
                <w:lang w:eastAsia="ar-SA"/>
              </w:rPr>
            </w:pPr>
            <w:r w:rsidRPr="008C5F1C">
              <w:rPr>
                <w:rFonts w:ascii="Times New Roman" w:eastAsia="Times New Roman" w:hAnsi="Times New Roman" w:cs="Times New Roman"/>
                <w:lang w:eastAsia="ar-SA"/>
              </w:rPr>
              <w:t>F</w:t>
            </w:r>
            <w:r w:rsidR="00113976" w:rsidRPr="008C5F1C">
              <w:rPr>
                <w:rFonts w:ascii="Times New Roman" w:eastAsia="Times New Roman" w:hAnsi="Times New Roman" w:cs="Times New Roman"/>
                <w:lang w:eastAsia="ar-SA"/>
              </w:rPr>
              <w:t xml:space="preserve">ondurile alocate municipiilor, altele </w:t>
            </w:r>
            <w:proofErr w:type="spellStart"/>
            <w:r w:rsidR="00113976" w:rsidRPr="008C5F1C">
              <w:rPr>
                <w:rFonts w:ascii="Times New Roman" w:eastAsia="Times New Roman" w:hAnsi="Times New Roman" w:cs="Times New Roman"/>
                <w:lang w:eastAsia="ar-SA"/>
              </w:rPr>
              <w:t>decat</w:t>
            </w:r>
            <w:proofErr w:type="spellEnd"/>
            <w:r w:rsidR="00113976" w:rsidRPr="008C5F1C">
              <w:rPr>
                <w:rFonts w:ascii="Times New Roman" w:eastAsia="Times New Roman" w:hAnsi="Times New Roman" w:cs="Times New Roman"/>
                <w:lang w:eastAsia="ar-SA"/>
              </w:rPr>
              <w:t xml:space="preserve"> municipiile </w:t>
            </w:r>
            <w:proofErr w:type="spellStart"/>
            <w:r w:rsidR="00113976" w:rsidRPr="008C5F1C">
              <w:rPr>
                <w:rFonts w:ascii="Times New Roman" w:eastAsia="Times New Roman" w:hAnsi="Times New Roman" w:cs="Times New Roman"/>
                <w:lang w:eastAsia="ar-SA"/>
              </w:rPr>
              <w:t>resedinta</w:t>
            </w:r>
            <w:proofErr w:type="spellEnd"/>
            <w:r w:rsidR="00113976" w:rsidRPr="008C5F1C">
              <w:rPr>
                <w:rFonts w:ascii="Times New Roman" w:eastAsia="Times New Roman" w:hAnsi="Times New Roman" w:cs="Times New Roman"/>
                <w:lang w:eastAsia="ar-SA"/>
              </w:rPr>
              <w:t xml:space="preserve"> de </w:t>
            </w:r>
            <w:proofErr w:type="spellStart"/>
            <w:r w:rsidR="00113976" w:rsidRPr="008C5F1C">
              <w:rPr>
                <w:rFonts w:ascii="Times New Roman" w:eastAsia="Times New Roman" w:hAnsi="Times New Roman" w:cs="Times New Roman"/>
                <w:lang w:eastAsia="ar-SA"/>
              </w:rPr>
              <w:t>judet</w:t>
            </w:r>
            <w:proofErr w:type="spellEnd"/>
            <w:r w:rsidR="00113976" w:rsidRPr="008C5F1C">
              <w:rPr>
                <w:rFonts w:ascii="Times New Roman" w:eastAsia="Times New Roman" w:hAnsi="Times New Roman" w:cs="Times New Roman"/>
                <w:lang w:eastAsia="ar-SA"/>
              </w:rPr>
              <w:t xml:space="preserve">, se </w:t>
            </w:r>
            <w:proofErr w:type="spellStart"/>
            <w:r w:rsidR="00113976" w:rsidRPr="008C5F1C">
              <w:rPr>
                <w:rFonts w:ascii="Times New Roman" w:eastAsia="Times New Roman" w:hAnsi="Times New Roman" w:cs="Times New Roman"/>
                <w:lang w:eastAsia="ar-SA"/>
              </w:rPr>
              <w:t>repartizeaza</w:t>
            </w:r>
            <w:proofErr w:type="spellEnd"/>
            <w:r w:rsidR="00113976" w:rsidRPr="008C5F1C">
              <w:rPr>
                <w:rFonts w:ascii="Times New Roman" w:eastAsia="Times New Roman" w:hAnsi="Times New Roman" w:cs="Times New Roman"/>
                <w:lang w:eastAsia="ar-SA"/>
              </w:rPr>
              <w:t xml:space="preserve"> pe fiecare municipiu de la nivelul regiunii astfel: 35% din fondurile totale se repartizează în mod egal pentru toate municipiile din regiune, altele decât municipiile reședință de județ, iar 65% din fondurile totale se repartizează în funcție de numărul total populației de la nivelul municipiilor din regiune, altele decât municipiile reședință de județ;</w:t>
            </w:r>
          </w:p>
          <w:p w14:paraId="30D8AAD2" w14:textId="7DF0B5CF" w:rsidR="00113976" w:rsidRPr="008C5F1C" w:rsidRDefault="00113976">
            <w:pPr>
              <w:spacing w:after="120" w:line="240" w:lineRule="auto"/>
              <w:jc w:val="both"/>
              <w:rPr>
                <w:rFonts w:ascii="Times New Roman" w:eastAsia="Times New Roman" w:hAnsi="Times New Roman" w:cs="Times New Roman"/>
                <w:lang w:eastAsia="ar-SA"/>
              </w:rPr>
            </w:pPr>
            <w:r w:rsidRPr="008C5F1C">
              <w:rPr>
                <w:rFonts w:ascii="Times New Roman" w:eastAsia="Times New Roman" w:hAnsi="Times New Roman" w:cs="Times New Roman"/>
                <w:lang w:eastAsia="ar-SA"/>
              </w:rPr>
              <w:t>Fondurile alocate orașelor se repartizează pe bază de competiție de proiecte între acestea;</w:t>
            </w:r>
          </w:p>
          <w:p w14:paraId="03053AC9" w14:textId="53ED6871" w:rsidR="00574700" w:rsidRPr="008C5F1C" w:rsidRDefault="00162804">
            <w:pPr>
              <w:spacing w:after="120" w:line="240" w:lineRule="auto"/>
              <w:jc w:val="both"/>
              <w:rPr>
                <w:rFonts w:ascii="Times New Roman" w:eastAsia="Times New Roman" w:hAnsi="Times New Roman" w:cs="Times New Roman"/>
                <w:lang w:eastAsia="ar-SA"/>
              </w:rPr>
            </w:pPr>
            <w:r w:rsidRPr="008C5F1C">
              <w:rPr>
                <w:rFonts w:ascii="Times New Roman" w:eastAsia="Times New Roman" w:hAnsi="Times New Roman" w:cs="Times New Roman"/>
                <w:lang w:eastAsia="ar-SA"/>
              </w:rPr>
              <w:t>Municipiile reședință de județ</w:t>
            </w:r>
            <w:r w:rsidR="00D809C5" w:rsidRPr="008C5F1C">
              <w:rPr>
                <w:rFonts w:ascii="Times New Roman" w:eastAsia="Times New Roman" w:hAnsi="Times New Roman" w:cs="Times New Roman"/>
                <w:lang w:eastAsia="ar-SA"/>
              </w:rPr>
              <w:t xml:space="preserve"> si municipiile, altele </w:t>
            </w:r>
            <w:proofErr w:type="spellStart"/>
            <w:r w:rsidR="00D809C5" w:rsidRPr="008C5F1C">
              <w:rPr>
                <w:rFonts w:ascii="Times New Roman" w:eastAsia="Times New Roman" w:hAnsi="Times New Roman" w:cs="Times New Roman"/>
                <w:lang w:eastAsia="ar-SA"/>
              </w:rPr>
              <w:t>decat</w:t>
            </w:r>
            <w:proofErr w:type="spellEnd"/>
            <w:r w:rsidR="00D809C5" w:rsidRPr="008C5F1C">
              <w:rPr>
                <w:rFonts w:ascii="Times New Roman" w:eastAsia="Times New Roman" w:hAnsi="Times New Roman" w:cs="Times New Roman"/>
                <w:lang w:eastAsia="ar-SA"/>
              </w:rPr>
              <w:t xml:space="preserve"> municipiile </w:t>
            </w:r>
            <w:proofErr w:type="spellStart"/>
            <w:r w:rsidR="00D809C5" w:rsidRPr="008C5F1C">
              <w:rPr>
                <w:rFonts w:ascii="Times New Roman" w:eastAsia="Times New Roman" w:hAnsi="Times New Roman" w:cs="Times New Roman"/>
                <w:lang w:eastAsia="ar-SA"/>
              </w:rPr>
              <w:t>resedinta</w:t>
            </w:r>
            <w:proofErr w:type="spellEnd"/>
            <w:r w:rsidR="00D809C5" w:rsidRPr="008C5F1C">
              <w:rPr>
                <w:rFonts w:ascii="Times New Roman" w:eastAsia="Times New Roman" w:hAnsi="Times New Roman" w:cs="Times New Roman"/>
                <w:lang w:eastAsia="ar-SA"/>
              </w:rPr>
              <w:t xml:space="preserve"> de </w:t>
            </w:r>
            <w:proofErr w:type="spellStart"/>
            <w:r w:rsidR="00D809C5" w:rsidRPr="008C5F1C">
              <w:rPr>
                <w:rFonts w:ascii="Times New Roman" w:eastAsia="Times New Roman" w:hAnsi="Times New Roman" w:cs="Times New Roman"/>
                <w:lang w:eastAsia="ar-SA"/>
              </w:rPr>
              <w:t>judet</w:t>
            </w:r>
            <w:proofErr w:type="spellEnd"/>
            <w:r w:rsidRPr="008C5F1C">
              <w:rPr>
                <w:rFonts w:ascii="Times New Roman" w:eastAsia="Times New Roman" w:hAnsi="Times New Roman" w:cs="Times New Roman"/>
                <w:lang w:eastAsia="ar-SA"/>
              </w:rPr>
              <w:t xml:space="preserve"> vor avea apeluri dedicate pe </w:t>
            </w:r>
            <w:r w:rsidR="00574700" w:rsidRPr="008C5F1C">
              <w:rPr>
                <w:rFonts w:ascii="Times New Roman" w:eastAsia="Times New Roman" w:hAnsi="Times New Roman" w:cs="Times New Roman"/>
                <w:lang w:eastAsia="ar-SA"/>
              </w:rPr>
              <w:t>Prioritatea</w:t>
            </w:r>
            <w:r w:rsidRPr="008C5F1C">
              <w:rPr>
                <w:rFonts w:ascii="Times New Roman" w:eastAsia="Times New Roman" w:hAnsi="Times New Roman" w:cs="Times New Roman"/>
                <w:lang w:eastAsia="ar-SA"/>
              </w:rPr>
              <w:t xml:space="preserve"> 2</w:t>
            </w:r>
            <w:r w:rsidR="00113976" w:rsidRPr="008C5F1C">
              <w:rPr>
                <w:rFonts w:ascii="Times New Roman" w:eastAsia="Times New Roman" w:hAnsi="Times New Roman" w:cs="Times New Roman"/>
                <w:lang w:eastAsia="ar-SA"/>
              </w:rPr>
              <w:t xml:space="preserve"> si</w:t>
            </w:r>
            <w:r w:rsidRPr="008C5F1C">
              <w:rPr>
                <w:rFonts w:ascii="Times New Roman" w:eastAsia="Times New Roman" w:hAnsi="Times New Roman" w:cs="Times New Roman"/>
                <w:lang w:eastAsia="ar-SA"/>
              </w:rPr>
              <w:t xml:space="preserve"> </w:t>
            </w:r>
            <w:r w:rsidR="00574700" w:rsidRPr="008C5F1C">
              <w:rPr>
                <w:rFonts w:ascii="Times New Roman" w:eastAsia="Times New Roman" w:hAnsi="Times New Roman" w:cs="Times New Roman"/>
                <w:lang w:eastAsia="ar-SA"/>
              </w:rPr>
              <w:t>Prioritatea</w:t>
            </w:r>
            <w:r w:rsidRPr="008C5F1C">
              <w:rPr>
                <w:rFonts w:ascii="Times New Roman" w:eastAsia="Times New Roman" w:hAnsi="Times New Roman" w:cs="Times New Roman"/>
                <w:lang w:eastAsia="ar-SA"/>
              </w:rPr>
              <w:t xml:space="preserve"> 3 </w:t>
            </w:r>
            <w:r w:rsidR="00113976" w:rsidRPr="008C5F1C">
              <w:rPr>
                <w:rFonts w:ascii="Times New Roman" w:eastAsia="Times New Roman" w:hAnsi="Times New Roman" w:cs="Times New Roman"/>
                <w:lang w:eastAsia="ar-SA"/>
              </w:rPr>
              <w:t>(</w:t>
            </w:r>
            <w:r w:rsidRPr="008C5F1C">
              <w:rPr>
                <w:rFonts w:ascii="Times New Roman" w:eastAsia="Times New Roman" w:hAnsi="Times New Roman" w:cs="Times New Roman"/>
                <w:lang w:eastAsia="ar-SA"/>
              </w:rPr>
              <w:t>regenerare urbană si mobilitate urbană</w:t>
            </w:r>
            <w:r w:rsidR="00113976" w:rsidRPr="008C5F1C">
              <w:rPr>
                <w:rFonts w:ascii="Times New Roman" w:eastAsia="Times New Roman" w:hAnsi="Times New Roman" w:cs="Times New Roman"/>
                <w:lang w:eastAsia="ar-SA"/>
              </w:rPr>
              <w:t>)</w:t>
            </w:r>
            <w:r w:rsidRPr="008C5F1C">
              <w:rPr>
                <w:rFonts w:ascii="Times New Roman" w:eastAsia="Times New Roman" w:hAnsi="Times New Roman" w:cs="Times New Roman"/>
                <w:lang w:eastAsia="ar-SA"/>
              </w:rPr>
              <w:t>.</w:t>
            </w:r>
          </w:p>
          <w:p w14:paraId="5DDEB792" w14:textId="0A8F3F04" w:rsidR="00162804" w:rsidRPr="008C5F1C" w:rsidRDefault="00162804">
            <w:pPr>
              <w:spacing w:after="120" w:line="240" w:lineRule="auto"/>
              <w:jc w:val="both"/>
              <w:rPr>
                <w:rFonts w:ascii="Times New Roman" w:eastAsia="Times New Roman" w:hAnsi="Times New Roman" w:cs="Times New Roman"/>
                <w:lang w:eastAsia="ar-SA"/>
              </w:rPr>
            </w:pPr>
            <w:r w:rsidRPr="008C5F1C">
              <w:rPr>
                <w:rFonts w:ascii="Times New Roman" w:eastAsia="Times New Roman" w:hAnsi="Times New Roman" w:cs="Times New Roman"/>
                <w:lang w:eastAsia="ar-SA"/>
              </w:rPr>
              <w:t xml:space="preserve">Pentru celelalte municipii și orașe </w:t>
            </w:r>
            <w:r w:rsidR="00574700" w:rsidRPr="008C5F1C">
              <w:rPr>
                <w:rFonts w:ascii="Times New Roman" w:eastAsia="Times New Roman" w:hAnsi="Times New Roman" w:cs="Times New Roman"/>
                <w:lang w:eastAsia="ar-SA"/>
              </w:rPr>
              <w:t>vor fi</w:t>
            </w:r>
            <w:r w:rsidRPr="008C5F1C">
              <w:rPr>
                <w:rFonts w:ascii="Times New Roman" w:eastAsia="Times New Roman" w:hAnsi="Times New Roman" w:cs="Times New Roman"/>
                <w:lang w:eastAsia="ar-SA"/>
              </w:rPr>
              <w:t xml:space="preserve"> apeluri competitive, iar depunerea de proiecte pe o anumită </w:t>
            </w:r>
            <w:r w:rsidR="00574700" w:rsidRPr="008C5F1C">
              <w:rPr>
                <w:rFonts w:ascii="Times New Roman" w:eastAsia="Times New Roman" w:hAnsi="Times New Roman" w:cs="Times New Roman"/>
                <w:lang w:eastAsia="ar-SA"/>
              </w:rPr>
              <w:t>Prioritate</w:t>
            </w:r>
            <w:r w:rsidRPr="008C5F1C">
              <w:rPr>
                <w:rFonts w:ascii="Times New Roman" w:eastAsia="Times New Roman" w:hAnsi="Times New Roman" w:cs="Times New Roman"/>
                <w:lang w:eastAsia="ar-SA"/>
              </w:rPr>
              <w:t xml:space="preserve"> să fie susținută si de existenta lor într-o strategie integrată de la nivel local.</w:t>
            </w:r>
          </w:p>
          <w:p w14:paraId="5F32DADF" w14:textId="0A607400" w:rsidR="00B477CE" w:rsidRPr="008C5F1C" w:rsidRDefault="00FC4406" w:rsidP="003D64F1">
            <w:pPr>
              <w:spacing w:after="120" w:line="240" w:lineRule="auto"/>
              <w:jc w:val="both"/>
              <w:rPr>
                <w:rFonts w:ascii="Times New Roman" w:hAnsi="Times New Roman" w:cs="Times New Roman"/>
              </w:rPr>
            </w:pPr>
            <w:r w:rsidRPr="008C5F1C">
              <w:rPr>
                <w:rFonts w:ascii="Times New Roman" w:hAnsi="Times New Roman" w:cs="Times New Roman"/>
                <w:i/>
                <w:iCs/>
                <w:sz w:val="24"/>
                <w:szCs w:val="24"/>
              </w:rPr>
              <w:t>G</w:t>
            </w:r>
            <w:r w:rsidR="00653571" w:rsidRPr="008C5F1C">
              <w:rPr>
                <w:rFonts w:ascii="Times New Roman" w:hAnsi="Times New Roman" w:cs="Times New Roman"/>
                <w:i/>
                <w:iCs/>
                <w:sz w:val="24"/>
                <w:szCs w:val="24"/>
              </w:rPr>
              <w:t>uvernan</w:t>
            </w:r>
            <w:r w:rsidR="00E22FF2" w:rsidRPr="008C5F1C">
              <w:rPr>
                <w:rFonts w:ascii="Times New Roman" w:hAnsi="Times New Roman" w:cs="Times New Roman"/>
                <w:i/>
                <w:iCs/>
                <w:sz w:val="24"/>
                <w:szCs w:val="24"/>
              </w:rPr>
              <w:t>ț</w:t>
            </w:r>
            <w:r w:rsidR="00BA7827" w:rsidRPr="008C5F1C">
              <w:rPr>
                <w:rFonts w:ascii="Times New Roman" w:hAnsi="Times New Roman" w:cs="Times New Roman"/>
                <w:i/>
                <w:iCs/>
                <w:sz w:val="24"/>
                <w:szCs w:val="24"/>
              </w:rPr>
              <w:t>ă</w:t>
            </w:r>
            <w:r w:rsidRPr="008C5F1C">
              <w:rPr>
                <w:rFonts w:ascii="Times New Roman" w:hAnsi="Times New Roman" w:cs="Times New Roman"/>
                <w:i/>
                <w:iCs/>
                <w:sz w:val="24"/>
                <w:szCs w:val="24"/>
              </w:rPr>
              <w:t xml:space="preserve"> și capacitate administrativă</w:t>
            </w:r>
          </w:p>
          <w:p w14:paraId="3FAD893B" w14:textId="197601E1" w:rsidR="00481CE8" w:rsidRPr="008C5F1C" w:rsidRDefault="00481CE8" w:rsidP="003D64F1">
            <w:pPr>
              <w:spacing w:after="120" w:line="240" w:lineRule="auto"/>
              <w:jc w:val="both"/>
              <w:rPr>
                <w:rFonts w:ascii="Times New Roman" w:hAnsi="Times New Roman" w:cs="Times New Roman"/>
              </w:rPr>
            </w:pPr>
            <w:r w:rsidRPr="008C5F1C">
              <w:rPr>
                <w:rFonts w:ascii="Times New Roman" w:hAnsi="Times New Roman" w:cs="Times New Roman"/>
              </w:rPr>
              <w:t>Sistemul de management și control propus la nivel regional va fi format din:</w:t>
            </w:r>
          </w:p>
          <w:p w14:paraId="26C0C0C5" w14:textId="045681D7" w:rsidR="0070301E" w:rsidRPr="008C5F1C" w:rsidRDefault="00444D73" w:rsidP="003D64F1">
            <w:pPr>
              <w:spacing w:after="120" w:line="240" w:lineRule="auto"/>
              <w:jc w:val="both"/>
              <w:rPr>
                <w:rFonts w:ascii="Times New Roman" w:eastAsia="Times New Roman" w:hAnsi="Times New Roman" w:cs="Times New Roman"/>
              </w:rPr>
            </w:pPr>
            <w:r w:rsidRPr="008C5F1C">
              <w:rPr>
                <w:rFonts w:ascii="Times New Roman" w:eastAsia="Times New Roman" w:hAnsi="Times New Roman" w:cs="Times New Roman"/>
              </w:rPr>
              <w:t>1.</w:t>
            </w:r>
            <w:r w:rsidRPr="008C5F1C">
              <w:rPr>
                <w:rFonts w:ascii="Times New Roman" w:hAnsi="Times New Roman" w:cs="Times New Roman"/>
              </w:rPr>
              <w:t xml:space="preserve"> </w:t>
            </w:r>
            <w:r w:rsidR="0070301E" w:rsidRPr="008C5F1C">
              <w:rPr>
                <w:rFonts w:ascii="Times New Roman" w:eastAsia="Times New Roman" w:hAnsi="Times New Roman" w:cs="Times New Roman"/>
              </w:rPr>
              <w:t xml:space="preserve">Comitetul Regional de Monitorizare a POR NV (CM POR NV), organism fundamental pentru principiul partenerial, care va reuni reprezentanți ai mediului public, privat, academic și asociativ </w:t>
            </w:r>
          </w:p>
          <w:p w14:paraId="778FF7FC" w14:textId="3D13BD14" w:rsidR="00444D73" w:rsidRPr="008C5F1C" w:rsidRDefault="0070301E" w:rsidP="003D64F1">
            <w:pPr>
              <w:spacing w:after="120" w:line="240" w:lineRule="auto"/>
              <w:jc w:val="both"/>
              <w:rPr>
                <w:rFonts w:ascii="Times New Roman" w:eastAsia="Times New Roman" w:hAnsi="Times New Roman" w:cs="Times New Roman"/>
              </w:rPr>
            </w:pPr>
            <w:r w:rsidRPr="008C5F1C">
              <w:rPr>
                <w:rFonts w:ascii="Times New Roman" w:eastAsia="Times New Roman" w:hAnsi="Times New Roman" w:cs="Times New Roman"/>
              </w:rPr>
              <w:t>2.</w:t>
            </w:r>
            <w:r w:rsidR="00481CE8" w:rsidRPr="008C5F1C">
              <w:rPr>
                <w:rFonts w:ascii="Times New Roman" w:eastAsia="Times New Roman" w:hAnsi="Times New Roman" w:cs="Times New Roman"/>
              </w:rPr>
              <w:t>ADR N</w:t>
            </w:r>
            <w:r w:rsidR="008055DD" w:rsidRPr="008C5F1C">
              <w:rPr>
                <w:rFonts w:ascii="Times New Roman" w:eastAsia="Times New Roman" w:hAnsi="Times New Roman" w:cs="Times New Roman"/>
              </w:rPr>
              <w:t>ord-</w:t>
            </w:r>
            <w:r w:rsidR="00481CE8" w:rsidRPr="008C5F1C">
              <w:rPr>
                <w:rFonts w:ascii="Times New Roman" w:eastAsia="Times New Roman" w:hAnsi="Times New Roman" w:cs="Times New Roman"/>
              </w:rPr>
              <w:t>V</w:t>
            </w:r>
            <w:r w:rsidR="008055DD" w:rsidRPr="008C5F1C">
              <w:rPr>
                <w:rFonts w:ascii="Times New Roman" w:eastAsia="Times New Roman" w:hAnsi="Times New Roman" w:cs="Times New Roman"/>
              </w:rPr>
              <w:t>est</w:t>
            </w:r>
            <w:r w:rsidR="00481CE8" w:rsidRPr="008C5F1C">
              <w:rPr>
                <w:rFonts w:ascii="Times New Roman" w:eastAsia="Times New Roman" w:hAnsi="Times New Roman" w:cs="Times New Roman"/>
              </w:rPr>
              <w:t xml:space="preserve"> care va </w:t>
            </w:r>
            <w:r w:rsidR="00456110" w:rsidRPr="008C5F1C">
              <w:rPr>
                <w:rFonts w:ascii="Times New Roman" w:eastAsia="Times New Roman" w:hAnsi="Times New Roman" w:cs="Times New Roman"/>
              </w:rPr>
              <w:t>îndeplini</w:t>
            </w:r>
            <w:r w:rsidR="00481CE8" w:rsidRPr="008C5F1C">
              <w:rPr>
                <w:rFonts w:ascii="Times New Roman" w:eastAsia="Times New Roman" w:hAnsi="Times New Roman" w:cs="Times New Roman"/>
              </w:rPr>
              <w:t xml:space="preserve"> rolul de autoritate de management pentru program</w:t>
            </w:r>
            <w:r w:rsidR="00444D73" w:rsidRPr="008C5F1C">
              <w:rPr>
                <w:rFonts w:ascii="Times New Roman" w:eastAsia="Times New Roman" w:hAnsi="Times New Roman" w:cs="Times New Roman"/>
              </w:rPr>
              <w:t xml:space="preserve"> (AM POR NV)</w:t>
            </w:r>
            <w:r w:rsidR="00481CE8" w:rsidRPr="008C5F1C">
              <w:rPr>
                <w:rFonts w:ascii="Times New Roman" w:eastAsia="Times New Roman" w:hAnsi="Times New Roman" w:cs="Times New Roman"/>
              </w:rPr>
              <w:t>;</w:t>
            </w:r>
          </w:p>
          <w:p w14:paraId="6E47A577" w14:textId="131C0570" w:rsidR="0070301E" w:rsidRPr="008C5F1C" w:rsidRDefault="00444D73" w:rsidP="003D64F1">
            <w:pPr>
              <w:spacing w:after="120" w:line="240" w:lineRule="auto"/>
              <w:jc w:val="both"/>
              <w:rPr>
                <w:rFonts w:ascii="Times New Roman" w:hAnsi="Times New Roman" w:cs="Times New Roman"/>
              </w:rPr>
            </w:pPr>
            <w:r w:rsidRPr="008C5F1C">
              <w:rPr>
                <w:rFonts w:ascii="Times New Roman" w:eastAsia="Times New Roman" w:hAnsi="Times New Roman" w:cs="Times New Roman"/>
              </w:rPr>
              <w:t>3</w:t>
            </w:r>
            <w:r w:rsidR="00BD0F75" w:rsidRPr="008C5F1C">
              <w:rPr>
                <w:rFonts w:ascii="Times New Roman" w:eastAsia="Times New Roman" w:hAnsi="Times New Roman" w:cs="Times New Roman"/>
              </w:rPr>
              <w:t xml:space="preserve">. </w:t>
            </w:r>
            <w:r w:rsidR="0070301E" w:rsidRPr="008C5F1C">
              <w:rPr>
                <w:rFonts w:ascii="Times New Roman" w:hAnsi="Times New Roman" w:cs="Times New Roman"/>
              </w:rPr>
              <w:t xml:space="preserve">Consiliul pentru Dezvoltare Regională NV (CDR NV), cu rol </w:t>
            </w:r>
            <w:r w:rsidR="00C12DC1" w:rsidRPr="008C5F1C">
              <w:rPr>
                <w:rFonts w:ascii="Times New Roman" w:hAnsi="Times New Roman" w:cs="Times New Roman"/>
              </w:rPr>
              <w:t>consultativ</w:t>
            </w:r>
            <w:r w:rsidR="0070301E" w:rsidRPr="008C5F1C">
              <w:rPr>
                <w:rFonts w:ascii="Times New Roman" w:hAnsi="Times New Roman" w:cs="Times New Roman"/>
              </w:rPr>
              <w:t xml:space="preserve"> </w:t>
            </w:r>
          </w:p>
          <w:p w14:paraId="079778E8" w14:textId="13CF8259" w:rsidR="00444D73" w:rsidRPr="008C5F1C" w:rsidRDefault="0070301E" w:rsidP="003D64F1">
            <w:pPr>
              <w:spacing w:after="120" w:line="240" w:lineRule="auto"/>
              <w:rPr>
                <w:rFonts w:ascii="Times New Roman" w:eastAsia="Times New Roman" w:hAnsi="Times New Roman" w:cs="Times New Roman"/>
              </w:rPr>
            </w:pPr>
            <w:r w:rsidRPr="008C5F1C">
              <w:rPr>
                <w:rFonts w:ascii="Times New Roman" w:eastAsia="Times New Roman" w:hAnsi="Times New Roman" w:cs="Times New Roman"/>
              </w:rPr>
              <w:t xml:space="preserve">4. </w:t>
            </w:r>
            <w:r w:rsidR="00444D73" w:rsidRPr="008C5F1C">
              <w:rPr>
                <w:rFonts w:ascii="Times New Roman" w:eastAsia="Times New Roman" w:hAnsi="Times New Roman" w:cs="Times New Roman"/>
              </w:rPr>
              <w:t>Comitetul Regional pentru elaborarea PDR NV, organism consultativ care reunește și implică în procesul de planificare principalii actori cheie din regiune într-un cadru larg partenerial, și care participă la elaborarea și avizarea PDR NV - document care fundamentează POR NV 2021-2027.</w:t>
            </w:r>
            <w:r w:rsidR="00C51332" w:rsidRPr="008C5F1C">
              <w:rPr>
                <w:rFonts w:ascii="Times New Roman" w:eastAsia="Times New Roman" w:hAnsi="Times New Roman" w:cs="Times New Roman"/>
              </w:rPr>
              <w:t xml:space="preserve"> (CRP NV)</w:t>
            </w:r>
          </w:p>
          <w:p w14:paraId="5C89076E" w14:textId="4A9086C2" w:rsidR="00481CE8" w:rsidRPr="008C5F1C" w:rsidRDefault="00CD6BC3" w:rsidP="003D64F1">
            <w:pPr>
              <w:spacing w:after="120" w:line="240" w:lineRule="auto"/>
              <w:rPr>
                <w:rFonts w:ascii="Times New Roman" w:hAnsi="Times New Roman" w:cs="Times New Roman"/>
              </w:rPr>
            </w:pPr>
            <w:r w:rsidRPr="008C5F1C">
              <w:rPr>
                <w:rFonts w:ascii="Times New Roman" w:eastAsia="Times New Roman" w:hAnsi="Times New Roman" w:cs="Times New Roman"/>
              </w:rPr>
              <w:t>5</w:t>
            </w:r>
            <w:r w:rsidR="00444D73" w:rsidRPr="008C5F1C">
              <w:rPr>
                <w:rFonts w:ascii="Times New Roman" w:eastAsia="Times New Roman" w:hAnsi="Times New Roman" w:cs="Times New Roman"/>
              </w:rPr>
              <w:t xml:space="preserve">. Comitetul </w:t>
            </w:r>
            <w:r w:rsidRPr="008C5F1C">
              <w:rPr>
                <w:rFonts w:ascii="Times New Roman" w:eastAsia="Times New Roman" w:hAnsi="Times New Roman" w:cs="Times New Roman"/>
              </w:rPr>
              <w:t>Director pentru RIS3</w:t>
            </w:r>
            <w:r w:rsidR="00444D73" w:rsidRPr="008C5F1C">
              <w:rPr>
                <w:rFonts w:ascii="Times New Roman" w:eastAsia="Times New Roman" w:hAnsi="Times New Roman" w:cs="Times New Roman"/>
              </w:rPr>
              <w:t xml:space="preserve"> </w:t>
            </w:r>
            <w:r w:rsidRPr="008C5F1C">
              <w:rPr>
                <w:rFonts w:ascii="Times New Roman" w:eastAsia="Times New Roman" w:hAnsi="Times New Roman" w:cs="Times New Roman"/>
              </w:rPr>
              <w:t>NV</w:t>
            </w:r>
            <w:r w:rsidR="00444D73" w:rsidRPr="008C5F1C">
              <w:rPr>
                <w:rFonts w:ascii="Times New Roman" w:eastAsia="Times New Roman" w:hAnsi="Times New Roman" w:cs="Times New Roman"/>
              </w:rPr>
              <w:t>, organism partenerial consultativ, implicat în procesul de planificare a RIS3 (C</w:t>
            </w:r>
            <w:r w:rsidRPr="008C5F1C">
              <w:rPr>
                <w:rFonts w:ascii="Times New Roman" w:eastAsia="Times New Roman" w:hAnsi="Times New Roman" w:cs="Times New Roman"/>
              </w:rPr>
              <w:t>D</w:t>
            </w:r>
            <w:r w:rsidR="00444D73" w:rsidRPr="008C5F1C">
              <w:rPr>
                <w:rFonts w:ascii="Times New Roman" w:eastAsia="Times New Roman" w:hAnsi="Times New Roman" w:cs="Times New Roman"/>
              </w:rPr>
              <w:t xml:space="preserve"> </w:t>
            </w:r>
            <w:r w:rsidR="00F56FF8" w:rsidRPr="008C5F1C">
              <w:rPr>
                <w:rFonts w:ascii="Times New Roman" w:eastAsia="Times New Roman" w:hAnsi="Times New Roman" w:cs="Times New Roman"/>
              </w:rPr>
              <w:t xml:space="preserve">RIS3 </w:t>
            </w:r>
            <w:r w:rsidR="00444D73" w:rsidRPr="008C5F1C">
              <w:rPr>
                <w:rFonts w:ascii="Times New Roman" w:eastAsia="Times New Roman" w:hAnsi="Times New Roman" w:cs="Times New Roman"/>
              </w:rPr>
              <w:t>NV)</w:t>
            </w:r>
          </w:p>
          <w:p w14:paraId="18E98DA8" w14:textId="16D69F44" w:rsidR="00444D73" w:rsidRPr="008C5F1C" w:rsidRDefault="00444D73" w:rsidP="003D64F1">
            <w:pPr>
              <w:spacing w:after="120" w:line="240" w:lineRule="auto"/>
              <w:jc w:val="both"/>
              <w:rPr>
                <w:rFonts w:ascii="Times New Roman" w:eastAsia="Times New Roman" w:hAnsi="Times New Roman" w:cs="Times New Roman"/>
              </w:rPr>
            </w:pPr>
            <w:r w:rsidRPr="008C5F1C">
              <w:rPr>
                <w:rFonts w:ascii="Times New Roman" w:eastAsia="Times New Roman" w:hAnsi="Times New Roman" w:cs="Times New Roman"/>
              </w:rPr>
              <w:t>Acest cadru partenerial asigură implicarea și reprezentativitatea principalilor actori din regiune în procesul de elaborare, implementare și control al POR.</w:t>
            </w:r>
          </w:p>
          <w:p w14:paraId="7F8C4CF2" w14:textId="7C8513CB" w:rsidR="005B7B7F" w:rsidRPr="008C5F1C" w:rsidRDefault="00547AF3" w:rsidP="003D64F1">
            <w:pPr>
              <w:spacing w:after="120" w:line="240" w:lineRule="auto"/>
              <w:jc w:val="both"/>
              <w:rPr>
                <w:rFonts w:ascii="Times New Roman" w:hAnsi="Times New Roman" w:cs="Times New Roman"/>
              </w:rPr>
            </w:pPr>
            <w:r w:rsidRPr="008C5F1C">
              <w:rPr>
                <w:rFonts w:ascii="Times New Roman" w:hAnsi="Times New Roman" w:cs="Times New Roman"/>
              </w:rPr>
              <w:t>Urmare a implementării fondurilor UE în ciclurile de finanțare anterioare, atât ADR</w:t>
            </w:r>
            <w:r w:rsidR="00444D73" w:rsidRPr="008C5F1C">
              <w:rPr>
                <w:rFonts w:ascii="Times New Roman" w:hAnsi="Times New Roman" w:cs="Times New Roman"/>
              </w:rPr>
              <w:t xml:space="preserve"> NV</w:t>
            </w:r>
            <w:r w:rsidRPr="008C5F1C">
              <w:rPr>
                <w:rFonts w:ascii="Times New Roman" w:hAnsi="Times New Roman" w:cs="Times New Roman"/>
              </w:rPr>
              <w:t xml:space="preserve">, cât și </w:t>
            </w:r>
            <w:r w:rsidR="004E5D20" w:rsidRPr="008C5F1C">
              <w:rPr>
                <w:rFonts w:ascii="Times New Roman" w:hAnsi="Times New Roman" w:cs="Times New Roman"/>
              </w:rPr>
              <w:t xml:space="preserve">celelalte structuri de guvernanță </w:t>
            </w:r>
            <w:r w:rsidR="005B7B7F" w:rsidRPr="008C5F1C">
              <w:rPr>
                <w:rFonts w:ascii="Times New Roman" w:hAnsi="Times New Roman" w:cs="Times New Roman"/>
              </w:rPr>
              <w:t xml:space="preserve">dar și beneficiarii </w:t>
            </w:r>
            <w:r w:rsidR="004E5D20" w:rsidRPr="008C5F1C">
              <w:rPr>
                <w:rFonts w:ascii="Times New Roman" w:hAnsi="Times New Roman" w:cs="Times New Roman"/>
              </w:rPr>
              <w:t>au acumulat o experiență semnificativă atât în ceea ce privește gestionarea fondurilor europene, cât și planificarea și implementarea programelor la nivel local și regional.</w:t>
            </w:r>
            <w:r w:rsidR="00E42BF3" w:rsidRPr="008C5F1C">
              <w:rPr>
                <w:rFonts w:ascii="Times New Roman" w:hAnsi="Times New Roman" w:cs="Times New Roman"/>
              </w:rPr>
              <w:t xml:space="preserve"> Principalele provocări sunt legate de transferul responsabilității </w:t>
            </w:r>
            <w:r w:rsidR="00B46776" w:rsidRPr="008C5F1C">
              <w:rPr>
                <w:rFonts w:ascii="Times New Roman" w:hAnsi="Times New Roman" w:cs="Times New Roman"/>
              </w:rPr>
              <w:t>de la nivel național către cel regional, ceea ce presupune o nevoie crescută de planificare strategică și coordonare orizontală (intra-regională) și verticală (cu nivelul național). Capacitatea administrativă a actorilor implicați pe ciclul investițional</w:t>
            </w:r>
            <w:r w:rsidR="00B46776" w:rsidRPr="008C5F1C">
              <w:rPr>
                <w:rStyle w:val="FootnoteReference"/>
                <w:rFonts w:ascii="Times New Roman" w:hAnsi="Times New Roman" w:cs="Times New Roman"/>
              </w:rPr>
              <w:footnoteReference w:id="24"/>
            </w:r>
            <w:r w:rsidR="00B46776" w:rsidRPr="008C5F1C">
              <w:rPr>
                <w:rFonts w:ascii="Times New Roman" w:hAnsi="Times New Roman" w:cs="Times New Roman"/>
              </w:rPr>
              <w:t xml:space="preserve"> este inegală, fiind mai redusă în cazul orașelor mici. Cultura partenerială este redusă, </w:t>
            </w:r>
            <w:r w:rsidR="005B7B7F" w:rsidRPr="008C5F1C">
              <w:rPr>
                <w:rFonts w:ascii="Times New Roman" w:hAnsi="Times New Roman" w:cs="Times New Roman"/>
                <w:szCs w:val="20"/>
              </w:rPr>
              <w:t>mai ales în privința pregătirii și dezvoltării proiectelor care implică acțiuni în zonele metropolitane sau ariile funcționale ale zonelor urbane</w:t>
            </w:r>
            <w:r w:rsidR="00B46776" w:rsidRPr="008C5F1C">
              <w:rPr>
                <w:rFonts w:ascii="Times New Roman" w:hAnsi="Times New Roman" w:cs="Times New Roman"/>
                <w:szCs w:val="20"/>
              </w:rPr>
              <w:t>.</w:t>
            </w:r>
          </w:p>
          <w:p w14:paraId="4B4732D4" w14:textId="26A19AF1" w:rsidR="00957211" w:rsidRPr="008C5F1C" w:rsidRDefault="00653571" w:rsidP="003D64F1">
            <w:pPr>
              <w:keepNext/>
              <w:spacing w:after="120" w:line="240" w:lineRule="auto"/>
              <w:rPr>
                <w:rFonts w:ascii="Times New Roman" w:hAnsi="Times New Roman" w:cs="Times New Roman"/>
                <w:i/>
                <w:iCs/>
                <w:sz w:val="24"/>
                <w:szCs w:val="24"/>
              </w:rPr>
            </w:pPr>
            <w:r w:rsidRPr="008C5F1C">
              <w:rPr>
                <w:rFonts w:ascii="Times New Roman" w:hAnsi="Times New Roman" w:cs="Times New Roman"/>
                <w:b/>
                <w:i/>
                <w:iCs/>
                <w:sz w:val="24"/>
                <w:szCs w:val="24"/>
              </w:rPr>
              <w:t>Lec</w:t>
            </w:r>
            <w:r w:rsidR="00E22FF2" w:rsidRPr="008C5F1C">
              <w:rPr>
                <w:rFonts w:ascii="Times New Roman" w:hAnsi="Times New Roman" w:cs="Times New Roman"/>
                <w:b/>
                <w:i/>
                <w:iCs/>
                <w:sz w:val="24"/>
                <w:szCs w:val="24"/>
              </w:rPr>
              <w:t>ț</w:t>
            </w:r>
            <w:r w:rsidRPr="008C5F1C">
              <w:rPr>
                <w:rFonts w:ascii="Times New Roman" w:hAnsi="Times New Roman" w:cs="Times New Roman"/>
                <w:b/>
                <w:i/>
                <w:iCs/>
                <w:sz w:val="24"/>
                <w:szCs w:val="24"/>
              </w:rPr>
              <w:t>ii înv</w:t>
            </w:r>
            <w:r w:rsidR="00BA7827" w:rsidRPr="008C5F1C">
              <w:rPr>
                <w:rFonts w:ascii="Times New Roman" w:hAnsi="Times New Roman" w:cs="Times New Roman"/>
                <w:b/>
                <w:i/>
                <w:iCs/>
                <w:sz w:val="24"/>
                <w:szCs w:val="24"/>
              </w:rPr>
              <w:t>ă</w:t>
            </w:r>
            <w:r w:rsidR="00E22FF2" w:rsidRPr="008C5F1C">
              <w:rPr>
                <w:rFonts w:ascii="Times New Roman" w:hAnsi="Times New Roman" w:cs="Times New Roman"/>
                <w:b/>
                <w:i/>
                <w:iCs/>
                <w:sz w:val="24"/>
                <w:szCs w:val="24"/>
              </w:rPr>
              <w:t>ț</w:t>
            </w:r>
            <w:r w:rsidRPr="008C5F1C">
              <w:rPr>
                <w:rFonts w:ascii="Times New Roman" w:hAnsi="Times New Roman" w:cs="Times New Roman"/>
                <w:b/>
                <w:i/>
                <w:iCs/>
                <w:sz w:val="24"/>
                <w:szCs w:val="24"/>
              </w:rPr>
              <w:t>ate</w:t>
            </w:r>
          </w:p>
          <w:p w14:paraId="695195AD" w14:textId="44065C4B" w:rsidR="000B3FFC" w:rsidRPr="008C5F1C" w:rsidRDefault="000B3FFC" w:rsidP="003D64F1">
            <w:pPr>
              <w:pStyle w:val="ListParagraph"/>
              <w:numPr>
                <w:ilvl w:val="0"/>
                <w:numId w:val="68"/>
              </w:numPr>
              <w:spacing w:before="0" w:line="240" w:lineRule="auto"/>
              <w:contextualSpacing w:val="0"/>
              <w:jc w:val="both"/>
              <w:rPr>
                <w:sz w:val="22"/>
                <w:szCs w:val="20"/>
                <w:lang w:val="ro-RO"/>
              </w:rPr>
            </w:pPr>
            <w:r w:rsidRPr="008C5F1C">
              <w:rPr>
                <w:sz w:val="22"/>
                <w:szCs w:val="20"/>
                <w:lang w:val="ro-RO"/>
              </w:rPr>
              <w:t>Capacitatea administrativă a beneficiarilor UAT de mici dimensiuni și/sau din comunități afectate de sărăcie este adesea deficitară, aceștia neavând nici personalul necesar pentru derularea proiectelor.</w:t>
            </w:r>
          </w:p>
          <w:p w14:paraId="45214193" w14:textId="77777777" w:rsidR="00C8235B" w:rsidRPr="008C5F1C" w:rsidRDefault="00C8235B" w:rsidP="003D64F1">
            <w:pPr>
              <w:pStyle w:val="ListParagraph"/>
              <w:numPr>
                <w:ilvl w:val="0"/>
                <w:numId w:val="68"/>
              </w:numPr>
              <w:spacing w:before="0" w:line="240" w:lineRule="auto"/>
              <w:contextualSpacing w:val="0"/>
              <w:jc w:val="both"/>
              <w:rPr>
                <w:rFonts w:eastAsia="Times New Roman"/>
                <w:i/>
                <w:noProof/>
                <w:lang w:val="ro-RO"/>
              </w:rPr>
            </w:pPr>
            <w:r w:rsidRPr="008C5F1C">
              <w:rPr>
                <w:sz w:val="22"/>
                <w:szCs w:val="20"/>
                <w:lang w:val="ro-RO"/>
              </w:rPr>
              <w:t>Comunicarea și cooperarea inter-instituțională sunt aspecte esențiale pentru succesul implementării. În acest sens, este nevoie de asigurarea unor mecanisme funcționale între beneficiarii proiectelor și autoritățile / instituțiile cu atribuții de politică (de ex. în domeniul educației).</w:t>
            </w:r>
          </w:p>
          <w:p w14:paraId="2B4B67DA" w14:textId="210B3AB8" w:rsidR="005330E8" w:rsidRPr="008C5F1C" w:rsidRDefault="005330E8" w:rsidP="003D64F1">
            <w:pPr>
              <w:pStyle w:val="ListParagraph"/>
              <w:numPr>
                <w:ilvl w:val="0"/>
                <w:numId w:val="68"/>
              </w:numPr>
              <w:spacing w:before="0" w:line="240" w:lineRule="auto"/>
              <w:contextualSpacing w:val="0"/>
              <w:jc w:val="both"/>
              <w:rPr>
                <w:sz w:val="22"/>
                <w:szCs w:val="20"/>
                <w:lang w:val="ro-RO"/>
              </w:rPr>
            </w:pPr>
            <w:r w:rsidRPr="008C5F1C">
              <w:rPr>
                <w:sz w:val="22"/>
                <w:szCs w:val="20"/>
                <w:lang w:val="ro-RO"/>
              </w:rPr>
              <w:lastRenderedPageBreak/>
              <w:t>În domeniul CDI este o nevoie de o colaborare strânsă în interiorul ecosistemului de inovare pentru a dezvolta un produs sau serviciu nou și a-l poziționa cu succes pe piață și pentru a înțelege interdependența dintre actorii implicați.</w:t>
            </w:r>
          </w:p>
          <w:p w14:paraId="5372568D" w14:textId="5E616929" w:rsidR="002A1C1F" w:rsidRPr="008C5F1C" w:rsidRDefault="002A1C1F" w:rsidP="003D64F1">
            <w:pPr>
              <w:pStyle w:val="ListParagraph"/>
              <w:numPr>
                <w:ilvl w:val="0"/>
                <w:numId w:val="68"/>
              </w:numPr>
              <w:spacing w:before="0" w:line="240" w:lineRule="auto"/>
              <w:contextualSpacing w:val="0"/>
              <w:jc w:val="both"/>
              <w:rPr>
                <w:sz w:val="22"/>
                <w:szCs w:val="20"/>
                <w:lang w:val="ro-RO"/>
              </w:rPr>
            </w:pPr>
            <w:r w:rsidRPr="008C5F1C">
              <w:rPr>
                <w:sz w:val="22"/>
                <w:szCs w:val="20"/>
                <w:lang w:val="ro-RO"/>
              </w:rPr>
              <w:t xml:space="preserve">Organizațiile de CDI, atât publice, cât și private, au în continuare o capacitate financiară redusă. Astfel, este nevoie de o reanalizare a condițiilor de finanțare, care în trecut au constituit principalele bariere în crearea de parteneriate sustenabile. Un aspect critic rămâne problematica ajutorului de stat pentru promovarea TT, precum și nevoia de finanțare a proiectelor către toate etapele de transfer tehnologic. </w:t>
            </w:r>
          </w:p>
          <w:p w14:paraId="333B0CBF" w14:textId="3849A3D7" w:rsidR="002A1C1F" w:rsidRPr="008C5F1C" w:rsidRDefault="002A1C1F" w:rsidP="003D64F1">
            <w:pPr>
              <w:pStyle w:val="ListParagraph"/>
              <w:numPr>
                <w:ilvl w:val="0"/>
                <w:numId w:val="68"/>
              </w:numPr>
              <w:spacing w:before="0" w:line="240" w:lineRule="auto"/>
              <w:contextualSpacing w:val="0"/>
              <w:jc w:val="both"/>
              <w:rPr>
                <w:sz w:val="22"/>
                <w:szCs w:val="20"/>
                <w:lang w:val="ro-RO"/>
              </w:rPr>
            </w:pPr>
            <w:r w:rsidRPr="008C5F1C">
              <w:rPr>
                <w:sz w:val="22"/>
                <w:szCs w:val="20"/>
                <w:lang w:val="ro-RO"/>
              </w:rPr>
              <w:t xml:space="preserve">Sectorul IMM a devenit unul strategic, fiind recunoscută nevoia de a sprijini IMM-urile pentru a reduce marile diferențe de competitivitate economică în comparație cu media europeană. Investițiile trebuie centrate pe modernizare tehnologică, pentru a crește productivitatea muncii și reduce costurile de producție, alături de o reindustrializare bazată pe inovare </w:t>
            </w:r>
            <w:proofErr w:type="spellStart"/>
            <w:r w:rsidRPr="008C5F1C">
              <w:rPr>
                <w:sz w:val="22"/>
                <w:szCs w:val="20"/>
                <w:lang w:val="ro-RO"/>
              </w:rPr>
              <w:t>şi</w:t>
            </w:r>
            <w:proofErr w:type="spellEnd"/>
            <w:r w:rsidRPr="008C5F1C">
              <w:rPr>
                <w:sz w:val="22"/>
                <w:szCs w:val="20"/>
                <w:lang w:val="ro-RO"/>
              </w:rPr>
              <w:t xml:space="preserve"> specializare inteligentă. </w:t>
            </w:r>
          </w:p>
          <w:p w14:paraId="3113655F" w14:textId="227C31EF" w:rsidR="002A1C1F" w:rsidRPr="008C5F1C" w:rsidRDefault="002A1C1F" w:rsidP="003D64F1">
            <w:pPr>
              <w:pStyle w:val="ListParagraph"/>
              <w:numPr>
                <w:ilvl w:val="0"/>
                <w:numId w:val="68"/>
              </w:numPr>
              <w:spacing w:before="0" w:line="240" w:lineRule="auto"/>
              <w:contextualSpacing w:val="0"/>
              <w:jc w:val="both"/>
              <w:rPr>
                <w:sz w:val="22"/>
                <w:szCs w:val="20"/>
                <w:lang w:val="ro-RO"/>
              </w:rPr>
            </w:pPr>
            <w:r w:rsidRPr="008C5F1C">
              <w:rPr>
                <w:sz w:val="22"/>
                <w:szCs w:val="20"/>
                <w:lang w:val="ro-RO"/>
              </w:rPr>
              <w:t>Perioada anterioară de programare a arătat că măsurile pentru îmbunătățirea eficienței energetice a clădirilor publice au avut o cerere foarte mare, aceasta fiind și cea mai eficientă investiție din punctul de vedere al raportului cost/beneficiu pentru a realiza reduceri de CO2.</w:t>
            </w:r>
          </w:p>
          <w:p w14:paraId="5024B4C5" w14:textId="57D696BB" w:rsidR="002A1C1F" w:rsidRPr="008C5F1C" w:rsidRDefault="002A1C1F" w:rsidP="003D64F1">
            <w:pPr>
              <w:pStyle w:val="ListParagraph"/>
              <w:numPr>
                <w:ilvl w:val="0"/>
                <w:numId w:val="68"/>
              </w:numPr>
              <w:spacing w:before="0" w:line="240" w:lineRule="auto"/>
              <w:contextualSpacing w:val="0"/>
              <w:jc w:val="both"/>
              <w:rPr>
                <w:sz w:val="22"/>
                <w:szCs w:val="20"/>
                <w:lang w:val="ro-RO"/>
              </w:rPr>
            </w:pPr>
            <w:r w:rsidRPr="008C5F1C">
              <w:rPr>
                <w:sz w:val="22"/>
                <w:szCs w:val="20"/>
                <w:lang w:val="ro-RO"/>
              </w:rPr>
              <w:t>Intervențiile de revitalizare urbană au înregistrat un interes redus în perioada anterioară, cauzat de o serie de limitări ale criteriilor de eligibilitate (minimul suprafeței supusă intervenției, maximul suprafeței construite acceptate în cadrul intervenției, necesitatea existenței ”Registrului spațiilor verzi”).</w:t>
            </w:r>
          </w:p>
          <w:p w14:paraId="2B37B971" w14:textId="6034DA5D" w:rsidR="002A1C1F" w:rsidRPr="008C5F1C" w:rsidRDefault="002A1C1F" w:rsidP="003D64F1">
            <w:pPr>
              <w:pStyle w:val="ListParagraph"/>
              <w:numPr>
                <w:ilvl w:val="0"/>
                <w:numId w:val="68"/>
              </w:numPr>
              <w:spacing w:before="0" w:line="240" w:lineRule="auto"/>
              <w:contextualSpacing w:val="0"/>
              <w:jc w:val="both"/>
              <w:rPr>
                <w:sz w:val="22"/>
                <w:szCs w:val="20"/>
                <w:lang w:val="ro-RO"/>
              </w:rPr>
            </w:pPr>
            <w:r w:rsidRPr="008C5F1C">
              <w:rPr>
                <w:sz w:val="22"/>
                <w:szCs w:val="20"/>
                <w:lang w:val="ro-RO"/>
              </w:rPr>
              <w:t xml:space="preserve">În ceea ce privește mobilitatea urbană, s-a constatat un interes deosebit pentru investițiile în infrastructura rețelei de transport public și sisteme moderne de management al traficului, care au dovedit că pot contribui într-o foarte bună măsură la dezvoltarea urbană durabilă în România. Pe viitor însă, trebuie avută în vedere complexitatea proiectelor de acest tip, care necesită o perioadă lungă de timp pentru pregătire. </w:t>
            </w:r>
          </w:p>
          <w:p w14:paraId="4F248E24" w14:textId="060E998E" w:rsidR="002A1C1F" w:rsidRPr="008C5F1C" w:rsidRDefault="002A1C1F" w:rsidP="003D64F1">
            <w:pPr>
              <w:pStyle w:val="ListParagraph"/>
              <w:numPr>
                <w:ilvl w:val="0"/>
                <w:numId w:val="68"/>
              </w:numPr>
              <w:spacing w:before="0" w:line="240" w:lineRule="auto"/>
              <w:contextualSpacing w:val="0"/>
              <w:jc w:val="both"/>
              <w:rPr>
                <w:sz w:val="22"/>
                <w:szCs w:val="20"/>
                <w:lang w:val="ro-RO"/>
              </w:rPr>
            </w:pPr>
            <w:r w:rsidRPr="008C5F1C">
              <w:rPr>
                <w:sz w:val="22"/>
                <w:szCs w:val="20"/>
                <w:lang w:val="ro-RO"/>
              </w:rPr>
              <w:t xml:space="preserve">Referitor la infrastructura de transport, s-a constat că centurile ocolitoare au un rol esențial în reducerea congestiei din mediul urban și a efectelor negative de mediu generate de aceasta. </w:t>
            </w:r>
          </w:p>
          <w:p w14:paraId="486DE600" w14:textId="5BB185AC" w:rsidR="002A1C1F" w:rsidRPr="008C5F1C" w:rsidRDefault="002A1C1F" w:rsidP="003D64F1">
            <w:pPr>
              <w:pStyle w:val="ListParagraph"/>
              <w:numPr>
                <w:ilvl w:val="0"/>
                <w:numId w:val="68"/>
              </w:numPr>
              <w:spacing w:before="0" w:line="240" w:lineRule="auto"/>
              <w:contextualSpacing w:val="0"/>
              <w:jc w:val="both"/>
              <w:rPr>
                <w:sz w:val="22"/>
                <w:szCs w:val="20"/>
                <w:lang w:val="ro-RO"/>
              </w:rPr>
            </w:pPr>
            <w:r w:rsidRPr="008C5F1C">
              <w:rPr>
                <w:sz w:val="22"/>
                <w:szCs w:val="20"/>
                <w:lang w:val="ro-RO"/>
              </w:rPr>
              <w:t>În domeniul educației, o lecție învățată din perioada anterioară este c</w:t>
            </w:r>
            <w:r w:rsidR="00E06274" w:rsidRPr="008C5F1C">
              <w:rPr>
                <w:sz w:val="22"/>
                <w:szCs w:val="20"/>
                <w:lang w:val="ro-RO"/>
              </w:rPr>
              <w:t>ă</w:t>
            </w:r>
            <w:r w:rsidRPr="008C5F1C">
              <w:rPr>
                <w:sz w:val="22"/>
                <w:szCs w:val="20"/>
                <w:lang w:val="ro-RO"/>
              </w:rPr>
              <w:t xml:space="preserve"> investițiile în infrastructura educațională trebuie să fie complementare cu intervenții în domeniul angajării, formării, reducerii sărăciei sau infrastructurii de transport și privind utilitățile pentru a crea un impact cât mai mare. </w:t>
            </w:r>
          </w:p>
          <w:p w14:paraId="42056978" w14:textId="76309039" w:rsidR="00481CE8" w:rsidRPr="008C5F1C" w:rsidRDefault="002A1C1F" w:rsidP="003D64F1">
            <w:pPr>
              <w:pStyle w:val="ListParagraph"/>
              <w:numPr>
                <w:ilvl w:val="0"/>
                <w:numId w:val="68"/>
              </w:numPr>
              <w:spacing w:before="0" w:line="240" w:lineRule="auto"/>
              <w:contextualSpacing w:val="0"/>
              <w:jc w:val="both"/>
              <w:rPr>
                <w:lang w:val="ro-RO"/>
              </w:rPr>
            </w:pPr>
            <w:r w:rsidRPr="008C5F1C">
              <w:rPr>
                <w:sz w:val="22"/>
                <w:szCs w:val="20"/>
                <w:lang w:val="ro-RO"/>
              </w:rPr>
              <w:t>Intervențiile specifice reabilitării și conservării patrimoniu</w:t>
            </w:r>
            <w:r w:rsidR="0027052D" w:rsidRPr="008C5F1C">
              <w:rPr>
                <w:sz w:val="22"/>
                <w:szCs w:val="20"/>
                <w:lang w:val="ro-RO"/>
              </w:rPr>
              <w:t>lui</w:t>
            </w:r>
            <w:r w:rsidRPr="008C5F1C">
              <w:rPr>
                <w:sz w:val="22"/>
                <w:szCs w:val="20"/>
                <w:lang w:val="ro-RO"/>
              </w:rPr>
              <w:t xml:space="preserve"> au o probabilitate foarte ridicată de apariție a unor situații </w:t>
            </w:r>
            <w:r w:rsidR="0027052D" w:rsidRPr="008C5F1C">
              <w:rPr>
                <w:sz w:val="22"/>
                <w:szCs w:val="20"/>
                <w:lang w:val="ro-RO"/>
              </w:rPr>
              <w:t>care nu pot fi anticipate,</w:t>
            </w:r>
            <w:r w:rsidRPr="008C5F1C">
              <w:rPr>
                <w:sz w:val="22"/>
                <w:szCs w:val="20"/>
                <w:lang w:val="ro-RO"/>
              </w:rPr>
              <w:t xml:space="preserve"> în timpul lucrărilor fiind descoperite noi probleme care impun lucrări adiacente. </w:t>
            </w:r>
            <w:r w:rsidR="0027052D" w:rsidRPr="008C5F1C">
              <w:rPr>
                <w:sz w:val="22"/>
                <w:szCs w:val="20"/>
                <w:lang w:val="ro-RO"/>
              </w:rPr>
              <w:t xml:space="preserve">Se impune o anvelopă financiară mai largă sau </w:t>
            </w:r>
            <w:r w:rsidRPr="008C5F1C">
              <w:rPr>
                <w:sz w:val="22"/>
                <w:szCs w:val="20"/>
                <w:lang w:val="ro-RO"/>
              </w:rPr>
              <w:t xml:space="preserve">un grad de flexibilitate mai mare pentru cheltuieli neprevăzute. </w:t>
            </w:r>
          </w:p>
        </w:tc>
      </w:tr>
    </w:tbl>
    <w:p w14:paraId="32E75AB0" w14:textId="77777777" w:rsidR="00AD20FA" w:rsidRPr="008C5F1C" w:rsidRDefault="00AD20FA" w:rsidP="00AD20FA">
      <w:pPr>
        <w:spacing w:after="160" w:line="259" w:lineRule="auto"/>
        <w:rPr>
          <w:rFonts w:ascii="Times New Roman" w:eastAsia="Times New Roman" w:hAnsi="Times New Roman" w:cs="Times New Roman"/>
          <w:i/>
          <w:noProof/>
          <w:sz w:val="24"/>
          <w:szCs w:val="24"/>
        </w:rPr>
      </w:pPr>
    </w:p>
    <w:p w14:paraId="708EF284" w14:textId="77777777" w:rsidR="00653571" w:rsidRPr="008C5F1C" w:rsidRDefault="00653571" w:rsidP="00F24910">
      <w:pPr>
        <w:spacing w:after="160" w:line="259" w:lineRule="auto"/>
        <w:rPr>
          <w:rFonts w:ascii="Times New Roman" w:eastAsia="Times New Roman" w:hAnsi="Times New Roman" w:cs="Times New Roman"/>
          <w:i/>
          <w:noProof/>
          <w:sz w:val="24"/>
          <w:szCs w:val="24"/>
        </w:rPr>
      </w:pPr>
      <w:r w:rsidRPr="008C5F1C">
        <w:rPr>
          <w:rFonts w:ascii="Times New Roman" w:eastAsia="Times New Roman" w:hAnsi="Times New Roman" w:cs="Times New Roman"/>
          <w:i/>
          <w:noProof/>
          <w:sz w:val="24"/>
          <w:szCs w:val="24"/>
        </w:rPr>
        <w:t>For the Investment for Jobs and Growth goal:</w:t>
      </w:r>
    </w:p>
    <w:tbl>
      <w:tblPr>
        <w:tblW w:w="52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4"/>
        <w:gridCol w:w="2412"/>
        <w:gridCol w:w="6029"/>
      </w:tblGrid>
      <w:tr w:rsidR="00653571" w:rsidRPr="008C5F1C" w14:paraId="4B57D147" w14:textId="77777777" w:rsidTr="00D24C1F">
        <w:tc>
          <w:tcPr>
            <w:tcW w:w="5000" w:type="pct"/>
            <w:gridSpan w:val="3"/>
            <w:tcBorders>
              <w:top w:val="single" w:sz="4" w:space="0" w:color="auto"/>
              <w:left w:val="single" w:sz="4" w:space="0" w:color="auto"/>
              <w:bottom w:val="single" w:sz="4" w:space="0" w:color="auto"/>
              <w:right w:val="single" w:sz="4" w:space="0" w:color="auto"/>
            </w:tcBorders>
            <w:hideMark/>
          </w:tcPr>
          <w:p w14:paraId="36FAB754" w14:textId="77777777" w:rsidR="00653571" w:rsidRPr="008C5F1C" w:rsidRDefault="00653571" w:rsidP="00534127">
            <w:pPr>
              <w:spacing w:before="120" w:after="120"/>
              <w:rPr>
                <w:rFonts w:ascii="Times New Roman" w:eastAsia="Times New Roman" w:hAnsi="Times New Roman" w:cs="Times New Roman"/>
                <w:b/>
                <w:iCs/>
                <w:noProof/>
              </w:rPr>
            </w:pPr>
            <w:r w:rsidRPr="008C5F1C">
              <w:rPr>
                <w:rFonts w:ascii="Times New Roman" w:eastAsia="Times New Roman" w:hAnsi="Times New Roman" w:cs="Times New Roman"/>
                <w:b/>
                <w:iCs/>
                <w:noProof/>
              </w:rPr>
              <w:t>Table 1</w:t>
            </w:r>
          </w:p>
        </w:tc>
      </w:tr>
      <w:tr w:rsidR="00653571" w:rsidRPr="008C5F1C" w14:paraId="21086396" w14:textId="77777777" w:rsidTr="00F24910">
        <w:tc>
          <w:tcPr>
            <w:tcW w:w="811" w:type="pct"/>
            <w:tcBorders>
              <w:top w:val="single" w:sz="4" w:space="0" w:color="auto"/>
              <w:left w:val="single" w:sz="4" w:space="0" w:color="auto"/>
              <w:bottom w:val="single" w:sz="4" w:space="0" w:color="auto"/>
              <w:right w:val="single" w:sz="4" w:space="0" w:color="auto"/>
            </w:tcBorders>
            <w:hideMark/>
          </w:tcPr>
          <w:p w14:paraId="030480BD" w14:textId="77777777" w:rsidR="00653571" w:rsidRPr="008C5F1C" w:rsidRDefault="00653571" w:rsidP="00534127">
            <w:pPr>
              <w:spacing w:before="120" w:after="120"/>
              <w:rPr>
                <w:rFonts w:ascii="Times New Roman" w:eastAsia="Times New Roman" w:hAnsi="Times New Roman" w:cs="Times New Roman"/>
                <w:b/>
                <w:iCs/>
                <w:noProof/>
              </w:rPr>
            </w:pPr>
            <w:r w:rsidRPr="008C5F1C">
              <w:rPr>
                <w:rFonts w:ascii="Times New Roman" w:eastAsia="Times New Roman" w:hAnsi="Times New Roman" w:cs="Times New Roman"/>
                <w:b/>
                <w:iCs/>
                <w:noProof/>
              </w:rPr>
              <w:t>Policy objective</w:t>
            </w:r>
            <w:r w:rsidRPr="008C5F1C">
              <w:rPr>
                <w:rStyle w:val="FootnoteReference"/>
                <w:rFonts w:ascii="Times New Roman" w:eastAsia="Times New Roman" w:hAnsi="Times New Roman" w:cs="Times New Roman"/>
                <w:iCs/>
                <w:noProof/>
              </w:rPr>
              <w:footnoteReference w:id="25"/>
            </w:r>
            <w:r w:rsidRPr="008C5F1C">
              <w:rPr>
                <w:rFonts w:ascii="Times New Roman" w:eastAsia="Times New Roman" w:hAnsi="Times New Roman" w:cs="Times New Roman"/>
                <w:b/>
                <w:iCs/>
                <w:noProof/>
              </w:rPr>
              <w:t xml:space="preserve"> </w:t>
            </w:r>
          </w:p>
        </w:tc>
        <w:tc>
          <w:tcPr>
            <w:tcW w:w="1197" w:type="pct"/>
            <w:tcBorders>
              <w:top w:val="single" w:sz="4" w:space="0" w:color="auto"/>
              <w:left w:val="single" w:sz="4" w:space="0" w:color="auto"/>
              <w:bottom w:val="single" w:sz="4" w:space="0" w:color="auto"/>
              <w:right w:val="single" w:sz="4" w:space="0" w:color="auto"/>
            </w:tcBorders>
            <w:hideMark/>
          </w:tcPr>
          <w:p w14:paraId="5ECB945F" w14:textId="77777777" w:rsidR="00653571" w:rsidRPr="008C5F1C" w:rsidRDefault="00653571" w:rsidP="00534127">
            <w:pPr>
              <w:spacing w:before="120" w:after="120"/>
              <w:rPr>
                <w:rFonts w:ascii="Times New Roman" w:eastAsia="Times New Roman" w:hAnsi="Times New Roman" w:cs="Times New Roman"/>
                <w:b/>
                <w:iCs/>
                <w:noProof/>
              </w:rPr>
            </w:pPr>
            <w:r w:rsidRPr="008C5F1C">
              <w:rPr>
                <w:rFonts w:ascii="Times New Roman" w:eastAsia="Times New Roman" w:hAnsi="Times New Roman" w:cs="Times New Roman"/>
                <w:b/>
                <w:iCs/>
                <w:noProof/>
              </w:rPr>
              <w:t xml:space="preserve">Specific objective </w:t>
            </w:r>
          </w:p>
        </w:tc>
        <w:tc>
          <w:tcPr>
            <w:tcW w:w="2993" w:type="pct"/>
            <w:tcBorders>
              <w:top w:val="single" w:sz="4" w:space="0" w:color="auto"/>
              <w:left w:val="single" w:sz="4" w:space="0" w:color="auto"/>
              <w:bottom w:val="single" w:sz="4" w:space="0" w:color="auto"/>
              <w:right w:val="single" w:sz="4" w:space="0" w:color="auto"/>
            </w:tcBorders>
            <w:hideMark/>
          </w:tcPr>
          <w:p w14:paraId="4307E5D1" w14:textId="77777777" w:rsidR="00653571" w:rsidRPr="008C5F1C" w:rsidRDefault="00653571" w:rsidP="00534127">
            <w:pPr>
              <w:spacing w:before="120" w:after="120"/>
              <w:rPr>
                <w:rFonts w:ascii="Times New Roman" w:eastAsia="Times New Roman" w:hAnsi="Times New Roman" w:cs="Times New Roman"/>
                <w:b/>
                <w:iCs/>
                <w:noProof/>
              </w:rPr>
            </w:pPr>
            <w:r w:rsidRPr="008C5F1C">
              <w:rPr>
                <w:rFonts w:ascii="Times New Roman" w:eastAsia="Times New Roman" w:hAnsi="Times New Roman" w:cs="Times New Roman"/>
                <w:b/>
                <w:iCs/>
                <w:noProof/>
              </w:rPr>
              <w:t>Justification (summary)</w:t>
            </w:r>
          </w:p>
        </w:tc>
      </w:tr>
      <w:tr w:rsidR="00577A7C" w:rsidRPr="008C5F1C" w14:paraId="78C006C8" w14:textId="77777777" w:rsidTr="00F24910">
        <w:tc>
          <w:tcPr>
            <w:tcW w:w="811" w:type="pct"/>
            <w:vMerge w:val="restart"/>
            <w:tcBorders>
              <w:top w:val="single" w:sz="4" w:space="0" w:color="auto"/>
              <w:left w:val="single" w:sz="4" w:space="0" w:color="auto"/>
              <w:right w:val="single" w:sz="4" w:space="0" w:color="auto"/>
            </w:tcBorders>
          </w:tcPr>
          <w:p w14:paraId="59E1311B" w14:textId="77777777" w:rsidR="00577A7C" w:rsidRPr="008C5F1C" w:rsidRDefault="00577A7C" w:rsidP="00534127">
            <w:pPr>
              <w:spacing w:before="120" w:after="120"/>
              <w:rPr>
                <w:rFonts w:ascii="Times New Roman" w:hAnsi="Times New Roman" w:cs="Times New Roman"/>
                <w:b/>
                <w:bCs/>
              </w:rPr>
            </w:pPr>
            <w:bookmarkStart w:id="2" w:name="_Hlk39215385"/>
            <w:r w:rsidRPr="008C5F1C">
              <w:rPr>
                <w:rFonts w:ascii="Times New Roman" w:hAnsi="Times New Roman" w:cs="Times New Roman"/>
                <w:b/>
                <w:bCs/>
              </w:rPr>
              <w:t xml:space="preserve">OP1 „O </w:t>
            </w:r>
            <w:proofErr w:type="spellStart"/>
            <w:r w:rsidRPr="008C5F1C">
              <w:rPr>
                <w:rFonts w:ascii="Times New Roman" w:hAnsi="Times New Roman" w:cs="Times New Roman"/>
                <w:b/>
                <w:bCs/>
              </w:rPr>
              <w:t>Europ</w:t>
            </w:r>
            <w:r w:rsidR="00BA7827" w:rsidRPr="008C5F1C">
              <w:rPr>
                <w:rFonts w:ascii="Times New Roman" w:hAnsi="Times New Roman" w:cs="Times New Roman"/>
                <w:b/>
                <w:bCs/>
              </w:rPr>
              <w:t>ă</w:t>
            </w:r>
            <w:proofErr w:type="spellEnd"/>
            <w:r w:rsidRPr="008C5F1C">
              <w:rPr>
                <w:rFonts w:ascii="Times New Roman" w:hAnsi="Times New Roman" w:cs="Times New Roman"/>
                <w:b/>
                <w:bCs/>
              </w:rPr>
              <w:t xml:space="preserve"> mai inteligent</w:t>
            </w:r>
            <w:r w:rsidR="00BA7827" w:rsidRPr="008C5F1C">
              <w:rPr>
                <w:rFonts w:ascii="Times New Roman" w:hAnsi="Times New Roman" w:cs="Times New Roman"/>
                <w:b/>
                <w:bCs/>
              </w:rPr>
              <w:t>ă</w:t>
            </w:r>
            <w:r w:rsidRPr="008C5F1C">
              <w:rPr>
                <w:rFonts w:ascii="Times New Roman" w:hAnsi="Times New Roman" w:cs="Times New Roman"/>
                <w:b/>
                <w:bCs/>
              </w:rPr>
              <w:t xml:space="preserve">, prin promovarea unei </w:t>
            </w:r>
            <w:r w:rsidRPr="008C5F1C">
              <w:rPr>
                <w:rFonts w:ascii="Times New Roman" w:hAnsi="Times New Roman" w:cs="Times New Roman"/>
                <w:b/>
                <w:bCs/>
              </w:rPr>
              <w:lastRenderedPageBreak/>
              <w:t>transform</w:t>
            </w:r>
            <w:r w:rsidR="00BA7827" w:rsidRPr="008C5F1C">
              <w:rPr>
                <w:rFonts w:ascii="Times New Roman" w:hAnsi="Times New Roman" w:cs="Times New Roman"/>
                <w:b/>
                <w:bCs/>
              </w:rPr>
              <w:t>ă</w:t>
            </w:r>
            <w:r w:rsidRPr="008C5F1C">
              <w:rPr>
                <w:rFonts w:ascii="Times New Roman" w:hAnsi="Times New Roman" w:cs="Times New Roman"/>
                <w:b/>
                <w:bCs/>
              </w:rPr>
              <w:t xml:space="preserve">ri economice inovatoare </w:t>
            </w:r>
            <w:r w:rsidR="00106240" w:rsidRPr="008C5F1C">
              <w:rPr>
                <w:rFonts w:ascii="Times New Roman" w:hAnsi="Times New Roman" w:cs="Times New Roman"/>
                <w:b/>
                <w:bCs/>
              </w:rPr>
              <w:t>ș</w:t>
            </w:r>
            <w:r w:rsidRPr="008C5F1C">
              <w:rPr>
                <w:rFonts w:ascii="Times New Roman" w:hAnsi="Times New Roman" w:cs="Times New Roman"/>
                <w:b/>
                <w:bCs/>
              </w:rPr>
              <w:t>i inteligente”</w:t>
            </w:r>
            <w:r w:rsidRPr="008C5F1C" w:rsidDel="002F3C64">
              <w:rPr>
                <w:rFonts w:ascii="Times New Roman" w:hAnsi="Times New Roman" w:cs="Times New Roman"/>
                <w:b/>
                <w:bCs/>
              </w:rPr>
              <w:t xml:space="preserve"> </w:t>
            </w:r>
          </w:p>
        </w:tc>
        <w:tc>
          <w:tcPr>
            <w:tcW w:w="1197" w:type="pct"/>
          </w:tcPr>
          <w:p w14:paraId="2F25BAD1" w14:textId="77777777" w:rsidR="00577A7C" w:rsidRPr="008C5F1C" w:rsidRDefault="00577A7C" w:rsidP="00534127">
            <w:pPr>
              <w:spacing w:before="120" w:after="120"/>
              <w:rPr>
                <w:rFonts w:ascii="Times New Roman" w:eastAsia="Times New Roman" w:hAnsi="Times New Roman" w:cs="Times New Roman"/>
                <w:b/>
                <w:bCs/>
                <w:i/>
                <w:iCs/>
                <w:noProof/>
              </w:rPr>
            </w:pPr>
            <w:r w:rsidRPr="008C5F1C">
              <w:rPr>
                <w:rFonts w:ascii="Times New Roman" w:hAnsi="Times New Roman" w:cs="Times New Roman"/>
                <w:b/>
                <w:bCs/>
              </w:rPr>
              <w:lastRenderedPageBreak/>
              <w:t xml:space="preserve">a (i) </w:t>
            </w:r>
            <w:r w:rsidRPr="008C5F1C">
              <w:rPr>
                <w:rFonts w:ascii="Times New Roman" w:hAnsi="Times New Roman" w:cs="Times New Roman"/>
              </w:rPr>
              <w:t xml:space="preserve"> </w:t>
            </w:r>
            <w:r w:rsidRPr="008C5F1C">
              <w:rPr>
                <w:rFonts w:ascii="Times New Roman" w:hAnsi="Times New Roman" w:cs="Times New Roman"/>
                <w:b/>
                <w:bCs/>
              </w:rPr>
              <w:t>Dezvoltarea capacit</w:t>
            </w:r>
            <w:r w:rsidR="00BA7827" w:rsidRPr="008C5F1C">
              <w:rPr>
                <w:rFonts w:ascii="Times New Roman" w:hAnsi="Times New Roman" w:cs="Times New Roman"/>
                <w:b/>
                <w:bCs/>
              </w:rPr>
              <w:t>ă</w:t>
            </w:r>
            <w:r w:rsidR="00E22FF2" w:rsidRPr="008C5F1C">
              <w:rPr>
                <w:rFonts w:ascii="Times New Roman" w:hAnsi="Times New Roman" w:cs="Times New Roman"/>
                <w:b/>
                <w:bCs/>
              </w:rPr>
              <w:t>ț</w:t>
            </w:r>
            <w:r w:rsidRPr="008C5F1C">
              <w:rPr>
                <w:rFonts w:ascii="Times New Roman" w:hAnsi="Times New Roman" w:cs="Times New Roman"/>
                <w:b/>
                <w:bCs/>
              </w:rPr>
              <w:t xml:space="preserve">ilor de cercetare </w:t>
            </w:r>
            <w:r w:rsidR="00106240" w:rsidRPr="008C5F1C">
              <w:rPr>
                <w:rFonts w:ascii="Times New Roman" w:hAnsi="Times New Roman" w:cs="Times New Roman"/>
                <w:b/>
                <w:bCs/>
              </w:rPr>
              <w:t>ș</w:t>
            </w:r>
            <w:r w:rsidRPr="008C5F1C">
              <w:rPr>
                <w:rFonts w:ascii="Times New Roman" w:hAnsi="Times New Roman" w:cs="Times New Roman"/>
                <w:b/>
                <w:bCs/>
              </w:rPr>
              <w:t xml:space="preserve">i inovare </w:t>
            </w:r>
            <w:r w:rsidR="00106240" w:rsidRPr="008C5F1C">
              <w:rPr>
                <w:rFonts w:ascii="Times New Roman" w:hAnsi="Times New Roman" w:cs="Times New Roman"/>
                <w:b/>
                <w:bCs/>
              </w:rPr>
              <w:t>ș</w:t>
            </w:r>
            <w:r w:rsidRPr="008C5F1C">
              <w:rPr>
                <w:rFonts w:ascii="Times New Roman" w:hAnsi="Times New Roman" w:cs="Times New Roman"/>
                <w:b/>
                <w:bCs/>
              </w:rPr>
              <w:t>i adoptarea tehnologiilor avansate</w:t>
            </w:r>
          </w:p>
        </w:tc>
        <w:tc>
          <w:tcPr>
            <w:tcW w:w="2993" w:type="pct"/>
            <w:hideMark/>
          </w:tcPr>
          <w:p w14:paraId="557CADE1" w14:textId="665B84D6" w:rsidR="009461A2" w:rsidRPr="008C5F1C" w:rsidRDefault="003A6E58" w:rsidP="00742B97">
            <w:pPr>
              <w:spacing w:after="120" w:line="240" w:lineRule="auto"/>
              <w:contextualSpacing/>
              <w:jc w:val="both"/>
              <w:rPr>
                <w:rFonts w:ascii="Times New Roman" w:hAnsi="Times New Roman" w:cs="Times New Roman"/>
              </w:rPr>
            </w:pPr>
            <w:r w:rsidRPr="008C5F1C">
              <w:rPr>
                <w:rFonts w:ascii="Times New Roman" w:hAnsi="Times New Roman" w:cs="Times New Roman"/>
              </w:rPr>
              <w:t>Prin</w:t>
            </w:r>
            <w:r w:rsidR="00001432" w:rsidRPr="008C5F1C">
              <w:rPr>
                <w:rFonts w:ascii="Times New Roman" w:hAnsi="Times New Roman" w:cs="Times New Roman"/>
              </w:rPr>
              <w:t>cipalele provoc</w:t>
            </w:r>
            <w:r w:rsidR="00BA7827" w:rsidRPr="008C5F1C">
              <w:rPr>
                <w:rFonts w:ascii="Times New Roman" w:hAnsi="Times New Roman" w:cs="Times New Roman"/>
              </w:rPr>
              <w:t>ă</w:t>
            </w:r>
            <w:r w:rsidR="00001432" w:rsidRPr="008C5F1C">
              <w:rPr>
                <w:rFonts w:ascii="Times New Roman" w:hAnsi="Times New Roman" w:cs="Times New Roman"/>
              </w:rPr>
              <w:t>ri</w:t>
            </w:r>
            <w:r w:rsidRPr="008C5F1C">
              <w:rPr>
                <w:rFonts w:ascii="Times New Roman" w:hAnsi="Times New Roman" w:cs="Times New Roman"/>
              </w:rPr>
              <w:t xml:space="preserve"> </w:t>
            </w:r>
            <w:r w:rsidR="00001432" w:rsidRPr="008C5F1C">
              <w:rPr>
                <w:rFonts w:ascii="Times New Roman" w:hAnsi="Times New Roman" w:cs="Times New Roman"/>
              </w:rPr>
              <w:t>sunt legate de lipsa acut</w:t>
            </w:r>
            <w:r w:rsidR="00BA7827" w:rsidRPr="008C5F1C">
              <w:rPr>
                <w:rFonts w:ascii="Times New Roman" w:hAnsi="Times New Roman" w:cs="Times New Roman"/>
              </w:rPr>
              <w:t>ă</w:t>
            </w:r>
            <w:r w:rsidR="00001432" w:rsidRPr="008C5F1C">
              <w:rPr>
                <w:rFonts w:ascii="Times New Roman" w:hAnsi="Times New Roman" w:cs="Times New Roman"/>
              </w:rPr>
              <w:t xml:space="preserve"> a finan</w:t>
            </w:r>
            <w:r w:rsidR="00E22FF2" w:rsidRPr="008C5F1C">
              <w:rPr>
                <w:rFonts w:ascii="Times New Roman" w:hAnsi="Times New Roman" w:cs="Times New Roman"/>
              </w:rPr>
              <w:t>ț</w:t>
            </w:r>
            <w:r w:rsidR="00BA7827" w:rsidRPr="008C5F1C">
              <w:rPr>
                <w:rFonts w:ascii="Times New Roman" w:hAnsi="Times New Roman" w:cs="Times New Roman"/>
              </w:rPr>
              <w:t>ă</w:t>
            </w:r>
            <w:r w:rsidR="00001432" w:rsidRPr="008C5F1C">
              <w:rPr>
                <w:rFonts w:ascii="Times New Roman" w:hAnsi="Times New Roman" w:cs="Times New Roman"/>
              </w:rPr>
              <w:t xml:space="preserve">rii </w:t>
            </w:r>
            <w:r w:rsidRPr="008C5F1C">
              <w:rPr>
                <w:rFonts w:ascii="Times New Roman" w:hAnsi="Times New Roman" w:cs="Times New Roman"/>
              </w:rPr>
              <w:t xml:space="preserve">domeniul CDI </w:t>
            </w:r>
            <w:r w:rsidR="00106240" w:rsidRPr="008C5F1C">
              <w:rPr>
                <w:rFonts w:ascii="Times New Roman" w:hAnsi="Times New Roman" w:cs="Times New Roman"/>
              </w:rPr>
              <w:t>ș</w:t>
            </w:r>
            <w:r w:rsidR="00001432" w:rsidRPr="008C5F1C">
              <w:rPr>
                <w:rFonts w:ascii="Times New Roman" w:hAnsi="Times New Roman" w:cs="Times New Roman"/>
              </w:rPr>
              <w:t xml:space="preserve">i a resurselor umane, precum </w:t>
            </w:r>
            <w:r w:rsidR="00106240" w:rsidRPr="008C5F1C">
              <w:rPr>
                <w:rFonts w:ascii="Times New Roman" w:hAnsi="Times New Roman" w:cs="Times New Roman"/>
              </w:rPr>
              <w:t>ș</w:t>
            </w:r>
            <w:r w:rsidR="00001432" w:rsidRPr="008C5F1C">
              <w:rPr>
                <w:rFonts w:ascii="Times New Roman" w:hAnsi="Times New Roman" w:cs="Times New Roman"/>
              </w:rPr>
              <w:t>i de rezultatele slabe ale colabor</w:t>
            </w:r>
            <w:r w:rsidR="00BA7827" w:rsidRPr="008C5F1C">
              <w:rPr>
                <w:rFonts w:ascii="Times New Roman" w:hAnsi="Times New Roman" w:cs="Times New Roman"/>
              </w:rPr>
              <w:t>ă</w:t>
            </w:r>
            <w:r w:rsidR="00001432" w:rsidRPr="008C5F1C">
              <w:rPr>
                <w:rFonts w:ascii="Times New Roman" w:hAnsi="Times New Roman" w:cs="Times New Roman"/>
              </w:rPr>
              <w:t xml:space="preserve">rii dintre mediul de afaceri </w:t>
            </w:r>
            <w:r w:rsidR="00106240" w:rsidRPr="008C5F1C">
              <w:rPr>
                <w:rFonts w:ascii="Times New Roman" w:hAnsi="Times New Roman" w:cs="Times New Roman"/>
              </w:rPr>
              <w:t>ș</w:t>
            </w:r>
            <w:r w:rsidR="00001432" w:rsidRPr="008C5F1C">
              <w:rPr>
                <w:rFonts w:ascii="Times New Roman" w:hAnsi="Times New Roman" w:cs="Times New Roman"/>
              </w:rPr>
              <w:t>i cel de cercetare, inclusiv în ceea ce prive</w:t>
            </w:r>
            <w:r w:rsidR="00106240" w:rsidRPr="008C5F1C">
              <w:rPr>
                <w:rFonts w:ascii="Times New Roman" w:hAnsi="Times New Roman" w:cs="Times New Roman"/>
              </w:rPr>
              <w:t>ș</w:t>
            </w:r>
            <w:r w:rsidR="00001432" w:rsidRPr="008C5F1C">
              <w:rPr>
                <w:rFonts w:ascii="Times New Roman" w:hAnsi="Times New Roman" w:cs="Times New Roman"/>
              </w:rPr>
              <w:t xml:space="preserve">te inadecvarea infrastructurii de transfer tehnologic. </w:t>
            </w:r>
          </w:p>
          <w:p w14:paraId="2B27754B" w14:textId="77777777" w:rsidR="009461A2" w:rsidRPr="008C5F1C" w:rsidRDefault="009461A2" w:rsidP="00742B97">
            <w:pPr>
              <w:spacing w:after="120" w:line="240" w:lineRule="auto"/>
              <w:contextualSpacing/>
              <w:jc w:val="both"/>
              <w:rPr>
                <w:rFonts w:ascii="Times New Roman" w:hAnsi="Times New Roman" w:cs="Times New Roman"/>
              </w:rPr>
            </w:pPr>
            <w:r w:rsidRPr="008C5F1C">
              <w:rPr>
                <w:rFonts w:ascii="Times New Roman" w:hAnsi="Times New Roman" w:cs="Times New Roman"/>
              </w:rPr>
              <w:t>Potențialul de inovare al regiunii este ridicat, prin prisma infrastructurilor existente și a personalului</w:t>
            </w:r>
            <w:r w:rsidR="008260C8" w:rsidRPr="008C5F1C">
              <w:rPr>
                <w:rFonts w:ascii="Times New Roman" w:hAnsi="Times New Roman" w:cs="Times New Roman"/>
              </w:rPr>
              <w:t xml:space="preserve"> din activitatea de CDI. </w:t>
            </w:r>
            <w:r w:rsidRPr="008C5F1C">
              <w:rPr>
                <w:rFonts w:ascii="Times New Roman" w:hAnsi="Times New Roman" w:cs="Times New Roman"/>
              </w:rPr>
              <w:t xml:space="preserve">Oferta de servicii CDI este </w:t>
            </w:r>
            <w:r w:rsidR="000519A0" w:rsidRPr="008C5F1C">
              <w:rPr>
                <w:rFonts w:ascii="Times New Roman" w:hAnsi="Times New Roman" w:cs="Times New Roman"/>
              </w:rPr>
              <w:t>bogată,</w:t>
            </w:r>
            <w:r w:rsidRPr="008C5F1C">
              <w:rPr>
                <w:rFonts w:ascii="Times New Roman" w:hAnsi="Times New Roman" w:cs="Times New Roman"/>
              </w:rPr>
              <w:t xml:space="preserve"> dar  ecosistemul de inovare este </w:t>
            </w:r>
            <w:r w:rsidRPr="008C5F1C">
              <w:rPr>
                <w:rFonts w:ascii="Times New Roman" w:hAnsi="Times New Roman" w:cs="Times New Roman"/>
              </w:rPr>
              <w:lastRenderedPageBreak/>
              <w:t xml:space="preserve">lipsit de coerență, fiind vulnerabil în zona legăturii cu piața. Dezvoltarea infrastructurii de cercetare si preluarea rezultatelor </w:t>
            </w:r>
            <w:proofErr w:type="spellStart"/>
            <w:r w:rsidRPr="008C5F1C">
              <w:rPr>
                <w:rFonts w:ascii="Times New Roman" w:hAnsi="Times New Roman" w:cs="Times New Roman"/>
              </w:rPr>
              <w:t>cercetarii</w:t>
            </w:r>
            <w:proofErr w:type="spellEnd"/>
            <w:r w:rsidRPr="008C5F1C">
              <w:rPr>
                <w:rFonts w:ascii="Times New Roman" w:hAnsi="Times New Roman" w:cs="Times New Roman"/>
              </w:rPr>
              <w:t xml:space="preserve"> in  industrie sunt nevoi formulate de „consumatorii de inovare” din procesul de descoperire antreprenoriala.</w:t>
            </w:r>
          </w:p>
          <w:p w14:paraId="23CB8EF2" w14:textId="77777777" w:rsidR="00577A7C" w:rsidRPr="008C5F1C" w:rsidRDefault="00001432" w:rsidP="00742B97">
            <w:pPr>
              <w:spacing w:after="120" w:line="240" w:lineRule="auto"/>
              <w:contextualSpacing/>
              <w:jc w:val="both"/>
              <w:rPr>
                <w:rFonts w:ascii="Times New Roman" w:hAnsi="Times New Roman" w:cs="Times New Roman"/>
              </w:rPr>
            </w:pPr>
            <w:r w:rsidRPr="008C5F1C">
              <w:rPr>
                <w:rFonts w:ascii="Times New Roman" w:hAnsi="Times New Roman" w:cs="Times New Roman"/>
              </w:rPr>
              <w:t>Aceste aspecte conduc la o valorificare sub-optimal</w:t>
            </w:r>
            <w:r w:rsidR="00BA7827" w:rsidRPr="008C5F1C">
              <w:rPr>
                <w:rFonts w:ascii="Times New Roman" w:hAnsi="Times New Roman" w:cs="Times New Roman"/>
              </w:rPr>
              <w:t>ă</w:t>
            </w:r>
            <w:r w:rsidRPr="008C5F1C">
              <w:rPr>
                <w:rFonts w:ascii="Times New Roman" w:hAnsi="Times New Roman" w:cs="Times New Roman"/>
              </w:rPr>
              <w:t xml:space="preserve"> a poten</w:t>
            </w:r>
            <w:r w:rsidR="00E22FF2" w:rsidRPr="008C5F1C">
              <w:rPr>
                <w:rFonts w:ascii="Times New Roman" w:hAnsi="Times New Roman" w:cs="Times New Roman"/>
              </w:rPr>
              <w:t>ț</w:t>
            </w:r>
            <w:r w:rsidRPr="008C5F1C">
              <w:rPr>
                <w:rFonts w:ascii="Times New Roman" w:hAnsi="Times New Roman" w:cs="Times New Roman"/>
              </w:rPr>
              <w:t xml:space="preserve">ialului existent </w:t>
            </w:r>
            <w:r w:rsidR="00106240" w:rsidRPr="008C5F1C">
              <w:rPr>
                <w:rFonts w:ascii="Times New Roman" w:hAnsi="Times New Roman" w:cs="Times New Roman"/>
              </w:rPr>
              <w:t>ș</w:t>
            </w:r>
            <w:r w:rsidRPr="008C5F1C">
              <w:rPr>
                <w:rFonts w:ascii="Times New Roman" w:hAnsi="Times New Roman" w:cs="Times New Roman"/>
              </w:rPr>
              <w:t>i împiedic</w:t>
            </w:r>
            <w:r w:rsidR="00BA7827" w:rsidRPr="008C5F1C">
              <w:rPr>
                <w:rFonts w:ascii="Times New Roman" w:hAnsi="Times New Roman" w:cs="Times New Roman"/>
              </w:rPr>
              <w:t>ă</w:t>
            </w:r>
            <w:r w:rsidRPr="008C5F1C">
              <w:rPr>
                <w:rFonts w:ascii="Times New Roman" w:hAnsi="Times New Roman" w:cs="Times New Roman"/>
              </w:rPr>
              <w:t xml:space="preserve"> transformarea mai rapid</w:t>
            </w:r>
            <w:r w:rsidR="00BA7827" w:rsidRPr="008C5F1C">
              <w:rPr>
                <w:rFonts w:ascii="Times New Roman" w:hAnsi="Times New Roman" w:cs="Times New Roman"/>
              </w:rPr>
              <w:t>ă</w:t>
            </w:r>
            <w:r w:rsidRPr="008C5F1C">
              <w:rPr>
                <w:rFonts w:ascii="Times New Roman" w:hAnsi="Times New Roman" w:cs="Times New Roman"/>
              </w:rPr>
              <w:t xml:space="preserve"> a economiei regionale la condi</w:t>
            </w:r>
            <w:r w:rsidR="00E22FF2" w:rsidRPr="008C5F1C">
              <w:rPr>
                <w:rFonts w:ascii="Times New Roman" w:hAnsi="Times New Roman" w:cs="Times New Roman"/>
              </w:rPr>
              <w:t>ț</w:t>
            </w:r>
            <w:r w:rsidRPr="008C5F1C">
              <w:rPr>
                <w:rFonts w:ascii="Times New Roman" w:hAnsi="Times New Roman" w:cs="Times New Roman"/>
              </w:rPr>
              <w:t xml:space="preserve">iile </w:t>
            </w:r>
            <w:r w:rsidR="00106240" w:rsidRPr="008C5F1C">
              <w:rPr>
                <w:rFonts w:ascii="Times New Roman" w:hAnsi="Times New Roman" w:cs="Times New Roman"/>
              </w:rPr>
              <w:t>ș</w:t>
            </w:r>
            <w:r w:rsidRPr="008C5F1C">
              <w:rPr>
                <w:rFonts w:ascii="Times New Roman" w:hAnsi="Times New Roman" w:cs="Times New Roman"/>
              </w:rPr>
              <w:t>i contextul global.</w:t>
            </w:r>
            <w:r w:rsidR="003A6E58" w:rsidRPr="008C5F1C">
              <w:rPr>
                <w:rFonts w:ascii="Times New Roman" w:hAnsi="Times New Roman" w:cs="Times New Roman"/>
              </w:rPr>
              <w:t xml:space="preserve"> </w:t>
            </w:r>
            <w:r w:rsidR="008421BA" w:rsidRPr="008C5F1C">
              <w:rPr>
                <w:rFonts w:ascii="Times New Roman" w:hAnsi="Times New Roman" w:cs="Times New Roman"/>
              </w:rPr>
              <w:t>R</w:t>
            </w:r>
            <w:r w:rsidR="003A6E58" w:rsidRPr="008C5F1C">
              <w:rPr>
                <w:rFonts w:ascii="Times New Roman" w:hAnsi="Times New Roman" w:cs="Times New Roman"/>
              </w:rPr>
              <w:t>ezultatele activit</w:t>
            </w:r>
            <w:r w:rsidR="00BA7827" w:rsidRPr="008C5F1C">
              <w:rPr>
                <w:rFonts w:ascii="Times New Roman" w:hAnsi="Times New Roman" w:cs="Times New Roman"/>
              </w:rPr>
              <w:t>ă</w:t>
            </w:r>
            <w:r w:rsidR="00E22FF2" w:rsidRPr="008C5F1C">
              <w:rPr>
                <w:rFonts w:ascii="Times New Roman" w:hAnsi="Times New Roman" w:cs="Times New Roman"/>
              </w:rPr>
              <w:t>ț</w:t>
            </w:r>
            <w:r w:rsidR="003A6E58" w:rsidRPr="008C5F1C">
              <w:rPr>
                <w:rFonts w:ascii="Times New Roman" w:hAnsi="Times New Roman" w:cs="Times New Roman"/>
              </w:rPr>
              <w:t xml:space="preserve">ii de cercetare sunt modeste </w:t>
            </w:r>
            <w:r w:rsidR="00106240" w:rsidRPr="008C5F1C">
              <w:rPr>
                <w:rFonts w:ascii="Times New Roman" w:hAnsi="Times New Roman" w:cs="Times New Roman"/>
              </w:rPr>
              <w:t>ș</w:t>
            </w:r>
            <w:r w:rsidR="003A6E58" w:rsidRPr="008C5F1C">
              <w:rPr>
                <w:rFonts w:ascii="Times New Roman" w:hAnsi="Times New Roman" w:cs="Times New Roman"/>
              </w:rPr>
              <w:t xml:space="preserve">i nu sunt valorificate economic, atât din cauza infrastructurii insuficient dezvoltate, cât </w:t>
            </w:r>
            <w:r w:rsidR="00106240" w:rsidRPr="008C5F1C">
              <w:rPr>
                <w:rFonts w:ascii="Times New Roman" w:hAnsi="Times New Roman" w:cs="Times New Roman"/>
              </w:rPr>
              <w:t>ș</w:t>
            </w:r>
            <w:r w:rsidR="003A6E58" w:rsidRPr="008C5F1C">
              <w:rPr>
                <w:rFonts w:ascii="Times New Roman" w:hAnsi="Times New Roman" w:cs="Times New Roman"/>
              </w:rPr>
              <w:t xml:space="preserve">i a </w:t>
            </w:r>
            <w:r w:rsidR="00577A7C" w:rsidRPr="008C5F1C">
              <w:rPr>
                <w:rFonts w:ascii="Times New Roman" w:hAnsi="Times New Roman" w:cs="Times New Roman"/>
              </w:rPr>
              <w:t>fragment</w:t>
            </w:r>
            <w:r w:rsidR="00BA7827" w:rsidRPr="008C5F1C">
              <w:rPr>
                <w:rFonts w:ascii="Times New Roman" w:hAnsi="Times New Roman" w:cs="Times New Roman"/>
              </w:rPr>
              <w:t>ă</w:t>
            </w:r>
            <w:r w:rsidR="00577A7C" w:rsidRPr="008C5F1C">
              <w:rPr>
                <w:rFonts w:ascii="Times New Roman" w:hAnsi="Times New Roman" w:cs="Times New Roman"/>
              </w:rPr>
              <w:t>rii lan</w:t>
            </w:r>
            <w:r w:rsidR="00E22FF2" w:rsidRPr="008C5F1C">
              <w:rPr>
                <w:rFonts w:ascii="Times New Roman" w:hAnsi="Times New Roman" w:cs="Times New Roman"/>
              </w:rPr>
              <w:t>ț</w:t>
            </w:r>
            <w:r w:rsidR="00577A7C" w:rsidRPr="008C5F1C">
              <w:rPr>
                <w:rFonts w:ascii="Times New Roman" w:hAnsi="Times New Roman" w:cs="Times New Roman"/>
              </w:rPr>
              <w:t xml:space="preserve">ului de inovare </w:t>
            </w:r>
            <w:r w:rsidR="003A6E58" w:rsidRPr="008C5F1C">
              <w:rPr>
                <w:rFonts w:ascii="Times New Roman" w:hAnsi="Times New Roman" w:cs="Times New Roman"/>
              </w:rPr>
              <w:t xml:space="preserve">la nivel regional. </w:t>
            </w:r>
          </w:p>
          <w:p w14:paraId="5337A571" w14:textId="303A29C3" w:rsidR="008620F1" w:rsidRPr="008C5F1C" w:rsidRDefault="008620F1" w:rsidP="00742B97">
            <w:pPr>
              <w:spacing w:after="120" w:line="240" w:lineRule="auto"/>
              <w:contextualSpacing/>
              <w:jc w:val="both"/>
              <w:rPr>
                <w:rFonts w:ascii="Times New Roman" w:hAnsi="Times New Roman" w:cs="Times New Roman"/>
              </w:rPr>
            </w:pPr>
            <w:r w:rsidRPr="008C5F1C">
              <w:rPr>
                <w:rFonts w:ascii="Times New Roman" w:hAnsi="Times New Roman" w:cs="Times New Roman"/>
              </w:rPr>
              <w:t>Conform strategiilor regionale și naționale relevante</w:t>
            </w:r>
            <w:r w:rsidR="00271C48" w:rsidRPr="008C5F1C">
              <w:rPr>
                <w:rStyle w:val="FootnoteReference"/>
                <w:rFonts w:ascii="Times New Roman" w:hAnsi="Times New Roman" w:cs="Times New Roman"/>
              </w:rPr>
              <w:footnoteReference w:id="26"/>
            </w:r>
            <w:r w:rsidRPr="008C5F1C">
              <w:rPr>
                <w:rFonts w:ascii="Times New Roman" w:hAnsi="Times New Roman" w:cs="Times New Roman"/>
              </w:rPr>
              <w:t>, este necesară creșterea capacității de CDI și adaptarea serviciilor de transfer tehnologic la nevoile pieței, prin măsuri soft și dezvoltarea inteligentă a infrastructurilor, precum și reducerea fragmentării lanțului de inovare prin cooperare efectivă între actorii din ecosistemul de inovare de la nivel regional și prin sprijinirea colaborării cu entități la nivel național, european și internațional.</w:t>
            </w:r>
          </w:p>
          <w:p w14:paraId="18D2BD7D" w14:textId="579D8E2E" w:rsidR="008620F1" w:rsidRPr="008C5F1C" w:rsidRDefault="008620F1" w:rsidP="00742B97">
            <w:pPr>
              <w:spacing w:after="120" w:line="240" w:lineRule="auto"/>
              <w:contextualSpacing/>
              <w:jc w:val="both"/>
              <w:rPr>
                <w:rFonts w:ascii="Times New Roman" w:hAnsi="Times New Roman" w:cs="Times New Roman"/>
              </w:rPr>
            </w:pPr>
            <w:r w:rsidRPr="008C5F1C">
              <w:rPr>
                <w:rFonts w:ascii="Times New Roman" w:hAnsi="Times New Roman" w:cs="Times New Roman"/>
              </w:rPr>
              <w:t xml:space="preserve">De asemenea, sunt necesare investiții susținute pentru valorificarea potențialului de inovare de la nivelul regiunii, în condițiile în care finanțarea publică și privată în domeniu este deosebit de scăzută, legăturile din sistemul de cercetare, academic și mediul de afaceri nu sunt consolidate, iar rezultatele activității de cercetare sunt afectate negativ, doar o mică parte a acestora reușind să fie comercializate. </w:t>
            </w:r>
          </w:p>
          <w:p w14:paraId="67BC2B4A" w14:textId="77777777" w:rsidR="00526938" w:rsidRPr="008C5F1C" w:rsidRDefault="009746E2" w:rsidP="00742B97">
            <w:pPr>
              <w:spacing w:after="120" w:line="240" w:lineRule="auto"/>
              <w:ind w:right="77"/>
              <w:contextualSpacing/>
              <w:jc w:val="both"/>
              <w:rPr>
                <w:rFonts w:ascii="Times New Roman" w:hAnsi="Times New Roman" w:cs="Times New Roman"/>
              </w:rPr>
            </w:pPr>
            <w:r w:rsidRPr="008C5F1C">
              <w:rPr>
                <w:rFonts w:ascii="Times New Roman" w:hAnsi="Times New Roman" w:cs="Times New Roman"/>
                <w:b/>
                <w:bCs/>
              </w:rPr>
              <w:t xml:space="preserve">Rapoartele de </w:t>
            </w:r>
            <w:r w:rsidR="00E22FF2" w:rsidRPr="008C5F1C">
              <w:rPr>
                <w:rFonts w:ascii="Times New Roman" w:hAnsi="Times New Roman" w:cs="Times New Roman"/>
                <w:b/>
                <w:bCs/>
              </w:rPr>
              <w:t>ț</w:t>
            </w:r>
            <w:r w:rsidRPr="008C5F1C">
              <w:rPr>
                <w:rFonts w:ascii="Times New Roman" w:hAnsi="Times New Roman" w:cs="Times New Roman"/>
                <w:b/>
                <w:bCs/>
              </w:rPr>
              <w:t>ar</w:t>
            </w:r>
            <w:r w:rsidR="00BA7827" w:rsidRPr="008C5F1C">
              <w:rPr>
                <w:rFonts w:ascii="Times New Roman" w:hAnsi="Times New Roman" w:cs="Times New Roman"/>
                <w:b/>
                <w:bCs/>
              </w:rPr>
              <w:t>ă</w:t>
            </w:r>
            <w:r w:rsidRPr="008C5F1C">
              <w:rPr>
                <w:rFonts w:ascii="Times New Roman" w:hAnsi="Times New Roman" w:cs="Times New Roman"/>
                <w:b/>
                <w:bCs/>
              </w:rPr>
              <w:t xml:space="preserve"> emise în contextul Semestrului European</w:t>
            </w:r>
            <w:r w:rsidRPr="008C5F1C">
              <w:rPr>
                <w:rFonts w:ascii="Times New Roman" w:hAnsi="Times New Roman" w:cs="Times New Roman"/>
              </w:rPr>
              <w:t xml:space="preserve"> subliniaz</w:t>
            </w:r>
            <w:r w:rsidR="00BA7827" w:rsidRPr="008C5F1C">
              <w:rPr>
                <w:rFonts w:ascii="Times New Roman" w:hAnsi="Times New Roman" w:cs="Times New Roman"/>
              </w:rPr>
              <w:t>ă</w:t>
            </w:r>
            <w:r w:rsidRPr="008C5F1C">
              <w:rPr>
                <w:rFonts w:ascii="Times New Roman" w:hAnsi="Times New Roman" w:cs="Times New Roman"/>
              </w:rPr>
              <w:t xml:space="preserve"> necesitatea investi</w:t>
            </w:r>
            <w:r w:rsidR="00E22FF2" w:rsidRPr="008C5F1C">
              <w:rPr>
                <w:rFonts w:ascii="Times New Roman" w:hAnsi="Times New Roman" w:cs="Times New Roman"/>
              </w:rPr>
              <w:t>ț</w:t>
            </w:r>
            <w:r w:rsidRPr="008C5F1C">
              <w:rPr>
                <w:rFonts w:ascii="Times New Roman" w:hAnsi="Times New Roman" w:cs="Times New Roman"/>
              </w:rPr>
              <w:t xml:space="preserve">iilor CDI </w:t>
            </w:r>
            <w:r w:rsidR="007F1ABD" w:rsidRPr="008C5F1C">
              <w:rPr>
                <w:rFonts w:ascii="Times New Roman" w:hAnsi="Times New Roman" w:cs="Times New Roman"/>
              </w:rPr>
              <w:t xml:space="preserve">la nivel regional, </w:t>
            </w:r>
            <w:r w:rsidRPr="008C5F1C">
              <w:rPr>
                <w:rFonts w:ascii="Times New Roman" w:hAnsi="Times New Roman" w:cs="Times New Roman"/>
              </w:rPr>
              <w:t>pentru a putea sus</w:t>
            </w:r>
            <w:r w:rsidR="00E22FF2" w:rsidRPr="008C5F1C">
              <w:rPr>
                <w:rFonts w:ascii="Times New Roman" w:hAnsi="Times New Roman" w:cs="Times New Roman"/>
              </w:rPr>
              <w:t>ț</w:t>
            </w:r>
            <w:r w:rsidRPr="008C5F1C">
              <w:rPr>
                <w:rFonts w:ascii="Times New Roman" w:hAnsi="Times New Roman" w:cs="Times New Roman"/>
              </w:rPr>
              <w:t xml:space="preserve">ine integrarea actorilor CDI în organisme </w:t>
            </w:r>
            <w:r w:rsidR="00106240" w:rsidRPr="008C5F1C">
              <w:rPr>
                <w:rFonts w:ascii="Times New Roman" w:hAnsi="Times New Roman" w:cs="Times New Roman"/>
              </w:rPr>
              <w:t>ș</w:t>
            </w:r>
            <w:r w:rsidRPr="008C5F1C">
              <w:rPr>
                <w:rFonts w:ascii="Times New Roman" w:hAnsi="Times New Roman" w:cs="Times New Roman"/>
              </w:rPr>
              <w:t>i parteneriate europene sau interna</w:t>
            </w:r>
            <w:r w:rsidR="00E22FF2" w:rsidRPr="008C5F1C">
              <w:rPr>
                <w:rFonts w:ascii="Times New Roman" w:hAnsi="Times New Roman" w:cs="Times New Roman"/>
              </w:rPr>
              <w:t>ț</w:t>
            </w:r>
            <w:r w:rsidRPr="008C5F1C">
              <w:rPr>
                <w:rFonts w:ascii="Times New Roman" w:hAnsi="Times New Roman" w:cs="Times New Roman"/>
              </w:rPr>
              <w:t xml:space="preserve">ionale </w:t>
            </w:r>
            <w:r w:rsidR="00106240" w:rsidRPr="008C5F1C">
              <w:rPr>
                <w:rFonts w:ascii="Times New Roman" w:hAnsi="Times New Roman" w:cs="Times New Roman"/>
              </w:rPr>
              <w:t>ș</w:t>
            </w:r>
            <w:r w:rsidRPr="008C5F1C">
              <w:rPr>
                <w:rFonts w:ascii="Times New Roman" w:hAnsi="Times New Roman" w:cs="Times New Roman"/>
              </w:rPr>
              <w:t>i pentru a putea sus</w:t>
            </w:r>
            <w:r w:rsidR="00E22FF2" w:rsidRPr="008C5F1C">
              <w:rPr>
                <w:rFonts w:ascii="Times New Roman" w:hAnsi="Times New Roman" w:cs="Times New Roman"/>
              </w:rPr>
              <w:t>ț</w:t>
            </w:r>
            <w:r w:rsidRPr="008C5F1C">
              <w:rPr>
                <w:rFonts w:ascii="Times New Roman" w:hAnsi="Times New Roman" w:cs="Times New Roman"/>
              </w:rPr>
              <w:t xml:space="preserve">ine preluarea tehnologiilor avansate la nivelul regiunii. </w:t>
            </w:r>
          </w:p>
          <w:p w14:paraId="38D5AFA4" w14:textId="77777777" w:rsidR="00577A7C" w:rsidRPr="008C5F1C" w:rsidRDefault="00577A7C" w:rsidP="00742B97">
            <w:pPr>
              <w:spacing w:after="120" w:line="240" w:lineRule="auto"/>
              <w:ind w:right="77"/>
              <w:contextualSpacing/>
              <w:jc w:val="both"/>
              <w:rPr>
                <w:rFonts w:ascii="Times New Roman" w:hAnsi="Times New Roman" w:cs="Times New Roman"/>
              </w:rPr>
            </w:pPr>
          </w:p>
        </w:tc>
      </w:tr>
      <w:bookmarkEnd w:id="2"/>
      <w:tr w:rsidR="00577A7C" w:rsidRPr="008C5F1C" w14:paraId="53AB9F98" w14:textId="77777777" w:rsidTr="00F24910">
        <w:tc>
          <w:tcPr>
            <w:tcW w:w="811" w:type="pct"/>
            <w:vMerge/>
            <w:tcBorders>
              <w:left w:val="single" w:sz="4" w:space="0" w:color="auto"/>
              <w:right w:val="single" w:sz="4" w:space="0" w:color="auto"/>
            </w:tcBorders>
          </w:tcPr>
          <w:p w14:paraId="79D12F8C" w14:textId="77777777" w:rsidR="00577A7C" w:rsidRPr="008C5F1C" w:rsidRDefault="00577A7C" w:rsidP="00534127">
            <w:pPr>
              <w:spacing w:before="120" w:after="120"/>
              <w:rPr>
                <w:rFonts w:ascii="Times New Roman" w:eastAsia="Times New Roman" w:hAnsi="Times New Roman" w:cs="Times New Roman"/>
                <w:b/>
                <w:iCs/>
                <w:noProof/>
              </w:rPr>
            </w:pPr>
          </w:p>
        </w:tc>
        <w:tc>
          <w:tcPr>
            <w:tcW w:w="1197" w:type="pct"/>
            <w:tcBorders>
              <w:top w:val="single" w:sz="4" w:space="0" w:color="auto"/>
              <w:left w:val="single" w:sz="4" w:space="0" w:color="auto"/>
              <w:bottom w:val="single" w:sz="4" w:space="0" w:color="auto"/>
            </w:tcBorders>
          </w:tcPr>
          <w:p w14:paraId="691A08AA" w14:textId="77777777" w:rsidR="00577A7C" w:rsidRPr="008C5F1C" w:rsidRDefault="00577A7C" w:rsidP="00534127">
            <w:pPr>
              <w:spacing w:before="120" w:after="120"/>
              <w:rPr>
                <w:rFonts w:ascii="Times New Roman" w:hAnsi="Times New Roman" w:cs="Times New Roman"/>
                <w:b/>
                <w:bCs/>
              </w:rPr>
            </w:pPr>
            <w:r w:rsidRPr="008C5F1C">
              <w:rPr>
                <w:rFonts w:ascii="Times New Roman" w:hAnsi="Times New Roman" w:cs="Times New Roman"/>
                <w:b/>
                <w:bCs/>
              </w:rPr>
              <w:t>a (ii) Fructificarea avantajelor digitaliz</w:t>
            </w:r>
            <w:r w:rsidR="00BA7827" w:rsidRPr="008C5F1C">
              <w:rPr>
                <w:rFonts w:ascii="Times New Roman" w:hAnsi="Times New Roman" w:cs="Times New Roman"/>
                <w:b/>
                <w:bCs/>
              </w:rPr>
              <w:t>ă</w:t>
            </w:r>
            <w:r w:rsidRPr="008C5F1C">
              <w:rPr>
                <w:rFonts w:ascii="Times New Roman" w:hAnsi="Times New Roman" w:cs="Times New Roman"/>
                <w:b/>
                <w:bCs/>
              </w:rPr>
              <w:t>rii, în beneficiul cet</w:t>
            </w:r>
            <w:r w:rsidR="00BA7827" w:rsidRPr="008C5F1C">
              <w:rPr>
                <w:rFonts w:ascii="Times New Roman" w:hAnsi="Times New Roman" w:cs="Times New Roman"/>
                <w:b/>
                <w:bCs/>
              </w:rPr>
              <w:t>ă</w:t>
            </w:r>
            <w:r w:rsidR="00E22FF2" w:rsidRPr="008C5F1C">
              <w:rPr>
                <w:rFonts w:ascii="Times New Roman" w:hAnsi="Times New Roman" w:cs="Times New Roman"/>
                <w:b/>
                <w:bCs/>
              </w:rPr>
              <w:t>ț</w:t>
            </w:r>
            <w:r w:rsidRPr="008C5F1C">
              <w:rPr>
                <w:rFonts w:ascii="Times New Roman" w:hAnsi="Times New Roman" w:cs="Times New Roman"/>
                <w:b/>
                <w:bCs/>
              </w:rPr>
              <w:t xml:space="preserve">enilor, al companiilor </w:t>
            </w:r>
            <w:r w:rsidR="00106240" w:rsidRPr="008C5F1C">
              <w:rPr>
                <w:rFonts w:ascii="Times New Roman" w:hAnsi="Times New Roman" w:cs="Times New Roman"/>
                <w:b/>
                <w:bCs/>
              </w:rPr>
              <w:t>ș</w:t>
            </w:r>
            <w:r w:rsidRPr="008C5F1C">
              <w:rPr>
                <w:rFonts w:ascii="Times New Roman" w:hAnsi="Times New Roman" w:cs="Times New Roman"/>
                <w:b/>
                <w:bCs/>
              </w:rPr>
              <w:t xml:space="preserve">i al guvernelor </w:t>
            </w:r>
          </w:p>
        </w:tc>
        <w:tc>
          <w:tcPr>
            <w:tcW w:w="2993" w:type="pct"/>
            <w:tcBorders>
              <w:bottom w:val="single" w:sz="4" w:space="0" w:color="auto"/>
            </w:tcBorders>
          </w:tcPr>
          <w:p w14:paraId="26CB56DF" w14:textId="37A0DD9B" w:rsidR="002D4E23" w:rsidRPr="008C5F1C" w:rsidRDefault="002D4E23" w:rsidP="00742B97">
            <w:pPr>
              <w:spacing w:after="120" w:line="240" w:lineRule="auto"/>
              <w:ind w:right="72"/>
              <w:contextualSpacing/>
              <w:jc w:val="both"/>
              <w:rPr>
                <w:rFonts w:ascii="Times New Roman" w:hAnsi="Times New Roman" w:cs="Times New Roman"/>
              </w:rPr>
            </w:pPr>
            <w:r w:rsidRPr="008C5F1C">
              <w:rPr>
                <w:rFonts w:ascii="Times New Roman" w:hAnsi="Times New Roman" w:cs="Times New Roman"/>
              </w:rPr>
              <w:t>Principalele provoc</w:t>
            </w:r>
            <w:r w:rsidR="00BA7827" w:rsidRPr="008C5F1C">
              <w:rPr>
                <w:rFonts w:ascii="Times New Roman" w:hAnsi="Times New Roman" w:cs="Times New Roman"/>
              </w:rPr>
              <w:t>ă</w:t>
            </w:r>
            <w:r w:rsidRPr="008C5F1C">
              <w:rPr>
                <w:rFonts w:ascii="Times New Roman" w:hAnsi="Times New Roman" w:cs="Times New Roman"/>
              </w:rPr>
              <w:t>ri care justific</w:t>
            </w:r>
            <w:r w:rsidR="00BA7827" w:rsidRPr="008C5F1C">
              <w:rPr>
                <w:rFonts w:ascii="Times New Roman" w:hAnsi="Times New Roman" w:cs="Times New Roman"/>
              </w:rPr>
              <w:t>ă</w:t>
            </w:r>
            <w:r w:rsidRPr="008C5F1C">
              <w:rPr>
                <w:rFonts w:ascii="Times New Roman" w:hAnsi="Times New Roman" w:cs="Times New Roman"/>
              </w:rPr>
              <w:t xml:space="preserve"> </w:t>
            </w:r>
            <w:r w:rsidR="00176E64" w:rsidRPr="008C5F1C">
              <w:rPr>
                <w:rFonts w:ascii="Times New Roman" w:hAnsi="Times New Roman" w:cs="Times New Roman"/>
              </w:rPr>
              <w:t>selectarea acestui obiectiv specific</w:t>
            </w:r>
            <w:r w:rsidRPr="008C5F1C">
              <w:rPr>
                <w:rFonts w:ascii="Times New Roman" w:hAnsi="Times New Roman" w:cs="Times New Roman"/>
              </w:rPr>
              <w:t xml:space="preserve"> sunt legate de nivelul înc</w:t>
            </w:r>
            <w:r w:rsidR="00BA7827" w:rsidRPr="008C5F1C">
              <w:rPr>
                <w:rFonts w:ascii="Times New Roman" w:hAnsi="Times New Roman" w:cs="Times New Roman"/>
              </w:rPr>
              <w:t>ă</w:t>
            </w:r>
            <w:r w:rsidRPr="008C5F1C">
              <w:rPr>
                <w:rFonts w:ascii="Times New Roman" w:hAnsi="Times New Roman" w:cs="Times New Roman"/>
              </w:rPr>
              <w:t xml:space="preserve"> redus de </w:t>
            </w:r>
            <w:r w:rsidR="00271C48" w:rsidRPr="008C5F1C">
              <w:rPr>
                <w:rFonts w:ascii="Times New Roman" w:hAnsi="Times New Roman" w:cs="Times New Roman"/>
              </w:rPr>
              <w:t xml:space="preserve">diversificare și complexitate </w:t>
            </w:r>
            <w:r w:rsidRPr="008C5F1C">
              <w:rPr>
                <w:rFonts w:ascii="Times New Roman" w:hAnsi="Times New Roman" w:cs="Times New Roman"/>
              </w:rPr>
              <w:t>a serviciilor publice digitale oferite de ora</w:t>
            </w:r>
            <w:r w:rsidR="00106240" w:rsidRPr="008C5F1C">
              <w:rPr>
                <w:rFonts w:ascii="Times New Roman" w:hAnsi="Times New Roman" w:cs="Times New Roman"/>
              </w:rPr>
              <w:t>ș</w:t>
            </w:r>
            <w:r w:rsidRPr="008C5F1C">
              <w:rPr>
                <w:rFonts w:ascii="Times New Roman" w:hAnsi="Times New Roman" w:cs="Times New Roman"/>
              </w:rPr>
              <w:t>e.</w:t>
            </w:r>
            <w:r w:rsidR="00EF68C1" w:rsidRPr="008C5F1C">
              <w:rPr>
                <w:rFonts w:ascii="Times New Roman" w:hAnsi="Times New Roman" w:cs="Times New Roman"/>
              </w:rPr>
              <w:t xml:space="preserve"> </w:t>
            </w:r>
            <w:r w:rsidRPr="008C5F1C">
              <w:rPr>
                <w:rFonts w:ascii="Times New Roman" w:hAnsi="Times New Roman" w:cs="Times New Roman"/>
              </w:rPr>
              <w:t>De asemenea, gradul de digitizare a prim</w:t>
            </w:r>
            <w:r w:rsidR="00BA7827" w:rsidRPr="008C5F1C">
              <w:rPr>
                <w:rFonts w:ascii="Times New Roman" w:hAnsi="Times New Roman" w:cs="Times New Roman"/>
              </w:rPr>
              <w:t>ă</w:t>
            </w:r>
            <w:r w:rsidRPr="008C5F1C">
              <w:rPr>
                <w:rFonts w:ascii="Times New Roman" w:hAnsi="Times New Roman" w:cs="Times New Roman"/>
              </w:rPr>
              <w:t>riilor este înc</w:t>
            </w:r>
            <w:r w:rsidR="00BA7827" w:rsidRPr="008C5F1C">
              <w:rPr>
                <w:rFonts w:ascii="Times New Roman" w:hAnsi="Times New Roman" w:cs="Times New Roman"/>
              </w:rPr>
              <w:t>ă</w:t>
            </w:r>
            <w:r w:rsidRPr="008C5F1C">
              <w:rPr>
                <w:rFonts w:ascii="Times New Roman" w:hAnsi="Times New Roman" w:cs="Times New Roman"/>
              </w:rPr>
              <w:t xml:space="preserve"> foarte redus.</w:t>
            </w:r>
          </w:p>
          <w:p w14:paraId="61D07F2D" w14:textId="2431DF0A" w:rsidR="002D4E23" w:rsidRPr="008C5F1C" w:rsidRDefault="002D4E23" w:rsidP="00742B97">
            <w:pPr>
              <w:spacing w:after="120" w:line="240" w:lineRule="auto"/>
              <w:ind w:right="72"/>
              <w:contextualSpacing/>
              <w:jc w:val="both"/>
              <w:rPr>
                <w:rFonts w:ascii="Times New Roman" w:hAnsi="Times New Roman" w:cs="Times New Roman"/>
              </w:rPr>
            </w:pPr>
            <w:r w:rsidRPr="008C5F1C">
              <w:rPr>
                <w:rFonts w:ascii="Times New Roman" w:hAnsi="Times New Roman" w:cs="Times New Roman"/>
              </w:rPr>
              <w:t>În ciuda accesului facil la internet, competen</w:t>
            </w:r>
            <w:r w:rsidR="00E22FF2" w:rsidRPr="008C5F1C">
              <w:rPr>
                <w:rFonts w:ascii="Times New Roman" w:hAnsi="Times New Roman" w:cs="Times New Roman"/>
              </w:rPr>
              <w:t>ț</w:t>
            </w:r>
            <w:r w:rsidRPr="008C5F1C">
              <w:rPr>
                <w:rFonts w:ascii="Times New Roman" w:hAnsi="Times New Roman" w:cs="Times New Roman"/>
              </w:rPr>
              <w:t>ele digitale sc</w:t>
            </w:r>
            <w:r w:rsidR="00BA7827" w:rsidRPr="008C5F1C">
              <w:rPr>
                <w:rFonts w:ascii="Times New Roman" w:hAnsi="Times New Roman" w:cs="Times New Roman"/>
              </w:rPr>
              <w:t>ă</w:t>
            </w:r>
            <w:r w:rsidRPr="008C5F1C">
              <w:rPr>
                <w:rFonts w:ascii="Times New Roman" w:hAnsi="Times New Roman" w:cs="Times New Roman"/>
              </w:rPr>
              <w:t>zute conduc la o utilizare sub poten</w:t>
            </w:r>
            <w:r w:rsidR="00E22FF2" w:rsidRPr="008C5F1C">
              <w:rPr>
                <w:rFonts w:ascii="Times New Roman" w:hAnsi="Times New Roman" w:cs="Times New Roman"/>
              </w:rPr>
              <w:t>ț</w:t>
            </w:r>
            <w:r w:rsidRPr="008C5F1C">
              <w:rPr>
                <w:rFonts w:ascii="Times New Roman" w:hAnsi="Times New Roman" w:cs="Times New Roman"/>
              </w:rPr>
              <w:t>ial a oportunit</w:t>
            </w:r>
            <w:r w:rsidR="00BA7827" w:rsidRPr="008C5F1C">
              <w:rPr>
                <w:rFonts w:ascii="Times New Roman" w:hAnsi="Times New Roman" w:cs="Times New Roman"/>
              </w:rPr>
              <w:t>ă</w:t>
            </w:r>
            <w:r w:rsidR="00E22FF2" w:rsidRPr="008C5F1C">
              <w:rPr>
                <w:rFonts w:ascii="Times New Roman" w:hAnsi="Times New Roman" w:cs="Times New Roman"/>
              </w:rPr>
              <w:t>ț</w:t>
            </w:r>
            <w:r w:rsidRPr="008C5F1C">
              <w:rPr>
                <w:rFonts w:ascii="Times New Roman" w:hAnsi="Times New Roman" w:cs="Times New Roman"/>
              </w:rPr>
              <w:t>ilor digitaliz</w:t>
            </w:r>
            <w:r w:rsidR="00BA7827" w:rsidRPr="008C5F1C">
              <w:rPr>
                <w:rFonts w:ascii="Times New Roman" w:hAnsi="Times New Roman" w:cs="Times New Roman"/>
              </w:rPr>
              <w:t>ă</w:t>
            </w:r>
            <w:r w:rsidRPr="008C5F1C">
              <w:rPr>
                <w:rFonts w:ascii="Times New Roman" w:hAnsi="Times New Roman" w:cs="Times New Roman"/>
              </w:rPr>
              <w:t>rii, atât la nivelul cet</w:t>
            </w:r>
            <w:r w:rsidR="00BA7827" w:rsidRPr="008C5F1C">
              <w:rPr>
                <w:rFonts w:ascii="Times New Roman" w:hAnsi="Times New Roman" w:cs="Times New Roman"/>
              </w:rPr>
              <w:t>ă</w:t>
            </w:r>
            <w:r w:rsidR="00E22FF2" w:rsidRPr="008C5F1C">
              <w:rPr>
                <w:rFonts w:ascii="Times New Roman" w:hAnsi="Times New Roman" w:cs="Times New Roman"/>
              </w:rPr>
              <w:t>ț</w:t>
            </w:r>
            <w:r w:rsidRPr="008C5F1C">
              <w:rPr>
                <w:rFonts w:ascii="Times New Roman" w:hAnsi="Times New Roman" w:cs="Times New Roman"/>
              </w:rPr>
              <w:t xml:space="preserve">enilor, cât </w:t>
            </w:r>
            <w:r w:rsidR="00106240" w:rsidRPr="008C5F1C">
              <w:rPr>
                <w:rFonts w:ascii="Times New Roman" w:hAnsi="Times New Roman" w:cs="Times New Roman"/>
              </w:rPr>
              <w:t>ș</w:t>
            </w:r>
            <w:r w:rsidRPr="008C5F1C">
              <w:rPr>
                <w:rFonts w:ascii="Times New Roman" w:hAnsi="Times New Roman" w:cs="Times New Roman"/>
              </w:rPr>
              <w:t xml:space="preserve">i al firmelor </w:t>
            </w:r>
            <w:r w:rsidR="00106240" w:rsidRPr="008C5F1C">
              <w:rPr>
                <w:rFonts w:ascii="Times New Roman" w:hAnsi="Times New Roman" w:cs="Times New Roman"/>
              </w:rPr>
              <w:t>ș</w:t>
            </w:r>
            <w:r w:rsidRPr="008C5F1C">
              <w:rPr>
                <w:rFonts w:ascii="Times New Roman" w:hAnsi="Times New Roman" w:cs="Times New Roman"/>
              </w:rPr>
              <w:t>i administra</w:t>
            </w:r>
            <w:r w:rsidR="00E22FF2" w:rsidRPr="008C5F1C">
              <w:rPr>
                <w:rFonts w:ascii="Times New Roman" w:hAnsi="Times New Roman" w:cs="Times New Roman"/>
              </w:rPr>
              <w:t>ț</w:t>
            </w:r>
            <w:r w:rsidRPr="008C5F1C">
              <w:rPr>
                <w:rFonts w:ascii="Times New Roman" w:hAnsi="Times New Roman" w:cs="Times New Roman"/>
              </w:rPr>
              <w:t xml:space="preserve">iei. </w:t>
            </w:r>
          </w:p>
          <w:p w14:paraId="16ABDD35" w14:textId="38E33A06" w:rsidR="0023007A" w:rsidRPr="008C5F1C" w:rsidRDefault="008421BA" w:rsidP="00742B97">
            <w:pPr>
              <w:spacing w:after="120" w:line="240" w:lineRule="auto"/>
              <w:ind w:right="72"/>
              <w:contextualSpacing/>
              <w:jc w:val="both"/>
              <w:rPr>
                <w:rFonts w:ascii="Times New Roman" w:hAnsi="Times New Roman" w:cs="Times New Roman"/>
              </w:rPr>
            </w:pPr>
            <w:r w:rsidRPr="008C5F1C">
              <w:rPr>
                <w:rFonts w:ascii="Times New Roman" w:hAnsi="Times New Roman" w:cs="Times New Roman"/>
              </w:rPr>
              <w:t>Conform strategiilor regionale și naționale relevante</w:t>
            </w:r>
            <w:r w:rsidR="00271C48" w:rsidRPr="008C5F1C">
              <w:rPr>
                <w:rStyle w:val="FootnoteReference"/>
                <w:rFonts w:ascii="Times New Roman" w:hAnsi="Times New Roman" w:cs="Times New Roman"/>
              </w:rPr>
              <w:footnoteReference w:id="27"/>
            </w:r>
            <w:r w:rsidRPr="008C5F1C">
              <w:rPr>
                <w:rFonts w:ascii="Times New Roman" w:hAnsi="Times New Roman" w:cs="Times New Roman"/>
              </w:rPr>
              <w:t>, este necesară</w:t>
            </w:r>
            <w:r w:rsidR="00A94F12" w:rsidRPr="008C5F1C">
              <w:rPr>
                <w:rFonts w:ascii="Times New Roman" w:hAnsi="Times New Roman" w:cs="Times New Roman"/>
              </w:rPr>
              <w:t xml:space="preserve"> </w:t>
            </w:r>
            <w:r w:rsidR="0023007A" w:rsidRPr="008C5F1C">
              <w:rPr>
                <w:rFonts w:ascii="Times New Roman" w:hAnsi="Times New Roman" w:cs="Times New Roman"/>
              </w:rPr>
              <w:t xml:space="preserve">sprijinirea </w:t>
            </w:r>
            <w:r w:rsidR="00371301" w:rsidRPr="008C5F1C">
              <w:rPr>
                <w:rFonts w:ascii="Times New Roman" w:hAnsi="Times New Roman" w:cs="Times New Roman"/>
              </w:rPr>
              <w:t xml:space="preserve">administrației </w:t>
            </w:r>
            <w:r w:rsidR="0023007A" w:rsidRPr="008C5F1C">
              <w:rPr>
                <w:rFonts w:ascii="Times New Roman" w:hAnsi="Times New Roman" w:cs="Times New Roman"/>
              </w:rPr>
              <w:t xml:space="preserve">prin asigurarea accesului la noi  tehnologii, precum și dezvoltarea rețelei de orașe inteligente/ inovative cu scopul susținerii coeziunii teritoriale și a competitivității </w:t>
            </w:r>
            <w:r w:rsidR="0040333B" w:rsidRPr="008C5F1C">
              <w:rPr>
                <w:rFonts w:ascii="Times New Roman" w:hAnsi="Times New Roman" w:cs="Times New Roman"/>
              </w:rPr>
              <w:t>regiunii</w:t>
            </w:r>
            <w:r w:rsidR="0023007A" w:rsidRPr="008C5F1C">
              <w:rPr>
                <w:rFonts w:ascii="Times New Roman" w:hAnsi="Times New Roman" w:cs="Times New Roman"/>
              </w:rPr>
              <w:t xml:space="preserve">. </w:t>
            </w:r>
          </w:p>
          <w:p w14:paraId="5A51F765" w14:textId="77777777" w:rsidR="008421BA" w:rsidRPr="008C5F1C" w:rsidRDefault="0023007A" w:rsidP="00742B97">
            <w:pPr>
              <w:spacing w:after="120" w:line="240" w:lineRule="auto"/>
              <w:ind w:right="72"/>
              <w:contextualSpacing/>
              <w:jc w:val="both"/>
              <w:rPr>
                <w:rFonts w:ascii="Times New Roman" w:hAnsi="Times New Roman" w:cs="Times New Roman"/>
              </w:rPr>
            </w:pPr>
            <w:r w:rsidRPr="008C5F1C">
              <w:rPr>
                <w:rFonts w:ascii="Times New Roman" w:hAnsi="Times New Roman" w:cs="Times New Roman"/>
              </w:rPr>
              <w:t>Având în vedere nivelul redus de digitalizare la nivelul administrației, este nevoie de continuarea eforturilor în ceea ce privește facilitarea accesului cetățenilor la servicii publice on-line, în condițiile în care există disparități semnificative între județele din regiune. De asemenea, este necesară dezvoltarea unor canale de comunicare directe cu cetățenii, pentru facilitarea accesului acestora la date și informații și pentru încurajarea guvernanței participative la nivel regional și local.</w:t>
            </w:r>
          </w:p>
          <w:p w14:paraId="158CBFED" w14:textId="1546A272" w:rsidR="00941A04" w:rsidRPr="008C5F1C" w:rsidRDefault="00E52145" w:rsidP="00742B97">
            <w:pPr>
              <w:spacing w:after="120" w:line="240" w:lineRule="auto"/>
              <w:ind w:right="167"/>
              <w:contextualSpacing/>
              <w:jc w:val="both"/>
              <w:rPr>
                <w:rFonts w:ascii="Times New Roman" w:eastAsia="Times New Roman" w:hAnsi="Times New Roman" w:cs="Times New Roman"/>
                <w:iCs/>
                <w:noProof/>
              </w:rPr>
            </w:pPr>
            <w:r w:rsidRPr="008C5F1C">
              <w:rPr>
                <w:rFonts w:ascii="Times New Roman" w:hAnsi="Times New Roman" w:cs="Times New Roman"/>
                <w:b/>
                <w:bCs/>
              </w:rPr>
              <w:lastRenderedPageBreak/>
              <w:t xml:space="preserve">Rapoartele de </w:t>
            </w:r>
            <w:r w:rsidR="00E22FF2" w:rsidRPr="008C5F1C">
              <w:rPr>
                <w:rFonts w:ascii="Times New Roman" w:hAnsi="Times New Roman" w:cs="Times New Roman"/>
                <w:b/>
                <w:bCs/>
              </w:rPr>
              <w:t>ț</w:t>
            </w:r>
            <w:r w:rsidRPr="008C5F1C">
              <w:rPr>
                <w:rFonts w:ascii="Times New Roman" w:hAnsi="Times New Roman" w:cs="Times New Roman"/>
                <w:b/>
                <w:bCs/>
              </w:rPr>
              <w:t>ar</w:t>
            </w:r>
            <w:r w:rsidR="00BA7827" w:rsidRPr="008C5F1C">
              <w:rPr>
                <w:rFonts w:ascii="Times New Roman" w:hAnsi="Times New Roman" w:cs="Times New Roman"/>
                <w:b/>
                <w:bCs/>
              </w:rPr>
              <w:t>ă</w:t>
            </w:r>
            <w:r w:rsidRPr="008C5F1C">
              <w:rPr>
                <w:rFonts w:ascii="Times New Roman" w:hAnsi="Times New Roman" w:cs="Times New Roman"/>
                <w:b/>
                <w:bCs/>
              </w:rPr>
              <w:t xml:space="preserve"> emise în contextul Semestrului European </w:t>
            </w:r>
            <w:r w:rsidRPr="008C5F1C">
              <w:rPr>
                <w:rFonts w:ascii="Times New Roman" w:hAnsi="Times New Roman" w:cs="Times New Roman"/>
              </w:rPr>
              <w:t>subliniaz</w:t>
            </w:r>
            <w:r w:rsidR="00BA7827" w:rsidRPr="008C5F1C">
              <w:rPr>
                <w:rFonts w:ascii="Times New Roman" w:hAnsi="Times New Roman" w:cs="Times New Roman"/>
              </w:rPr>
              <w:t>ă</w:t>
            </w:r>
            <w:r w:rsidRPr="008C5F1C">
              <w:rPr>
                <w:rFonts w:ascii="Times New Roman" w:hAnsi="Times New Roman" w:cs="Times New Roman"/>
              </w:rPr>
              <w:t xml:space="preserve"> faptul c</w:t>
            </w:r>
            <w:r w:rsidR="00BA7827" w:rsidRPr="008C5F1C">
              <w:rPr>
                <w:rFonts w:ascii="Times New Roman" w:hAnsi="Times New Roman" w:cs="Times New Roman"/>
              </w:rPr>
              <w:t>ă</w:t>
            </w:r>
            <w:r w:rsidRPr="008C5F1C">
              <w:rPr>
                <w:rFonts w:ascii="Times New Roman" w:hAnsi="Times New Roman" w:cs="Times New Roman"/>
              </w:rPr>
              <w:t xml:space="preserve"> exist</w:t>
            </w:r>
            <w:r w:rsidR="00BA7827" w:rsidRPr="008C5F1C">
              <w:rPr>
                <w:rFonts w:ascii="Times New Roman" w:hAnsi="Times New Roman" w:cs="Times New Roman"/>
              </w:rPr>
              <w:t>ă</w:t>
            </w:r>
            <w:r w:rsidRPr="008C5F1C">
              <w:rPr>
                <w:rFonts w:ascii="Times New Roman" w:hAnsi="Times New Roman" w:cs="Times New Roman"/>
              </w:rPr>
              <w:t xml:space="preserve"> întârzieri în atingerea obiectivelor asumate în ceea ce prive</w:t>
            </w:r>
            <w:r w:rsidR="00106240" w:rsidRPr="008C5F1C">
              <w:rPr>
                <w:rFonts w:ascii="Times New Roman" w:hAnsi="Times New Roman" w:cs="Times New Roman"/>
              </w:rPr>
              <w:t>ș</w:t>
            </w:r>
            <w:r w:rsidRPr="008C5F1C">
              <w:rPr>
                <w:rFonts w:ascii="Times New Roman" w:hAnsi="Times New Roman" w:cs="Times New Roman"/>
              </w:rPr>
              <w:t>te digitalizarea economiei, atât în ceea ce prive</w:t>
            </w:r>
            <w:r w:rsidR="00106240" w:rsidRPr="008C5F1C">
              <w:rPr>
                <w:rFonts w:ascii="Times New Roman" w:hAnsi="Times New Roman" w:cs="Times New Roman"/>
              </w:rPr>
              <w:t>ș</w:t>
            </w:r>
            <w:r w:rsidRPr="008C5F1C">
              <w:rPr>
                <w:rFonts w:ascii="Times New Roman" w:hAnsi="Times New Roman" w:cs="Times New Roman"/>
              </w:rPr>
              <w:t xml:space="preserve">te mediul privat, cât </w:t>
            </w:r>
            <w:r w:rsidR="00106240" w:rsidRPr="008C5F1C">
              <w:rPr>
                <w:rFonts w:ascii="Times New Roman" w:hAnsi="Times New Roman" w:cs="Times New Roman"/>
              </w:rPr>
              <w:t>ș</w:t>
            </w:r>
            <w:r w:rsidRPr="008C5F1C">
              <w:rPr>
                <w:rFonts w:ascii="Times New Roman" w:hAnsi="Times New Roman" w:cs="Times New Roman"/>
              </w:rPr>
              <w:t>i administra</w:t>
            </w:r>
            <w:r w:rsidR="00E22FF2" w:rsidRPr="008C5F1C">
              <w:rPr>
                <w:rFonts w:ascii="Times New Roman" w:hAnsi="Times New Roman" w:cs="Times New Roman"/>
              </w:rPr>
              <w:t>ț</w:t>
            </w:r>
            <w:r w:rsidRPr="008C5F1C">
              <w:rPr>
                <w:rFonts w:ascii="Times New Roman" w:hAnsi="Times New Roman" w:cs="Times New Roman"/>
              </w:rPr>
              <w:t xml:space="preserve">ia, </w:t>
            </w:r>
            <w:r w:rsidR="00106240" w:rsidRPr="008C5F1C">
              <w:rPr>
                <w:rFonts w:ascii="Times New Roman" w:hAnsi="Times New Roman" w:cs="Times New Roman"/>
              </w:rPr>
              <w:t>ș</w:t>
            </w:r>
            <w:r w:rsidRPr="008C5F1C">
              <w:rPr>
                <w:rFonts w:ascii="Times New Roman" w:hAnsi="Times New Roman" w:cs="Times New Roman"/>
              </w:rPr>
              <w:t>i c</w:t>
            </w:r>
            <w:r w:rsidR="00BA7827" w:rsidRPr="008C5F1C">
              <w:rPr>
                <w:rFonts w:ascii="Times New Roman" w:hAnsi="Times New Roman" w:cs="Times New Roman"/>
              </w:rPr>
              <w:t>ă</w:t>
            </w:r>
            <w:r w:rsidRPr="008C5F1C">
              <w:rPr>
                <w:rFonts w:ascii="Times New Roman" w:hAnsi="Times New Roman" w:cs="Times New Roman"/>
              </w:rPr>
              <w:t xml:space="preserve"> exist</w:t>
            </w:r>
            <w:r w:rsidR="00BA7827" w:rsidRPr="008C5F1C">
              <w:rPr>
                <w:rFonts w:ascii="Times New Roman" w:hAnsi="Times New Roman" w:cs="Times New Roman"/>
              </w:rPr>
              <w:t>ă</w:t>
            </w:r>
            <w:r w:rsidRPr="008C5F1C">
              <w:rPr>
                <w:rFonts w:ascii="Times New Roman" w:hAnsi="Times New Roman" w:cs="Times New Roman"/>
              </w:rPr>
              <w:t xml:space="preserve"> atât poten</w:t>
            </w:r>
            <w:r w:rsidR="00E22FF2" w:rsidRPr="008C5F1C">
              <w:rPr>
                <w:rFonts w:ascii="Times New Roman" w:hAnsi="Times New Roman" w:cs="Times New Roman"/>
              </w:rPr>
              <w:t>ț</w:t>
            </w:r>
            <w:r w:rsidRPr="008C5F1C">
              <w:rPr>
                <w:rFonts w:ascii="Times New Roman" w:hAnsi="Times New Roman" w:cs="Times New Roman"/>
              </w:rPr>
              <w:t xml:space="preserve">ial, cât </w:t>
            </w:r>
            <w:r w:rsidR="00106240" w:rsidRPr="008C5F1C">
              <w:rPr>
                <w:rFonts w:ascii="Times New Roman" w:hAnsi="Times New Roman" w:cs="Times New Roman"/>
              </w:rPr>
              <w:t>ș</w:t>
            </w:r>
            <w:r w:rsidRPr="008C5F1C">
              <w:rPr>
                <w:rFonts w:ascii="Times New Roman" w:hAnsi="Times New Roman" w:cs="Times New Roman"/>
              </w:rPr>
              <w:t>i un interes major din partea pie</w:t>
            </w:r>
            <w:r w:rsidR="00E22FF2" w:rsidRPr="008C5F1C">
              <w:rPr>
                <w:rFonts w:ascii="Times New Roman" w:hAnsi="Times New Roman" w:cs="Times New Roman"/>
              </w:rPr>
              <w:t>ț</w:t>
            </w:r>
            <w:r w:rsidRPr="008C5F1C">
              <w:rPr>
                <w:rFonts w:ascii="Times New Roman" w:hAnsi="Times New Roman" w:cs="Times New Roman"/>
              </w:rPr>
              <w:t>ei pentru continuarea investi</w:t>
            </w:r>
            <w:r w:rsidR="00E22FF2" w:rsidRPr="008C5F1C">
              <w:rPr>
                <w:rFonts w:ascii="Times New Roman" w:hAnsi="Times New Roman" w:cs="Times New Roman"/>
              </w:rPr>
              <w:t>ț</w:t>
            </w:r>
            <w:r w:rsidRPr="008C5F1C">
              <w:rPr>
                <w:rFonts w:ascii="Times New Roman" w:hAnsi="Times New Roman" w:cs="Times New Roman"/>
              </w:rPr>
              <w:t>iilor în aceast</w:t>
            </w:r>
            <w:r w:rsidR="00BA7827" w:rsidRPr="008C5F1C">
              <w:rPr>
                <w:rFonts w:ascii="Times New Roman" w:hAnsi="Times New Roman" w:cs="Times New Roman"/>
              </w:rPr>
              <w:t>ă</w:t>
            </w:r>
            <w:r w:rsidRPr="008C5F1C">
              <w:rPr>
                <w:rFonts w:ascii="Times New Roman" w:hAnsi="Times New Roman" w:cs="Times New Roman"/>
              </w:rPr>
              <w:t xml:space="preserve"> direc</w:t>
            </w:r>
            <w:r w:rsidR="00E22FF2" w:rsidRPr="008C5F1C">
              <w:rPr>
                <w:rFonts w:ascii="Times New Roman" w:hAnsi="Times New Roman" w:cs="Times New Roman"/>
              </w:rPr>
              <w:t>ț</w:t>
            </w:r>
            <w:r w:rsidRPr="008C5F1C">
              <w:rPr>
                <w:rFonts w:ascii="Times New Roman" w:hAnsi="Times New Roman" w:cs="Times New Roman"/>
              </w:rPr>
              <w:t>ie. De asemenea, este eviden</w:t>
            </w:r>
            <w:r w:rsidR="00E22FF2" w:rsidRPr="008C5F1C">
              <w:rPr>
                <w:rFonts w:ascii="Times New Roman" w:hAnsi="Times New Roman" w:cs="Times New Roman"/>
              </w:rPr>
              <w:t>ț</w:t>
            </w:r>
            <w:r w:rsidRPr="008C5F1C">
              <w:rPr>
                <w:rFonts w:ascii="Times New Roman" w:hAnsi="Times New Roman" w:cs="Times New Roman"/>
              </w:rPr>
              <w:t>iat</w:t>
            </w:r>
            <w:r w:rsidR="00BA7827" w:rsidRPr="008C5F1C">
              <w:rPr>
                <w:rFonts w:ascii="Times New Roman" w:hAnsi="Times New Roman" w:cs="Times New Roman"/>
              </w:rPr>
              <w:t>ă</w:t>
            </w:r>
            <w:r w:rsidRPr="008C5F1C">
              <w:rPr>
                <w:rFonts w:ascii="Times New Roman" w:hAnsi="Times New Roman" w:cs="Times New Roman"/>
              </w:rPr>
              <w:t xml:space="preserve"> nevoia de continuare a investi</w:t>
            </w:r>
            <w:r w:rsidR="00E22FF2" w:rsidRPr="008C5F1C">
              <w:rPr>
                <w:rFonts w:ascii="Times New Roman" w:hAnsi="Times New Roman" w:cs="Times New Roman"/>
              </w:rPr>
              <w:t>ț</w:t>
            </w:r>
            <w:r w:rsidRPr="008C5F1C">
              <w:rPr>
                <w:rFonts w:ascii="Times New Roman" w:hAnsi="Times New Roman" w:cs="Times New Roman"/>
              </w:rPr>
              <w:t>iilor în domeniul securit</w:t>
            </w:r>
            <w:r w:rsidR="00BA7827" w:rsidRPr="008C5F1C">
              <w:rPr>
                <w:rFonts w:ascii="Times New Roman" w:hAnsi="Times New Roman" w:cs="Times New Roman"/>
              </w:rPr>
              <w:t>ă</w:t>
            </w:r>
            <w:r w:rsidR="00E22FF2" w:rsidRPr="008C5F1C">
              <w:rPr>
                <w:rFonts w:ascii="Times New Roman" w:hAnsi="Times New Roman" w:cs="Times New Roman"/>
              </w:rPr>
              <w:t>ț</w:t>
            </w:r>
            <w:r w:rsidRPr="008C5F1C">
              <w:rPr>
                <w:rFonts w:ascii="Times New Roman" w:hAnsi="Times New Roman" w:cs="Times New Roman"/>
              </w:rPr>
              <w:t xml:space="preserve">ii cibernetice. </w:t>
            </w:r>
          </w:p>
        </w:tc>
      </w:tr>
      <w:tr w:rsidR="00653571" w:rsidRPr="008C5F1C" w14:paraId="25517A50" w14:textId="77777777" w:rsidTr="00F24910">
        <w:tc>
          <w:tcPr>
            <w:tcW w:w="811" w:type="pct"/>
            <w:vMerge/>
            <w:tcBorders>
              <w:left w:val="single" w:sz="4" w:space="0" w:color="auto"/>
              <w:bottom w:val="single" w:sz="4" w:space="0" w:color="auto"/>
              <w:right w:val="single" w:sz="4" w:space="0" w:color="auto"/>
            </w:tcBorders>
          </w:tcPr>
          <w:p w14:paraId="7A166268" w14:textId="77777777" w:rsidR="00653571" w:rsidRPr="008C5F1C" w:rsidRDefault="00653571" w:rsidP="00534127">
            <w:pPr>
              <w:spacing w:before="120" w:after="120"/>
              <w:rPr>
                <w:rFonts w:ascii="Times New Roman" w:eastAsia="Times New Roman" w:hAnsi="Times New Roman" w:cs="Times New Roman"/>
                <w:b/>
                <w:iCs/>
                <w:noProof/>
              </w:rPr>
            </w:pPr>
          </w:p>
        </w:tc>
        <w:tc>
          <w:tcPr>
            <w:tcW w:w="1197" w:type="pct"/>
            <w:tcBorders>
              <w:top w:val="single" w:sz="4" w:space="0" w:color="auto"/>
              <w:left w:val="single" w:sz="4" w:space="0" w:color="auto"/>
              <w:bottom w:val="single" w:sz="4" w:space="0" w:color="auto"/>
              <w:right w:val="single" w:sz="4" w:space="0" w:color="auto"/>
            </w:tcBorders>
          </w:tcPr>
          <w:p w14:paraId="47CA27F7" w14:textId="77777777" w:rsidR="00653571" w:rsidRPr="008C5F1C" w:rsidRDefault="00653571" w:rsidP="00534127">
            <w:pPr>
              <w:spacing w:before="120" w:after="120"/>
              <w:rPr>
                <w:rFonts w:ascii="Times New Roman" w:eastAsia="Times New Roman" w:hAnsi="Times New Roman" w:cs="Times New Roman"/>
                <w:i/>
                <w:iCs/>
                <w:noProof/>
              </w:rPr>
            </w:pPr>
            <w:r w:rsidRPr="008C5F1C">
              <w:rPr>
                <w:rFonts w:ascii="Times New Roman" w:hAnsi="Times New Roman" w:cs="Times New Roman"/>
                <w:b/>
                <w:bCs/>
              </w:rPr>
              <w:t>a (iii) Impulsionarea cre</w:t>
            </w:r>
            <w:r w:rsidR="00106240" w:rsidRPr="008C5F1C">
              <w:rPr>
                <w:rFonts w:ascii="Times New Roman" w:hAnsi="Times New Roman" w:cs="Times New Roman"/>
                <w:b/>
                <w:bCs/>
              </w:rPr>
              <w:t>ș</w:t>
            </w:r>
            <w:r w:rsidRPr="008C5F1C">
              <w:rPr>
                <w:rFonts w:ascii="Times New Roman" w:hAnsi="Times New Roman" w:cs="Times New Roman"/>
                <w:b/>
                <w:bCs/>
              </w:rPr>
              <w:t xml:space="preserve">terii </w:t>
            </w:r>
            <w:r w:rsidR="00106240" w:rsidRPr="008C5F1C">
              <w:rPr>
                <w:rFonts w:ascii="Times New Roman" w:hAnsi="Times New Roman" w:cs="Times New Roman"/>
                <w:b/>
                <w:bCs/>
              </w:rPr>
              <w:t>ș</w:t>
            </w:r>
            <w:r w:rsidRPr="008C5F1C">
              <w:rPr>
                <w:rFonts w:ascii="Times New Roman" w:hAnsi="Times New Roman" w:cs="Times New Roman"/>
                <w:b/>
                <w:bCs/>
              </w:rPr>
              <w:t>i competitivit</w:t>
            </w:r>
            <w:r w:rsidR="00BA7827" w:rsidRPr="008C5F1C">
              <w:rPr>
                <w:rFonts w:ascii="Times New Roman" w:hAnsi="Times New Roman" w:cs="Times New Roman"/>
                <w:b/>
                <w:bCs/>
              </w:rPr>
              <w:t>ă</w:t>
            </w:r>
            <w:r w:rsidR="00E22FF2" w:rsidRPr="008C5F1C">
              <w:rPr>
                <w:rFonts w:ascii="Times New Roman" w:hAnsi="Times New Roman" w:cs="Times New Roman"/>
                <w:b/>
                <w:bCs/>
              </w:rPr>
              <w:t>ț</w:t>
            </w:r>
            <w:r w:rsidRPr="008C5F1C">
              <w:rPr>
                <w:rFonts w:ascii="Times New Roman" w:hAnsi="Times New Roman" w:cs="Times New Roman"/>
                <w:b/>
                <w:bCs/>
              </w:rPr>
              <w:t>ii IMM-urilor</w:t>
            </w:r>
          </w:p>
        </w:tc>
        <w:tc>
          <w:tcPr>
            <w:tcW w:w="2993" w:type="pct"/>
            <w:tcBorders>
              <w:top w:val="single" w:sz="4" w:space="0" w:color="auto"/>
              <w:left w:val="single" w:sz="4" w:space="0" w:color="auto"/>
              <w:bottom w:val="single" w:sz="4" w:space="0" w:color="auto"/>
              <w:right w:val="single" w:sz="4" w:space="0" w:color="auto"/>
            </w:tcBorders>
          </w:tcPr>
          <w:p w14:paraId="316C160F" w14:textId="77777777" w:rsidR="004F2A6D" w:rsidRPr="008C5F1C" w:rsidRDefault="00880269" w:rsidP="00742B97">
            <w:pPr>
              <w:spacing w:after="120" w:line="240" w:lineRule="auto"/>
              <w:ind w:right="72"/>
              <w:contextualSpacing/>
              <w:jc w:val="both"/>
              <w:rPr>
                <w:rFonts w:ascii="Times New Roman" w:hAnsi="Times New Roman" w:cs="Times New Roman"/>
              </w:rPr>
            </w:pPr>
            <w:r w:rsidRPr="008C5F1C">
              <w:rPr>
                <w:rFonts w:ascii="Times New Roman" w:hAnsi="Times New Roman" w:cs="Times New Roman"/>
              </w:rPr>
              <w:t>Principalele provoc</w:t>
            </w:r>
            <w:r w:rsidR="00BA7827" w:rsidRPr="008C5F1C">
              <w:rPr>
                <w:rFonts w:ascii="Times New Roman" w:hAnsi="Times New Roman" w:cs="Times New Roman"/>
              </w:rPr>
              <w:t>ă</w:t>
            </w:r>
            <w:r w:rsidRPr="008C5F1C">
              <w:rPr>
                <w:rFonts w:ascii="Times New Roman" w:hAnsi="Times New Roman" w:cs="Times New Roman"/>
              </w:rPr>
              <w:t>ri r</w:t>
            </w:r>
            <w:r w:rsidR="00BA7827" w:rsidRPr="008C5F1C">
              <w:rPr>
                <w:rFonts w:ascii="Times New Roman" w:hAnsi="Times New Roman" w:cs="Times New Roman"/>
              </w:rPr>
              <w:t>ă</w:t>
            </w:r>
            <w:r w:rsidRPr="008C5F1C">
              <w:rPr>
                <w:rFonts w:ascii="Times New Roman" w:hAnsi="Times New Roman" w:cs="Times New Roman"/>
              </w:rPr>
              <w:t>mân cele legate de densitatea sc</w:t>
            </w:r>
            <w:r w:rsidR="00BA7827" w:rsidRPr="008C5F1C">
              <w:rPr>
                <w:rFonts w:ascii="Times New Roman" w:hAnsi="Times New Roman" w:cs="Times New Roman"/>
              </w:rPr>
              <w:t>ă</w:t>
            </w:r>
            <w:r w:rsidRPr="008C5F1C">
              <w:rPr>
                <w:rFonts w:ascii="Times New Roman" w:hAnsi="Times New Roman" w:cs="Times New Roman"/>
              </w:rPr>
              <w:t>zut</w:t>
            </w:r>
            <w:r w:rsidR="00BA7827" w:rsidRPr="008C5F1C">
              <w:rPr>
                <w:rFonts w:ascii="Times New Roman" w:hAnsi="Times New Roman" w:cs="Times New Roman"/>
              </w:rPr>
              <w:t>ă</w:t>
            </w:r>
            <w:r w:rsidRPr="008C5F1C">
              <w:rPr>
                <w:rFonts w:ascii="Times New Roman" w:hAnsi="Times New Roman" w:cs="Times New Roman"/>
              </w:rPr>
              <w:t xml:space="preserve"> a IMM-urilor, de nivelul redus al productivit</w:t>
            </w:r>
            <w:r w:rsidR="00BA7827" w:rsidRPr="008C5F1C">
              <w:rPr>
                <w:rFonts w:ascii="Times New Roman" w:hAnsi="Times New Roman" w:cs="Times New Roman"/>
              </w:rPr>
              <w:t>ă</w:t>
            </w:r>
            <w:r w:rsidR="00E22FF2" w:rsidRPr="008C5F1C">
              <w:rPr>
                <w:rFonts w:ascii="Times New Roman" w:hAnsi="Times New Roman" w:cs="Times New Roman"/>
              </w:rPr>
              <w:t>ț</w:t>
            </w:r>
            <w:r w:rsidRPr="008C5F1C">
              <w:rPr>
                <w:rFonts w:ascii="Times New Roman" w:hAnsi="Times New Roman" w:cs="Times New Roman"/>
              </w:rPr>
              <w:t xml:space="preserve">ii </w:t>
            </w:r>
            <w:r w:rsidR="00106240" w:rsidRPr="008C5F1C">
              <w:rPr>
                <w:rFonts w:ascii="Times New Roman" w:hAnsi="Times New Roman" w:cs="Times New Roman"/>
              </w:rPr>
              <w:t>ș</w:t>
            </w:r>
            <w:r w:rsidRPr="008C5F1C">
              <w:rPr>
                <w:rFonts w:ascii="Times New Roman" w:hAnsi="Times New Roman" w:cs="Times New Roman"/>
              </w:rPr>
              <w:t>i prevalen</w:t>
            </w:r>
            <w:r w:rsidR="00E22FF2" w:rsidRPr="008C5F1C">
              <w:rPr>
                <w:rFonts w:ascii="Times New Roman" w:hAnsi="Times New Roman" w:cs="Times New Roman"/>
              </w:rPr>
              <w:t>ț</w:t>
            </w:r>
            <w:r w:rsidRPr="008C5F1C">
              <w:rPr>
                <w:rFonts w:ascii="Times New Roman" w:hAnsi="Times New Roman" w:cs="Times New Roman"/>
              </w:rPr>
              <w:t>a activit</w:t>
            </w:r>
            <w:r w:rsidR="00BA7827" w:rsidRPr="008C5F1C">
              <w:rPr>
                <w:rFonts w:ascii="Times New Roman" w:hAnsi="Times New Roman" w:cs="Times New Roman"/>
              </w:rPr>
              <w:t>ă</w:t>
            </w:r>
            <w:r w:rsidR="00E22FF2" w:rsidRPr="008C5F1C">
              <w:rPr>
                <w:rFonts w:ascii="Times New Roman" w:hAnsi="Times New Roman" w:cs="Times New Roman"/>
              </w:rPr>
              <w:t>ț</w:t>
            </w:r>
            <w:r w:rsidRPr="008C5F1C">
              <w:rPr>
                <w:rFonts w:ascii="Times New Roman" w:hAnsi="Times New Roman" w:cs="Times New Roman"/>
              </w:rPr>
              <w:t>ilor cu intensitate tehnologic</w:t>
            </w:r>
            <w:r w:rsidR="00BA7827" w:rsidRPr="008C5F1C">
              <w:rPr>
                <w:rFonts w:ascii="Times New Roman" w:hAnsi="Times New Roman" w:cs="Times New Roman"/>
              </w:rPr>
              <w:t>ă</w:t>
            </w:r>
            <w:r w:rsidRPr="008C5F1C">
              <w:rPr>
                <w:rFonts w:ascii="Times New Roman" w:hAnsi="Times New Roman" w:cs="Times New Roman"/>
              </w:rPr>
              <w:t xml:space="preserve"> sc</w:t>
            </w:r>
            <w:r w:rsidR="00BA7827" w:rsidRPr="008C5F1C">
              <w:rPr>
                <w:rFonts w:ascii="Times New Roman" w:hAnsi="Times New Roman" w:cs="Times New Roman"/>
              </w:rPr>
              <w:t>ă</w:t>
            </w:r>
            <w:r w:rsidRPr="008C5F1C">
              <w:rPr>
                <w:rFonts w:ascii="Times New Roman" w:hAnsi="Times New Roman" w:cs="Times New Roman"/>
              </w:rPr>
              <w:t>zut</w:t>
            </w:r>
            <w:r w:rsidR="00BA7827" w:rsidRPr="008C5F1C">
              <w:rPr>
                <w:rFonts w:ascii="Times New Roman" w:hAnsi="Times New Roman" w:cs="Times New Roman"/>
              </w:rPr>
              <w:t>ă</w:t>
            </w:r>
            <w:r w:rsidRPr="008C5F1C">
              <w:rPr>
                <w:rFonts w:ascii="Times New Roman" w:hAnsi="Times New Roman" w:cs="Times New Roman"/>
              </w:rPr>
              <w:t xml:space="preserve"> </w:t>
            </w:r>
            <w:r w:rsidR="00106240" w:rsidRPr="008C5F1C">
              <w:rPr>
                <w:rFonts w:ascii="Times New Roman" w:hAnsi="Times New Roman" w:cs="Times New Roman"/>
              </w:rPr>
              <w:t>ș</w:t>
            </w:r>
            <w:r w:rsidRPr="008C5F1C">
              <w:rPr>
                <w:rFonts w:ascii="Times New Roman" w:hAnsi="Times New Roman" w:cs="Times New Roman"/>
              </w:rPr>
              <w:t>i slab intensive în cunoa</w:t>
            </w:r>
            <w:r w:rsidR="00106240" w:rsidRPr="008C5F1C">
              <w:rPr>
                <w:rFonts w:ascii="Times New Roman" w:hAnsi="Times New Roman" w:cs="Times New Roman"/>
              </w:rPr>
              <w:t>ș</w:t>
            </w:r>
            <w:r w:rsidRPr="008C5F1C">
              <w:rPr>
                <w:rFonts w:ascii="Times New Roman" w:hAnsi="Times New Roman" w:cs="Times New Roman"/>
              </w:rPr>
              <w:t>tere, care determin</w:t>
            </w:r>
            <w:r w:rsidR="00BA7827" w:rsidRPr="008C5F1C">
              <w:rPr>
                <w:rFonts w:ascii="Times New Roman" w:hAnsi="Times New Roman" w:cs="Times New Roman"/>
              </w:rPr>
              <w:t>ă</w:t>
            </w:r>
            <w:r w:rsidRPr="008C5F1C">
              <w:rPr>
                <w:rFonts w:ascii="Times New Roman" w:hAnsi="Times New Roman" w:cs="Times New Roman"/>
              </w:rPr>
              <w:t xml:space="preserve"> riscuri ridicate în ceea ce prive</w:t>
            </w:r>
            <w:r w:rsidR="00106240" w:rsidRPr="008C5F1C">
              <w:rPr>
                <w:rFonts w:ascii="Times New Roman" w:hAnsi="Times New Roman" w:cs="Times New Roman"/>
              </w:rPr>
              <w:t>ș</w:t>
            </w:r>
            <w:r w:rsidRPr="008C5F1C">
              <w:rPr>
                <w:rFonts w:ascii="Times New Roman" w:hAnsi="Times New Roman" w:cs="Times New Roman"/>
              </w:rPr>
              <w:t>te rezilien</w:t>
            </w:r>
            <w:r w:rsidR="00E22FF2" w:rsidRPr="008C5F1C">
              <w:rPr>
                <w:rFonts w:ascii="Times New Roman" w:hAnsi="Times New Roman" w:cs="Times New Roman"/>
              </w:rPr>
              <w:t>ț</w:t>
            </w:r>
            <w:r w:rsidRPr="008C5F1C">
              <w:rPr>
                <w:rFonts w:ascii="Times New Roman" w:hAnsi="Times New Roman" w:cs="Times New Roman"/>
              </w:rPr>
              <w:t xml:space="preserve">a </w:t>
            </w:r>
            <w:r w:rsidR="00106240" w:rsidRPr="008C5F1C">
              <w:rPr>
                <w:rFonts w:ascii="Times New Roman" w:hAnsi="Times New Roman" w:cs="Times New Roman"/>
              </w:rPr>
              <w:t>ș</w:t>
            </w:r>
            <w:r w:rsidRPr="008C5F1C">
              <w:rPr>
                <w:rFonts w:ascii="Times New Roman" w:hAnsi="Times New Roman" w:cs="Times New Roman"/>
              </w:rPr>
              <w:t xml:space="preserve">i capacitatea de adaptare pe termen mediu </w:t>
            </w:r>
            <w:r w:rsidR="00106240" w:rsidRPr="008C5F1C">
              <w:rPr>
                <w:rFonts w:ascii="Times New Roman" w:hAnsi="Times New Roman" w:cs="Times New Roman"/>
              </w:rPr>
              <w:t>ș</w:t>
            </w:r>
            <w:r w:rsidRPr="008C5F1C">
              <w:rPr>
                <w:rFonts w:ascii="Times New Roman" w:hAnsi="Times New Roman" w:cs="Times New Roman"/>
              </w:rPr>
              <w:t xml:space="preserve">i lung. </w:t>
            </w:r>
          </w:p>
          <w:p w14:paraId="1A97036F" w14:textId="37862D7E" w:rsidR="00880269" w:rsidRPr="008C5F1C" w:rsidRDefault="00880269" w:rsidP="00742B97">
            <w:pPr>
              <w:spacing w:after="120" w:line="240" w:lineRule="auto"/>
              <w:ind w:right="72"/>
              <w:contextualSpacing/>
              <w:jc w:val="both"/>
              <w:rPr>
                <w:rFonts w:ascii="Times New Roman" w:hAnsi="Times New Roman" w:cs="Times New Roman"/>
              </w:rPr>
            </w:pPr>
            <w:r w:rsidRPr="008C5F1C">
              <w:rPr>
                <w:rFonts w:ascii="Times New Roman" w:hAnsi="Times New Roman" w:cs="Times New Roman"/>
              </w:rPr>
              <w:t>Acestea sunt accentuate de accesul dificil la resurse, în special for</w:t>
            </w:r>
            <w:r w:rsidR="00E22FF2" w:rsidRPr="008C5F1C">
              <w:rPr>
                <w:rFonts w:ascii="Times New Roman" w:hAnsi="Times New Roman" w:cs="Times New Roman"/>
              </w:rPr>
              <w:t>ț</w:t>
            </w:r>
            <w:r w:rsidR="00BA7827" w:rsidRPr="008C5F1C">
              <w:rPr>
                <w:rFonts w:ascii="Times New Roman" w:hAnsi="Times New Roman" w:cs="Times New Roman"/>
              </w:rPr>
              <w:t>ă</w:t>
            </w:r>
            <w:r w:rsidRPr="008C5F1C">
              <w:rPr>
                <w:rFonts w:ascii="Times New Roman" w:hAnsi="Times New Roman" w:cs="Times New Roman"/>
              </w:rPr>
              <w:t xml:space="preserve"> de munc</w:t>
            </w:r>
            <w:r w:rsidR="00BA7827" w:rsidRPr="008C5F1C">
              <w:rPr>
                <w:rFonts w:ascii="Times New Roman" w:hAnsi="Times New Roman" w:cs="Times New Roman"/>
              </w:rPr>
              <w:t>ă</w:t>
            </w:r>
            <w:r w:rsidRPr="008C5F1C">
              <w:rPr>
                <w:rFonts w:ascii="Times New Roman" w:hAnsi="Times New Roman" w:cs="Times New Roman"/>
              </w:rPr>
              <w:t>, care îngreuneaz</w:t>
            </w:r>
            <w:r w:rsidR="00BA7827" w:rsidRPr="008C5F1C">
              <w:rPr>
                <w:rFonts w:ascii="Times New Roman" w:hAnsi="Times New Roman" w:cs="Times New Roman"/>
              </w:rPr>
              <w:t>ă</w:t>
            </w:r>
            <w:r w:rsidRPr="008C5F1C">
              <w:rPr>
                <w:rFonts w:ascii="Times New Roman" w:hAnsi="Times New Roman" w:cs="Times New Roman"/>
              </w:rPr>
              <w:t xml:space="preserve"> eforturile de cre</w:t>
            </w:r>
            <w:r w:rsidR="00106240" w:rsidRPr="008C5F1C">
              <w:rPr>
                <w:rFonts w:ascii="Times New Roman" w:hAnsi="Times New Roman" w:cs="Times New Roman"/>
              </w:rPr>
              <w:t>ș</w:t>
            </w:r>
            <w:r w:rsidRPr="008C5F1C">
              <w:rPr>
                <w:rFonts w:ascii="Times New Roman" w:hAnsi="Times New Roman" w:cs="Times New Roman"/>
              </w:rPr>
              <w:t>tere a competitivit</w:t>
            </w:r>
            <w:r w:rsidR="00BA7827" w:rsidRPr="008C5F1C">
              <w:rPr>
                <w:rFonts w:ascii="Times New Roman" w:hAnsi="Times New Roman" w:cs="Times New Roman"/>
              </w:rPr>
              <w:t>ă</w:t>
            </w:r>
            <w:r w:rsidR="00E22FF2" w:rsidRPr="008C5F1C">
              <w:rPr>
                <w:rFonts w:ascii="Times New Roman" w:hAnsi="Times New Roman" w:cs="Times New Roman"/>
              </w:rPr>
              <w:t>ț</w:t>
            </w:r>
            <w:r w:rsidRPr="008C5F1C">
              <w:rPr>
                <w:rFonts w:ascii="Times New Roman" w:hAnsi="Times New Roman" w:cs="Times New Roman"/>
              </w:rPr>
              <w:t xml:space="preserve">ii </w:t>
            </w:r>
            <w:r w:rsidR="00106240" w:rsidRPr="008C5F1C">
              <w:rPr>
                <w:rFonts w:ascii="Times New Roman" w:hAnsi="Times New Roman" w:cs="Times New Roman"/>
              </w:rPr>
              <w:t>ș</w:t>
            </w:r>
            <w:r w:rsidRPr="008C5F1C">
              <w:rPr>
                <w:rFonts w:ascii="Times New Roman" w:hAnsi="Times New Roman" w:cs="Times New Roman"/>
              </w:rPr>
              <w:t>i valorificare a poten</w:t>
            </w:r>
            <w:r w:rsidR="00E22FF2" w:rsidRPr="008C5F1C">
              <w:rPr>
                <w:rFonts w:ascii="Times New Roman" w:hAnsi="Times New Roman" w:cs="Times New Roman"/>
              </w:rPr>
              <w:t>ț</w:t>
            </w:r>
            <w:r w:rsidRPr="008C5F1C">
              <w:rPr>
                <w:rFonts w:ascii="Times New Roman" w:hAnsi="Times New Roman" w:cs="Times New Roman"/>
              </w:rPr>
              <w:t>ialului existent.</w:t>
            </w:r>
            <w:r w:rsidR="00CF7734" w:rsidRPr="008C5F1C">
              <w:rPr>
                <w:rFonts w:ascii="Times New Roman" w:hAnsi="Times New Roman" w:cs="Times New Roman"/>
              </w:rPr>
              <w:t xml:space="preserve"> Lipsa de resurse împiedic</w:t>
            </w:r>
            <w:r w:rsidR="00BA7827" w:rsidRPr="008C5F1C">
              <w:rPr>
                <w:rFonts w:ascii="Times New Roman" w:hAnsi="Times New Roman" w:cs="Times New Roman"/>
              </w:rPr>
              <w:t>ă</w:t>
            </w:r>
            <w:r w:rsidR="00CF7734" w:rsidRPr="008C5F1C">
              <w:rPr>
                <w:rFonts w:ascii="Times New Roman" w:hAnsi="Times New Roman" w:cs="Times New Roman"/>
              </w:rPr>
              <w:t xml:space="preserve"> accesul la noi tehnologii. </w:t>
            </w:r>
          </w:p>
          <w:p w14:paraId="2E6B85D4" w14:textId="77777777" w:rsidR="00653571" w:rsidRPr="008C5F1C" w:rsidRDefault="004F2A6D" w:rsidP="00742B97">
            <w:pPr>
              <w:spacing w:after="120" w:line="240" w:lineRule="auto"/>
              <w:ind w:right="77"/>
              <w:contextualSpacing/>
              <w:jc w:val="both"/>
              <w:rPr>
                <w:rFonts w:ascii="Times New Roman" w:hAnsi="Times New Roman" w:cs="Times New Roman"/>
              </w:rPr>
            </w:pPr>
            <w:r w:rsidRPr="008C5F1C">
              <w:rPr>
                <w:rFonts w:ascii="Times New Roman" w:hAnsi="Times New Roman" w:cs="Times New Roman"/>
              </w:rPr>
              <w:t>Totodat</w:t>
            </w:r>
            <w:r w:rsidR="00BA7827" w:rsidRPr="008C5F1C">
              <w:rPr>
                <w:rFonts w:ascii="Times New Roman" w:hAnsi="Times New Roman" w:cs="Times New Roman"/>
              </w:rPr>
              <w:t>ă</w:t>
            </w:r>
            <w:r w:rsidRPr="008C5F1C">
              <w:rPr>
                <w:rFonts w:ascii="Times New Roman" w:hAnsi="Times New Roman" w:cs="Times New Roman"/>
              </w:rPr>
              <w:t xml:space="preserve">, </w:t>
            </w:r>
            <w:r w:rsidR="001B47ED" w:rsidRPr="008C5F1C">
              <w:rPr>
                <w:rFonts w:ascii="Times New Roman" w:hAnsi="Times New Roman" w:cs="Times New Roman"/>
              </w:rPr>
              <w:t>lan</w:t>
            </w:r>
            <w:r w:rsidR="00E22FF2" w:rsidRPr="008C5F1C">
              <w:rPr>
                <w:rFonts w:ascii="Times New Roman" w:hAnsi="Times New Roman" w:cs="Times New Roman"/>
              </w:rPr>
              <w:t>ț</w:t>
            </w:r>
            <w:r w:rsidR="001B47ED" w:rsidRPr="008C5F1C">
              <w:rPr>
                <w:rFonts w:ascii="Times New Roman" w:hAnsi="Times New Roman" w:cs="Times New Roman"/>
              </w:rPr>
              <w:t>uril</w:t>
            </w:r>
            <w:r w:rsidRPr="008C5F1C">
              <w:rPr>
                <w:rFonts w:ascii="Times New Roman" w:hAnsi="Times New Roman" w:cs="Times New Roman"/>
              </w:rPr>
              <w:t>e</w:t>
            </w:r>
            <w:r w:rsidR="001B47ED" w:rsidRPr="008C5F1C">
              <w:rPr>
                <w:rFonts w:ascii="Times New Roman" w:hAnsi="Times New Roman" w:cs="Times New Roman"/>
              </w:rPr>
              <w:t xml:space="preserve"> de valoare</w:t>
            </w:r>
            <w:r w:rsidRPr="008C5F1C">
              <w:rPr>
                <w:rFonts w:ascii="Times New Roman" w:hAnsi="Times New Roman" w:cs="Times New Roman"/>
              </w:rPr>
              <w:t xml:space="preserve"> sunt insuficient consolidate</w:t>
            </w:r>
            <w:r w:rsidR="001B47ED" w:rsidRPr="008C5F1C">
              <w:rPr>
                <w:rFonts w:ascii="Times New Roman" w:hAnsi="Times New Roman" w:cs="Times New Roman"/>
              </w:rPr>
              <w:t xml:space="preserve">, </w:t>
            </w:r>
            <w:r w:rsidRPr="008C5F1C">
              <w:rPr>
                <w:rFonts w:ascii="Times New Roman" w:hAnsi="Times New Roman" w:cs="Times New Roman"/>
              </w:rPr>
              <w:t>fiind necesar</w:t>
            </w:r>
            <w:r w:rsidR="00BA7827" w:rsidRPr="008C5F1C">
              <w:rPr>
                <w:rFonts w:ascii="Times New Roman" w:hAnsi="Times New Roman" w:cs="Times New Roman"/>
              </w:rPr>
              <w:t>ă</w:t>
            </w:r>
            <w:r w:rsidRPr="008C5F1C">
              <w:rPr>
                <w:rFonts w:ascii="Times New Roman" w:hAnsi="Times New Roman" w:cs="Times New Roman"/>
              </w:rPr>
              <w:t xml:space="preserve"> </w:t>
            </w:r>
            <w:r w:rsidR="001B47ED" w:rsidRPr="008C5F1C">
              <w:rPr>
                <w:rFonts w:ascii="Times New Roman" w:hAnsi="Times New Roman" w:cs="Times New Roman"/>
              </w:rPr>
              <w:t>cre</w:t>
            </w:r>
            <w:r w:rsidR="00106240" w:rsidRPr="008C5F1C">
              <w:rPr>
                <w:rFonts w:ascii="Times New Roman" w:hAnsi="Times New Roman" w:cs="Times New Roman"/>
              </w:rPr>
              <w:t>ș</w:t>
            </w:r>
            <w:r w:rsidR="001B47ED" w:rsidRPr="008C5F1C">
              <w:rPr>
                <w:rFonts w:ascii="Times New Roman" w:hAnsi="Times New Roman" w:cs="Times New Roman"/>
              </w:rPr>
              <w:t>terea num</w:t>
            </w:r>
            <w:r w:rsidR="00BA7827" w:rsidRPr="008C5F1C">
              <w:rPr>
                <w:rFonts w:ascii="Times New Roman" w:hAnsi="Times New Roman" w:cs="Times New Roman"/>
              </w:rPr>
              <w:t>ă</w:t>
            </w:r>
            <w:r w:rsidR="001B47ED" w:rsidRPr="008C5F1C">
              <w:rPr>
                <w:rFonts w:ascii="Times New Roman" w:hAnsi="Times New Roman" w:cs="Times New Roman"/>
              </w:rPr>
              <w:t>rului de verigi în economia na</w:t>
            </w:r>
            <w:r w:rsidR="00E22FF2" w:rsidRPr="008C5F1C">
              <w:rPr>
                <w:rFonts w:ascii="Times New Roman" w:hAnsi="Times New Roman" w:cs="Times New Roman"/>
              </w:rPr>
              <w:t>ț</w:t>
            </w:r>
            <w:r w:rsidR="001B47ED" w:rsidRPr="008C5F1C">
              <w:rPr>
                <w:rFonts w:ascii="Times New Roman" w:hAnsi="Times New Roman" w:cs="Times New Roman"/>
              </w:rPr>
              <w:t>ional</w:t>
            </w:r>
            <w:r w:rsidR="00BA7827" w:rsidRPr="008C5F1C">
              <w:rPr>
                <w:rFonts w:ascii="Times New Roman" w:hAnsi="Times New Roman" w:cs="Times New Roman"/>
              </w:rPr>
              <w:t>ă</w:t>
            </w:r>
            <w:r w:rsidR="001B47ED" w:rsidRPr="008C5F1C">
              <w:rPr>
                <w:rFonts w:ascii="Times New Roman" w:hAnsi="Times New Roman" w:cs="Times New Roman"/>
              </w:rPr>
              <w:t>, sus</w:t>
            </w:r>
            <w:r w:rsidR="00E22FF2" w:rsidRPr="008C5F1C">
              <w:rPr>
                <w:rFonts w:ascii="Times New Roman" w:hAnsi="Times New Roman" w:cs="Times New Roman"/>
              </w:rPr>
              <w:t>ț</w:t>
            </w:r>
            <w:r w:rsidR="001B47ED" w:rsidRPr="008C5F1C">
              <w:rPr>
                <w:rFonts w:ascii="Times New Roman" w:hAnsi="Times New Roman" w:cs="Times New Roman"/>
              </w:rPr>
              <w:t>inerea dezvolt</w:t>
            </w:r>
            <w:r w:rsidR="00BA7827" w:rsidRPr="008C5F1C">
              <w:rPr>
                <w:rFonts w:ascii="Times New Roman" w:hAnsi="Times New Roman" w:cs="Times New Roman"/>
              </w:rPr>
              <w:t>ă</w:t>
            </w:r>
            <w:r w:rsidR="001B47ED" w:rsidRPr="008C5F1C">
              <w:rPr>
                <w:rFonts w:ascii="Times New Roman" w:hAnsi="Times New Roman" w:cs="Times New Roman"/>
              </w:rPr>
              <w:t xml:space="preserve">rii de clustere inovative cu rol integrator </w:t>
            </w:r>
            <w:r w:rsidR="00106240" w:rsidRPr="008C5F1C">
              <w:rPr>
                <w:rFonts w:ascii="Times New Roman" w:hAnsi="Times New Roman" w:cs="Times New Roman"/>
              </w:rPr>
              <w:t>ș</w:t>
            </w:r>
            <w:r w:rsidR="001B47ED" w:rsidRPr="008C5F1C">
              <w:rPr>
                <w:rFonts w:ascii="Times New Roman" w:hAnsi="Times New Roman" w:cs="Times New Roman"/>
              </w:rPr>
              <w:t>i de stimulare a inov</w:t>
            </w:r>
            <w:r w:rsidR="00BA7827" w:rsidRPr="008C5F1C">
              <w:rPr>
                <w:rFonts w:ascii="Times New Roman" w:hAnsi="Times New Roman" w:cs="Times New Roman"/>
              </w:rPr>
              <w:t>ă</w:t>
            </w:r>
            <w:r w:rsidR="001B47ED" w:rsidRPr="008C5F1C">
              <w:rPr>
                <w:rFonts w:ascii="Times New Roman" w:hAnsi="Times New Roman" w:cs="Times New Roman"/>
              </w:rPr>
              <w:t>rii  bazat</w:t>
            </w:r>
            <w:r w:rsidR="00BA7827" w:rsidRPr="008C5F1C">
              <w:rPr>
                <w:rFonts w:ascii="Times New Roman" w:hAnsi="Times New Roman" w:cs="Times New Roman"/>
              </w:rPr>
              <w:t>ă</w:t>
            </w:r>
            <w:r w:rsidR="001B47ED" w:rsidRPr="008C5F1C">
              <w:rPr>
                <w:rFonts w:ascii="Times New Roman" w:hAnsi="Times New Roman" w:cs="Times New Roman"/>
              </w:rPr>
              <w:t xml:space="preserve"> pe cerere (</w:t>
            </w:r>
            <w:r w:rsidR="001B47ED" w:rsidRPr="008C5F1C">
              <w:rPr>
                <w:rFonts w:ascii="Times New Roman" w:hAnsi="Times New Roman" w:cs="Times New Roman"/>
                <w:i/>
                <w:iCs/>
              </w:rPr>
              <w:t xml:space="preserve">business </w:t>
            </w:r>
            <w:proofErr w:type="spellStart"/>
            <w:r w:rsidR="001B47ED" w:rsidRPr="008C5F1C">
              <w:rPr>
                <w:rFonts w:ascii="Times New Roman" w:hAnsi="Times New Roman" w:cs="Times New Roman"/>
                <w:i/>
                <w:iCs/>
              </w:rPr>
              <w:t>driven</w:t>
            </w:r>
            <w:proofErr w:type="spellEnd"/>
            <w:r w:rsidR="001B47ED" w:rsidRPr="008C5F1C">
              <w:rPr>
                <w:rFonts w:ascii="Times New Roman" w:hAnsi="Times New Roman" w:cs="Times New Roman"/>
                <w:i/>
                <w:iCs/>
              </w:rPr>
              <w:t xml:space="preserve"> </w:t>
            </w:r>
            <w:proofErr w:type="spellStart"/>
            <w:r w:rsidR="001B47ED" w:rsidRPr="008C5F1C">
              <w:rPr>
                <w:rFonts w:ascii="Times New Roman" w:hAnsi="Times New Roman" w:cs="Times New Roman"/>
                <w:i/>
                <w:iCs/>
              </w:rPr>
              <w:t>innovat</w:t>
            </w:r>
            <w:r w:rsidR="001B47ED" w:rsidRPr="008C5F1C">
              <w:rPr>
                <w:rFonts w:ascii="Times New Roman" w:hAnsi="Times New Roman" w:cs="Times New Roman"/>
              </w:rPr>
              <w:t>ion</w:t>
            </w:r>
            <w:proofErr w:type="spellEnd"/>
            <w:r w:rsidR="001B47ED" w:rsidRPr="008C5F1C">
              <w:rPr>
                <w:rFonts w:ascii="Times New Roman" w:hAnsi="Times New Roman" w:cs="Times New Roman"/>
              </w:rPr>
              <w:t>), prin canalizarea investi</w:t>
            </w:r>
            <w:r w:rsidR="00E22FF2" w:rsidRPr="008C5F1C">
              <w:rPr>
                <w:rFonts w:ascii="Times New Roman" w:hAnsi="Times New Roman" w:cs="Times New Roman"/>
              </w:rPr>
              <w:t>ț</w:t>
            </w:r>
            <w:r w:rsidR="001B47ED" w:rsidRPr="008C5F1C">
              <w:rPr>
                <w:rFonts w:ascii="Times New Roman" w:hAnsi="Times New Roman" w:cs="Times New Roman"/>
              </w:rPr>
              <w:t>iilor c</w:t>
            </w:r>
            <w:r w:rsidR="00BA7827" w:rsidRPr="008C5F1C">
              <w:rPr>
                <w:rFonts w:ascii="Times New Roman" w:hAnsi="Times New Roman" w:cs="Times New Roman"/>
              </w:rPr>
              <w:t>ă</w:t>
            </w:r>
            <w:r w:rsidR="001B47ED" w:rsidRPr="008C5F1C">
              <w:rPr>
                <w:rFonts w:ascii="Times New Roman" w:hAnsi="Times New Roman" w:cs="Times New Roman"/>
              </w:rPr>
              <w:t>tre sectoare cu intensitate tehnologic</w:t>
            </w:r>
            <w:r w:rsidR="00BA7827" w:rsidRPr="008C5F1C">
              <w:rPr>
                <w:rFonts w:ascii="Times New Roman" w:hAnsi="Times New Roman" w:cs="Times New Roman"/>
              </w:rPr>
              <w:t>ă</w:t>
            </w:r>
            <w:r w:rsidR="001B47ED" w:rsidRPr="008C5F1C">
              <w:rPr>
                <w:rFonts w:ascii="Times New Roman" w:hAnsi="Times New Roman" w:cs="Times New Roman"/>
              </w:rPr>
              <w:t xml:space="preserve"> ridicat</w:t>
            </w:r>
            <w:r w:rsidR="00BA7827" w:rsidRPr="008C5F1C">
              <w:rPr>
                <w:rFonts w:ascii="Times New Roman" w:hAnsi="Times New Roman" w:cs="Times New Roman"/>
              </w:rPr>
              <w:t>ă</w:t>
            </w:r>
            <w:r w:rsidR="001B47ED" w:rsidRPr="008C5F1C">
              <w:rPr>
                <w:rFonts w:ascii="Times New Roman" w:hAnsi="Times New Roman" w:cs="Times New Roman"/>
              </w:rPr>
              <w:t>.</w:t>
            </w:r>
          </w:p>
          <w:p w14:paraId="6DF9DAF2" w14:textId="77777777" w:rsidR="00941A04" w:rsidRPr="008C5F1C" w:rsidRDefault="00941A04" w:rsidP="00742B97">
            <w:pPr>
              <w:spacing w:after="120" w:line="240" w:lineRule="auto"/>
              <w:ind w:right="72"/>
              <w:contextualSpacing/>
              <w:jc w:val="both"/>
              <w:rPr>
                <w:rFonts w:ascii="Times New Roman" w:eastAsia="Times New Roman" w:hAnsi="Times New Roman" w:cs="Times New Roman"/>
                <w:iCs/>
                <w:noProof/>
              </w:rPr>
            </w:pPr>
            <w:r w:rsidRPr="008C5F1C">
              <w:rPr>
                <w:rFonts w:ascii="Times New Roman" w:hAnsi="Times New Roman" w:cs="Times New Roman"/>
              </w:rPr>
              <w:t>În acest sens,</w:t>
            </w:r>
            <w:r w:rsidRPr="008C5F1C">
              <w:rPr>
                <w:rFonts w:ascii="Times New Roman" w:hAnsi="Times New Roman" w:cs="Times New Roman"/>
                <w:b/>
                <w:bCs/>
              </w:rPr>
              <w:t xml:space="preserve"> Strategia de Specializare Inteligentă a Regiunii Nord-Vest 2021-2027</w:t>
            </w:r>
            <w:r w:rsidRPr="008C5F1C">
              <w:rPr>
                <w:rFonts w:ascii="Times New Roman" w:hAnsi="Times New Roman" w:cs="Times New Roman"/>
              </w:rPr>
              <w:t xml:space="preserve"> urmăre</w:t>
            </w:r>
            <w:r w:rsidR="00106240" w:rsidRPr="008C5F1C">
              <w:rPr>
                <w:rFonts w:ascii="Times New Roman" w:hAnsi="Times New Roman" w:cs="Times New Roman"/>
              </w:rPr>
              <w:t>ș</w:t>
            </w:r>
            <w:r w:rsidRPr="008C5F1C">
              <w:rPr>
                <w:rFonts w:ascii="Times New Roman" w:hAnsi="Times New Roman" w:cs="Times New Roman"/>
              </w:rPr>
              <w:t>te cre</w:t>
            </w:r>
            <w:r w:rsidR="00106240" w:rsidRPr="008C5F1C">
              <w:rPr>
                <w:rFonts w:ascii="Times New Roman" w:hAnsi="Times New Roman" w:cs="Times New Roman"/>
              </w:rPr>
              <w:t>ș</w:t>
            </w:r>
            <w:r w:rsidRPr="008C5F1C">
              <w:rPr>
                <w:rFonts w:ascii="Times New Roman" w:hAnsi="Times New Roman" w:cs="Times New Roman"/>
              </w:rPr>
              <w:t xml:space="preserve">terea numărului de întreprinderi inovative inclusiv prin asigurarea accesului la tehnologii noi, alinierea la standardele Industriei 4.0 </w:t>
            </w:r>
            <w:r w:rsidR="00106240" w:rsidRPr="008C5F1C">
              <w:rPr>
                <w:rFonts w:ascii="Times New Roman" w:hAnsi="Times New Roman" w:cs="Times New Roman"/>
              </w:rPr>
              <w:t>ș</w:t>
            </w:r>
            <w:r w:rsidRPr="008C5F1C">
              <w:rPr>
                <w:rFonts w:ascii="Times New Roman" w:hAnsi="Times New Roman" w:cs="Times New Roman"/>
              </w:rPr>
              <w:t xml:space="preserve">i standardele economiei sustenabile, respectiv mobilizarea capitalului privat </w:t>
            </w:r>
            <w:r w:rsidR="00106240" w:rsidRPr="008C5F1C">
              <w:rPr>
                <w:rFonts w:ascii="Times New Roman" w:hAnsi="Times New Roman" w:cs="Times New Roman"/>
              </w:rPr>
              <w:t>ș</w:t>
            </w:r>
            <w:r w:rsidRPr="008C5F1C">
              <w:rPr>
                <w:rFonts w:ascii="Times New Roman" w:hAnsi="Times New Roman" w:cs="Times New Roman"/>
              </w:rPr>
              <w:t>i dezvoltarea resurselor umane.</w:t>
            </w:r>
          </w:p>
        </w:tc>
      </w:tr>
      <w:tr w:rsidR="00653571" w:rsidRPr="008C5F1C" w14:paraId="620898BA" w14:textId="77777777" w:rsidTr="00F24910">
        <w:tc>
          <w:tcPr>
            <w:tcW w:w="811" w:type="pct"/>
            <w:vMerge w:val="restart"/>
            <w:tcBorders>
              <w:top w:val="single" w:sz="4" w:space="0" w:color="auto"/>
              <w:left w:val="single" w:sz="4" w:space="0" w:color="auto"/>
              <w:right w:val="single" w:sz="4" w:space="0" w:color="auto"/>
            </w:tcBorders>
          </w:tcPr>
          <w:p w14:paraId="41CE2767" w14:textId="77777777" w:rsidR="00653571" w:rsidRPr="008C5F1C" w:rsidRDefault="00653571" w:rsidP="00534127">
            <w:pPr>
              <w:spacing w:before="120" w:after="120"/>
              <w:rPr>
                <w:rFonts w:ascii="Times New Roman" w:eastAsia="Times New Roman" w:hAnsi="Times New Roman" w:cs="Times New Roman"/>
                <w:b/>
                <w:bCs/>
                <w:iCs/>
                <w:noProof/>
              </w:rPr>
            </w:pPr>
            <w:r w:rsidRPr="008C5F1C">
              <w:rPr>
                <w:rFonts w:ascii="Times New Roman" w:hAnsi="Times New Roman" w:cs="Times New Roman"/>
                <w:b/>
                <w:bCs/>
                <w:noProof/>
              </w:rPr>
              <w:t>OP2 „O Europ</w:t>
            </w:r>
            <w:r w:rsidR="00BA7827" w:rsidRPr="008C5F1C">
              <w:rPr>
                <w:rFonts w:ascii="Times New Roman" w:hAnsi="Times New Roman" w:cs="Times New Roman"/>
                <w:b/>
                <w:bCs/>
                <w:noProof/>
              </w:rPr>
              <w:t>ă</w:t>
            </w:r>
            <w:r w:rsidRPr="008C5F1C">
              <w:rPr>
                <w:rFonts w:ascii="Times New Roman" w:hAnsi="Times New Roman" w:cs="Times New Roman"/>
                <w:b/>
                <w:bCs/>
                <w:noProof/>
              </w:rPr>
              <w:t xml:space="preserve"> mai ecologic</w:t>
            </w:r>
            <w:r w:rsidR="00BA7827" w:rsidRPr="008C5F1C">
              <w:rPr>
                <w:rFonts w:ascii="Times New Roman" w:hAnsi="Times New Roman" w:cs="Times New Roman"/>
                <w:b/>
                <w:bCs/>
                <w:noProof/>
              </w:rPr>
              <w:t>ă</w:t>
            </w:r>
            <w:r w:rsidRPr="008C5F1C">
              <w:rPr>
                <w:rFonts w:ascii="Times New Roman" w:hAnsi="Times New Roman" w:cs="Times New Roman"/>
                <w:b/>
                <w:bCs/>
                <w:noProof/>
              </w:rPr>
              <w:t>, cu emisii sc</w:t>
            </w:r>
            <w:r w:rsidR="00BA7827" w:rsidRPr="008C5F1C">
              <w:rPr>
                <w:rFonts w:ascii="Times New Roman" w:hAnsi="Times New Roman" w:cs="Times New Roman"/>
                <w:b/>
                <w:bCs/>
                <w:noProof/>
              </w:rPr>
              <w:t>ă</w:t>
            </w:r>
            <w:r w:rsidRPr="008C5F1C">
              <w:rPr>
                <w:rFonts w:ascii="Times New Roman" w:hAnsi="Times New Roman" w:cs="Times New Roman"/>
                <w:b/>
                <w:bCs/>
                <w:noProof/>
              </w:rPr>
              <w:t>zute de carbon prin promovarea tranzi</w:t>
            </w:r>
            <w:r w:rsidR="00E22FF2" w:rsidRPr="008C5F1C">
              <w:rPr>
                <w:rFonts w:ascii="Times New Roman" w:hAnsi="Times New Roman" w:cs="Times New Roman"/>
                <w:b/>
                <w:bCs/>
                <w:noProof/>
              </w:rPr>
              <w:t>ț</w:t>
            </w:r>
            <w:r w:rsidRPr="008C5F1C">
              <w:rPr>
                <w:rFonts w:ascii="Times New Roman" w:hAnsi="Times New Roman" w:cs="Times New Roman"/>
                <w:b/>
                <w:bCs/>
                <w:noProof/>
              </w:rPr>
              <w:t>iei c</w:t>
            </w:r>
            <w:r w:rsidR="00BA7827" w:rsidRPr="008C5F1C">
              <w:rPr>
                <w:rFonts w:ascii="Times New Roman" w:hAnsi="Times New Roman" w:cs="Times New Roman"/>
                <w:b/>
                <w:bCs/>
                <w:noProof/>
              </w:rPr>
              <w:t>ă</w:t>
            </w:r>
            <w:r w:rsidRPr="008C5F1C">
              <w:rPr>
                <w:rFonts w:ascii="Times New Roman" w:hAnsi="Times New Roman" w:cs="Times New Roman"/>
                <w:b/>
                <w:bCs/>
                <w:noProof/>
              </w:rPr>
              <w:t>tre o energie nepoluant</w:t>
            </w:r>
            <w:r w:rsidR="00BA7827" w:rsidRPr="008C5F1C">
              <w:rPr>
                <w:rFonts w:ascii="Times New Roman" w:hAnsi="Times New Roman" w:cs="Times New Roman"/>
                <w:b/>
                <w:bCs/>
                <w:noProof/>
              </w:rPr>
              <w:t>ă</w:t>
            </w:r>
            <w:r w:rsidRPr="008C5F1C">
              <w:rPr>
                <w:rFonts w:ascii="Times New Roman" w:hAnsi="Times New Roman" w:cs="Times New Roman"/>
                <w:b/>
                <w:bCs/>
                <w:noProof/>
              </w:rPr>
              <w:t xml:space="preserve"> </w:t>
            </w:r>
            <w:r w:rsidR="00106240" w:rsidRPr="008C5F1C">
              <w:rPr>
                <w:rFonts w:ascii="Times New Roman" w:hAnsi="Times New Roman" w:cs="Times New Roman"/>
                <w:b/>
                <w:bCs/>
                <w:noProof/>
              </w:rPr>
              <w:t>ș</w:t>
            </w:r>
            <w:r w:rsidRPr="008C5F1C">
              <w:rPr>
                <w:rFonts w:ascii="Times New Roman" w:hAnsi="Times New Roman" w:cs="Times New Roman"/>
                <w:b/>
                <w:bCs/>
                <w:noProof/>
              </w:rPr>
              <w:t>i echitabil</w:t>
            </w:r>
            <w:r w:rsidR="00BA7827" w:rsidRPr="008C5F1C">
              <w:rPr>
                <w:rFonts w:ascii="Times New Roman" w:hAnsi="Times New Roman" w:cs="Times New Roman"/>
                <w:b/>
                <w:bCs/>
                <w:noProof/>
              </w:rPr>
              <w:t>ă</w:t>
            </w:r>
            <w:r w:rsidRPr="008C5F1C">
              <w:rPr>
                <w:rFonts w:ascii="Times New Roman" w:hAnsi="Times New Roman" w:cs="Times New Roman"/>
                <w:b/>
                <w:bCs/>
                <w:noProof/>
              </w:rPr>
              <w:t>, a investi</w:t>
            </w:r>
            <w:r w:rsidR="00E22FF2" w:rsidRPr="008C5F1C">
              <w:rPr>
                <w:rFonts w:ascii="Times New Roman" w:hAnsi="Times New Roman" w:cs="Times New Roman"/>
                <w:b/>
                <w:bCs/>
                <w:noProof/>
              </w:rPr>
              <w:t>ț</w:t>
            </w:r>
            <w:r w:rsidRPr="008C5F1C">
              <w:rPr>
                <w:rFonts w:ascii="Times New Roman" w:hAnsi="Times New Roman" w:cs="Times New Roman"/>
                <w:b/>
                <w:bCs/>
                <w:noProof/>
              </w:rPr>
              <w:t xml:space="preserve">iilor verzi </w:t>
            </w:r>
            <w:r w:rsidR="00106240" w:rsidRPr="008C5F1C">
              <w:rPr>
                <w:rFonts w:ascii="Times New Roman" w:hAnsi="Times New Roman" w:cs="Times New Roman"/>
                <w:b/>
                <w:bCs/>
                <w:noProof/>
              </w:rPr>
              <w:t>ș</w:t>
            </w:r>
            <w:r w:rsidRPr="008C5F1C">
              <w:rPr>
                <w:rFonts w:ascii="Times New Roman" w:hAnsi="Times New Roman" w:cs="Times New Roman"/>
                <w:b/>
                <w:bCs/>
                <w:noProof/>
              </w:rPr>
              <w:t>i albastre, a economiei circulare, a adapt</w:t>
            </w:r>
            <w:r w:rsidR="00BA7827" w:rsidRPr="008C5F1C">
              <w:rPr>
                <w:rFonts w:ascii="Times New Roman" w:hAnsi="Times New Roman" w:cs="Times New Roman"/>
                <w:b/>
                <w:bCs/>
                <w:noProof/>
              </w:rPr>
              <w:t>ă</w:t>
            </w:r>
            <w:r w:rsidRPr="008C5F1C">
              <w:rPr>
                <w:rFonts w:ascii="Times New Roman" w:hAnsi="Times New Roman" w:cs="Times New Roman"/>
                <w:b/>
                <w:bCs/>
                <w:noProof/>
              </w:rPr>
              <w:t>rii la schimb</w:t>
            </w:r>
            <w:r w:rsidR="00BA7827" w:rsidRPr="008C5F1C">
              <w:rPr>
                <w:rFonts w:ascii="Times New Roman" w:hAnsi="Times New Roman" w:cs="Times New Roman"/>
                <w:b/>
                <w:bCs/>
                <w:noProof/>
              </w:rPr>
              <w:t>ă</w:t>
            </w:r>
            <w:r w:rsidRPr="008C5F1C">
              <w:rPr>
                <w:rFonts w:ascii="Times New Roman" w:hAnsi="Times New Roman" w:cs="Times New Roman"/>
                <w:b/>
                <w:bCs/>
                <w:noProof/>
              </w:rPr>
              <w:t xml:space="preserve">rile climatice </w:t>
            </w:r>
            <w:r w:rsidR="00106240" w:rsidRPr="008C5F1C">
              <w:rPr>
                <w:rFonts w:ascii="Times New Roman" w:hAnsi="Times New Roman" w:cs="Times New Roman"/>
                <w:b/>
                <w:bCs/>
                <w:noProof/>
              </w:rPr>
              <w:t>ș</w:t>
            </w:r>
            <w:r w:rsidRPr="008C5F1C">
              <w:rPr>
                <w:rFonts w:ascii="Times New Roman" w:hAnsi="Times New Roman" w:cs="Times New Roman"/>
                <w:b/>
                <w:bCs/>
                <w:noProof/>
              </w:rPr>
              <w:t xml:space="preserve">i a prevenirii </w:t>
            </w:r>
            <w:r w:rsidR="00106240" w:rsidRPr="008C5F1C">
              <w:rPr>
                <w:rFonts w:ascii="Times New Roman" w:hAnsi="Times New Roman" w:cs="Times New Roman"/>
                <w:b/>
                <w:bCs/>
                <w:noProof/>
              </w:rPr>
              <w:t>ș</w:t>
            </w:r>
            <w:r w:rsidRPr="008C5F1C">
              <w:rPr>
                <w:rFonts w:ascii="Times New Roman" w:hAnsi="Times New Roman" w:cs="Times New Roman"/>
                <w:b/>
                <w:bCs/>
                <w:noProof/>
              </w:rPr>
              <w:t>i gestion</w:t>
            </w:r>
            <w:r w:rsidR="00BA7827" w:rsidRPr="008C5F1C">
              <w:rPr>
                <w:rFonts w:ascii="Times New Roman" w:hAnsi="Times New Roman" w:cs="Times New Roman"/>
                <w:b/>
                <w:bCs/>
                <w:noProof/>
              </w:rPr>
              <w:t>ă</w:t>
            </w:r>
            <w:r w:rsidRPr="008C5F1C">
              <w:rPr>
                <w:rFonts w:ascii="Times New Roman" w:hAnsi="Times New Roman" w:cs="Times New Roman"/>
                <w:b/>
                <w:bCs/>
                <w:noProof/>
              </w:rPr>
              <w:t>rii riscurilor”</w:t>
            </w:r>
          </w:p>
        </w:tc>
        <w:tc>
          <w:tcPr>
            <w:tcW w:w="1197" w:type="pct"/>
            <w:tcBorders>
              <w:top w:val="single" w:sz="4" w:space="0" w:color="auto"/>
              <w:left w:val="single" w:sz="4" w:space="0" w:color="auto"/>
              <w:bottom w:val="single" w:sz="4" w:space="0" w:color="auto"/>
              <w:right w:val="single" w:sz="4" w:space="0" w:color="auto"/>
            </w:tcBorders>
          </w:tcPr>
          <w:p w14:paraId="1CCA7A2E" w14:textId="77777777" w:rsidR="00653571" w:rsidRPr="008C5F1C" w:rsidRDefault="00653571" w:rsidP="00534127">
            <w:pPr>
              <w:spacing w:before="120" w:after="120"/>
              <w:rPr>
                <w:rFonts w:ascii="Times New Roman" w:eastAsia="Times New Roman" w:hAnsi="Times New Roman" w:cs="Times New Roman"/>
                <w:i/>
                <w:iCs/>
                <w:noProof/>
              </w:rPr>
            </w:pPr>
            <w:r w:rsidRPr="008C5F1C">
              <w:rPr>
                <w:rFonts w:ascii="Times New Roman" w:hAnsi="Times New Roman" w:cs="Times New Roman"/>
                <w:b/>
                <w:bCs/>
              </w:rPr>
              <w:t>b (i) Promovarea eficien</w:t>
            </w:r>
            <w:r w:rsidR="00E22FF2" w:rsidRPr="008C5F1C">
              <w:rPr>
                <w:rFonts w:ascii="Times New Roman" w:hAnsi="Times New Roman" w:cs="Times New Roman"/>
                <w:b/>
                <w:bCs/>
              </w:rPr>
              <w:t>ț</w:t>
            </w:r>
            <w:r w:rsidRPr="008C5F1C">
              <w:rPr>
                <w:rFonts w:ascii="Times New Roman" w:hAnsi="Times New Roman" w:cs="Times New Roman"/>
                <w:b/>
                <w:bCs/>
              </w:rPr>
              <w:t xml:space="preserve">ei energetice </w:t>
            </w:r>
            <w:r w:rsidR="00106240" w:rsidRPr="008C5F1C">
              <w:rPr>
                <w:rFonts w:ascii="Times New Roman" w:hAnsi="Times New Roman" w:cs="Times New Roman"/>
                <w:b/>
                <w:bCs/>
              </w:rPr>
              <w:t>ș</w:t>
            </w:r>
            <w:r w:rsidRPr="008C5F1C">
              <w:rPr>
                <w:rFonts w:ascii="Times New Roman" w:hAnsi="Times New Roman" w:cs="Times New Roman"/>
                <w:b/>
                <w:bCs/>
              </w:rPr>
              <w:t>i reducerea emisiilor de gaze cu efect de ser</w:t>
            </w:r>
            <w:r w:rsidR="00BA7827" w:rsidRPr="008C5F1C">
              <w:rPr>
                <w:rFonts w:ascii="Times New Roman" w:hAnsi="Times New Roman" w:cs="Times New Roman"/>
                <w:b/>
                <w:bCs/>
              </w:rPr>
              <w:t>ă</w:t>
            </w:r>
          </w:p>
        </w:tc>
        <w:tc>
          <w:tcPr>
            <w:tcW w:w="2993" w:type="pct"/>
            <w:tcBorders>
              <w:top w:val="single" w:sz="4" w:space="0" w:color="auto"/>
              <w:left w:val="single" w:sz="4" w:space="0" w:color="auto"/>
              <w:bottom w:val="single" w:sz="4" w:space="0" w:color="auto"/>
              <w:right w:val="single" w:sz="4" w:space="0" w:color="auto"/>
            </w:tcBorders>
          </w:tcPr>
          <w:p w14:paraId="1EBDEF6F" w14:textId="77777777" w:rsidR="00EA56E2" w:rsidRPr="008C5F1C" w:rsidRDefault="00A91722" w:rsidP="00742B97">
            <w:pPr>
              <w:spacing w:after="120" w:line="240" w:lineRule="auto"/>
              <w:contextualSpacing/>
              <w:jc w:val="both"/>
              <w:rPr>
                <w:rFonts w:ascii="Times New Roman" w:hAnsi="Times New Roman" w:cs="Times New Roman"/>
              </w:rPr>
            </w:pPr>
            <w:r w:rsidRPr="008C5F1C">
              <w:rPr>
                <w:rFonts w:ascii="Times New Roman" w:hAnsi="Times New Roman" w:cs="Times New Roman"/>
              </w:rPr>
              <w:t xml:space="preserve">Intervențiile derulate până acum în reabilitarea energetică a locuințelor au demonstrat cererea foarte ridicată pentru acest tip de investiții, în contextul unui fond locativ construit în mare măsură înainte de 1990, În ceea ce privește clădirile publice, acestea au un grad scăzut </w:t>
            </w:r>
            <w:r w:rsidR="00256F5E" w:rsidRPr="008C5F1C">
              <w:rPr>
                <w:rFonts w:ascii="Times New Roman" w:hAnsi="Times New Roman" w:cs="Times New Roman"/>
              </w:rPr>
              <w:t>eficiență energetică. O mare parte</w:t>
            </w:r>
            <w:r w:rsidRPr="008C5F1C">
              <w:rPr>
                <w:rFonts w:ascii="Times New Roman" w:hAnsi="Times New Roman" w:cs="Times New Roman"/>
              </w:rPr>
              <w:t xml:space="preserve"> au deficiențe structurale și</w:t>
            </w:r>
            <w:r w:rsidR="00256F5E" w:rsidRPr="008C5F1C">
              <w:rPr>
                <w:rFonts w:ascii="Times New Roman" w:hAnsi="Times New Roman" w:cs="Times New Roman"/>
              </w:rPr>
              <w:t xml:space="preserve"> necesită</w:t>
            </w:r>
            <w:r w:rsidRPr="008C5F1C">
              <w:rPr>
                <w:rFonts w:ascii="Times New Roman" w:hAnsi="Times New Roman" w:cs="Times New Roman"/>
              </w:rPr>
              <w:t xml:space="preserve"> lucrări de întreținere. </w:t>
            </w:r>
            <w:r w:rsidR="00EA56E2" w:rsidRPr="008C5F1C">
              <w:rPr>
                <w:rFonts w:ascii="Times New Roman" w:hAnsi="Times New Roman" w:cs="Times New Roman"/>
              </w:rPr>
              <w:t>Performan</w:t>
            </w:r>
            <w:r w:rsidR="00E22FF2" w:rsidRPr="008C5F1C">
              <w:rPr>
                <w:rFonts w:ascii="Times New Roman" w:hAnsi="Times New Roman" w:cs="Times New Roman"/>
              </w:rPr>
              <w:t>ț</w:t>
            </w:r>
            <w:r w:rsidR="00EA56E2" w:rsidRPr="008C5F1C">
              <w:rPr>
                <w:rFonts w:ascii="Times New Roman" w:hAnsi="Times New Roman" w:cs="Times New Roman"/>
              </w:rPr>
              <w:t>a energetic</w:t>
            </w:r>
            <w:r w:rsidR="00BA7827" w:rsidRPr="008C5F1C">
              <w:rPr>
                <w:rFonts w:ascii="Times New Roman" w:hAnsi="Times New Roman" w:cs="Times New Roman"/>
              </w:rPr>
              <w:t>ă</w:t>
            </w:r>
            <w:r w:rsidR="00EA56E2" w:rsidRPr="008C5F1C">
              <w:rPr>
                <w:rFonts w:ascii="Times New Roman" w:hAnsi="Times New Roman" w:cs="Times New Roman"/>
              </w:rPr>
              <w:t xml:space="preserve"> a cl</w:t>
            </w:r>
            <w:r w:rsidR="00BA7827" w:rsidRPr="008C5F1C">
              <w:rPr>
                <w:rFonts w:ascii="Times New Roman" w:hAnsi="Times New Roman" w:cs="Times New Roman"/>
              </w:rPr>
              <w:t>ă</w:t>
            </w:r>
            <w:r w:rsidR="00EA56E2" w:rsidRPr="008C5F1C">
              <w:rPr>
                <w:rFonts w:ascii="Times New Roman" w:hAnsi="Times New Roman" w:cs="Times New Roman"/>
              </w:rPr>
              <w:t>dirilor este foarte sc</w:t>
            </w:r>
            <w:r w:rsidR="00BA7827" w:rsidRPr="008C5F1C">
              <w:rPr>
                <w:rFonts w:ascii="Times New Roman" w:hAnsi="Times New Roman" w:cs="Times New Roman"/>
              </w:rPr>
              <w:t>ă</w:t>
            </w:r>
            <w:r w:rsidR="00EA56E2" w:rsidRPr="008C5F1C">
              <w:rPr>
                <w:rFonts w:ascii="Times New Roman" w:hAnsi="Times New Roman" w:cs="Times New Roman"/>
              </w:rPr>
              <w:t>zut</w:t>
            </w:r>
            <w:r w:rsidR="00BA7827" w:rsidRPr="008C5F1C">
              <w:rPr>
                <w:rFonts w:ascii="Times New Roman" w:hAnsi="Times New Roman" w:cs="Times New Roman"/>
              </w:rPr>
              <w:t>ă</w:t>
            </w:r>
            <w:r w:rsidR="00EA56E2" w:rsidRPr="008C5F1C">
              <w:rPr>
                <w:rFonts w:ascii="Times New Roman" w:hAnsi="Times New Roman" w:cs="Times New Roman"/>
              </w:rPr>
              <w:t xml:space="preserve"> astfel încât nivelurile de energie consumat</w:t>
            </w:r>
            <w:r w:rsidR="00BA7827" w:rsidRPr="008C5F1C">
              <w:rPr>
                <w:rFonts w:ascii="Times New Roman" w:hAnsi="Times New Roman" w:cs="Times New Roman"/>
              </w:rPr>
              <w:t>ă</w:t>
            </w:r>
            <w:r w:rsidR="00EA56E2" w:rsidRPr="008C5F1C">
              <w:rPr>
                <w:rFonts w:ascii="Times New Roman" w:hAnsi="Times New Roman" w:cs="Times New Roman"/>
              </w:rPr>
              <w:t xml:space="preserve"> în cl</w:t>
            </w:r>
            <w:r w:rsidR="00BA7827" w:rsidRPr="008C5F1C">
              <w:rPr>
                <w:rFonts w:ascii="Times New Roman" w:hAnsi="Times New Roman" w:cs="Times New Roman"/>
              </w:rPr>
              <w:t>ă</w:t>
            </w:r>
            <w:r w:rsidR="00EA56E2" w:rsidRPr="008C5F1C">
              <w:rPr>
                <w:rFonts w:ascii="Times New Roman" w:hAnsi="Times New Roman" w:cs="Times New Roman"/>
              </w:rPr>
              <w:t>diri plaseaz</w:t>
            </w:r>
            <w:r w:rsidR="00BA7827" w:rsidRPr="008C5F1C">
              <w:rPr>
                <w:rFonts w:ascii="Times New Roman" w:hAnsi="Times New Roman" w:cs="Times New Roman"/>
              </w:rPr>
              <w:t>ă</w:t>
            </w:r>
            <w:r w:rsidR="00EA56E2" w:rsidRPr="008C5F1C">
              <w:rPr>
                <w:rFonts w:ascii="Times New Roman" w:hAnsi="Times New Roman" w:cs="Times New Roman"/>
              </w:rPr>
              <w:t xml:space="preserve"> sectorul printre cele mai mari sectoare consumatoare de energie. </w:t>
            </w:r>
          </w:p>
          <w:p w14:paraId="77973C0E" w14:textId="77777777" w:rsidR="00EA56E2" w:rsidRPr="008C5F1C" w:rsidRDefault="00EA56E2" w:rsidP="00742B97">
            <w:pPr>
              <w:spacing w:after="120" w:line="240" w:lineRule="auto"/>
              <w:contextualSpacing/>
              <w:jc w:val="both"/>
              <w:rPr>
                <w:rFonts w:ascii="Times New Roman" w:hAnsi="Times New Roman" w:cs="Times New Roman"/>
                <w:i/>
                <w:iCs/>
              </w:rPr>
            </w:pPr>
            <w:r w:rsidRPr="008C5F1C">
              <w:rPr>
                <w:rFonts w:ascii="Times New Roman" w:hAnsi="Times New Roman" w:cs="Times New Roman"/>
              </w:rPr>
              <w:t>Poten</w:t>
            </w:r>
            <w:r w:rsidR="00E22FF2" w:rsidRPr="008C5F1C">
              <w:rPr>
                <w:rFonts w:ascii="Times New Roman" w:hAnsi="Times New Roman" w:cs="Times New Roman"/>
              </w:rPr>
              <w:t>ț</w:t>
            </w:r>
            <w:r w:rsidRPr="008C5F1C">
              <w:rPr>
                <w:rFonts w:ascii="Times New Roman" w:hAnsi="Times New Roman" w:cs="Times New Roman"/>
              </w:rPr>
              <w:t>ialul de economisire în cl</w:t>
            </w:r>
            <w:r w:rsidR="00BA7827" w:rsidRPr="008C5F1C">
              <w:rPr>
                <w:rFonts w:ascii="Times New Roman" w:hAnsi="Times New Roman" w:cs="Times New Roman"/>
              </w:rPr>
              <w:t>ă</w:t>
            </w:r>
            <w:r w:rsidRPr="008C5F1C">
              <w:rPr>
                <w:rFonts w:ascii="Times New Roman" w:hAnsi="Times New Roman" w:cs="Times New Roman"/>
              </w:rPr>
              <w:t>diri este, a</w:t>
            </w:r>
            <w:r w:rsidR="00106240" w:rsidRPr="008C5F1C">
              <w:rPr>
                <w:rFonts w:ascii="Times New Roman" w:hAnsi="Times New Roman" w:cs="Times New Roman"/>
              </w:rPr>
              <w:t>ș</w:t>
            </w:r>
            <w:r w:rsidRPr="008C5F1C">
              <w:rPr>
                <w:rFonts w:ascii="Times New Roman" w:hAnsi="Times New Roman" w:cs="Times New Roman"/>
              </w:rPr>
              <w:t>adar, semnificativ, situându-se în intervalul de aproximativ 40-50% sau chiar peste, prin promovarea reabilit</w:t>
            </w:r>
            <w:r w:rsidR="00BA7827" w:rsidRPr="008C5F1C">
              <w:rPr>
                <w:rFonts w:ascii="Times New Roman" w:hAnsi="Times New Roman" w:cs="Times New Roman"/>
              </w:rPr>
              <w:t>ă</w:t>
            </w:r>
            <w:r w:rsidRPr="008C5F1C">
              <w:rPr>
                <w:rFonts w:ascii="Times New Roman" w:hAnsi="Times New Roman" w:cs="Times New Roman"/>
              </w:rPr>
              <w:t>rii energetice profunde (</w:t>
            </w:r>
            <w:proofErr w:type="spellStart"/>
            <w:r w:rsidRPr="008C5F1C">
              <w:rPr>
                <w:rFonts w:ascii="Times New Roman" w:hAnsi="Times New Roman" w:cs="Times New Roman"/>
                <w:i/>
                <w:iCs/>
              </w:rPr>
              <w:t>deep</w:t>
            </w:r>
            <w:proofErr w:type="spellEnd"/>
            <w:r w:rsidRPr="008C5F1C">
              <w:rPr>
                <w:rFonts w:ascii="Times New Roman" w:hAnsi="Times New Roman" w:cs="Times New Roman"/>
                <w:i/>
                <w:iCs/>
              </w:rPr>
              <w:t xml:space="preserve"> </w:t>
            </w:r>
            <w:proofErr w:type="spellStart"/>
            <w:r w:rsidRPr="008C5F1C">
              <w:rPr>
                <w:rFonts w:ascii="Times New Roman" w:hAnsi="Times New Roman" w:cs="Times New Roman"/>
                <w:i/>
                <w:iCs/>
              </w:rPr>
              <w:t>renovation</w:t>
            </w:r>
            <w:proofErr w:type="spellEnd"/>
            <w:r w:rsidR="0020641A" w:rsidRPr="008C5F1C">
              <w:rPr>
                <w:rFonts w:ascii="Times New Roman" w:hAnsi="Times New Roman" w:cs="Times New Roman"/>
                <w:i/>
                <w:iCs/>
              </w:rPr>
              <w:t>)</w:t>
            </w:r>
            <w:r w:rsidRPr="008C5F1C">
              <w:rPr>
                <w:rFonts w:ascii="Times New Roman" w:hAnsi="Times New Roman" w:cs="Times New Roman"/>
                <w:i/>
                <w:iCs/>
              </w:rPr>
              <w:t>.</w:t>
            </w:r>
          </w:p>
          <w:p w14:paraId="7FE7D0E7" w14:textId="77777777" w:rsidR="008034F2" w:rsidRPr="008C5F1C" w:rsidRDefault="00EA56E2" w:rsidP="00742B97">
            <w:pPr>
              <w:spacing w:after="120" w:line="240" w:lineRule="auto"/>
              <w:contextualSpacing/>
              <w:jc w:val="both"/>
              <w:rPr>
                <w:rFonts w:ascii="Times New Roman" w:hAnsi="Times New Roman" w:cs="Times New Roman"/>
              </w:rPr>
            </w:pPr>
            <w:r w:rsidRPr="008C5F1C">
              <w:rPr>
                <w:rFonts w:ascii="Times New Roman" w:hAnsi="Times New Roman" w:cs="Times New Roman"/>
              </w:rPr>
              <w:t>Principalele provoc</w:t>
            </w:r>
            <w:r w:rsidR="00BA7827" w:rsidRPr="008C5F1C">
              <w:rPr>
                <w:rFonts w:ascii="Times New Roman" w:hAnsi="Times New Roman" w:cs="Times New Roman"/>
              </w:rPr>
              <w:t>ă</w:t>
            </w:r>
            <w:r w:rsidRPr="008C5F1C">
              <w:rPr>
                <w:rFonts w:ascii="Times New Roman" w:hAnsi="Times New Roman" w:cs="Times New Roman"/>
              </w:rPr>
              <w:t>ri în ceea ce prive</w:t>
            </w:r>
            <w:r w:rsidR="00106240" w:rsidRPr="008C5F1C">
              <w:rPr>
                <w:rFonts w:ascii="Times New Roman" w:hAnsi="Times New Roman" w:cs="Times New Roman"/>
              </w:rPr>
              <w:t>ș</w:t>
            </w:r>
            <w:r w:rsidRPr="008C5F1C">
              <w:rPr>
                <w:rFonts w:ascii="Times New Roman" w:hAnsi="Times New Roman" w:cs="Times New Roman"/>
              </w:rPr>
              <w:t>te reabilitarea termic</w:t>
            </w:r>
            <w:r w:rsidR="00BA7827" w:rsidRPr="008C5F1C">
              <w:rPr>
                <w:rFonts w:ascii="Times New Roman" w:hAnsi="Times New Roman" w:cs="Times New Roman"/>
              </w:rPr>
              <w:t>ă</w:t>
            </w:r>
            <w:r w:rsidRPr="008C5F1C">
              <w:rPr>
                <w:rFonts w:ascii="Times New Roman" w:hAnsi="Times New Roman" w:cs="Times New Roman"/>
              </w:rPr>
              <w:t xml:space="preserve"> a cl</w:t>
            </w:r>
            <w:r w:rsidR="00BA7827" w:rsidRPr="008C5F1C">
              <w:rPr>
                <w:rFonts w:ascii="Times New Roman" w:hAnsi="Times New Roman" w:cs="Times New Roman"/>
              </w:rPr>
              <w:t>ă</w:t>
            </w:r>
            <w:r w:rsidRPr="008C5F1C">
              <w:rPr>
                <w:rFonts w:ascii="Times New Roman" w:hAnsi="Times New Roman" w:cs="Times New Roman"/>
              </w:rPr>
              <w:t>dirilor sunt legate de costurile ridicate pe care aceasta le presupune. Renovarea cl</w:t>
            </w:r>
            <w:r w:rsidR="00BA7827" w:rsidRPr="008C5F1C">
              <w:rPr>
                <w:rFonts w:ascii="Times New Roman" w:hAnsi="Times New Roman" w:cs="Times New Roman"/>
              </w:rPr>
              <w:t>ă</w:t>
            </w:r>
            <w:r w:rsidRPr="008C5F1C">
              <w:rPr>
                <w:rFonts w:ascii="Times New Roman" w:hAnsi="Times New Roman" w:cs="Times New Roman"/>
              </w:rPr>
              <w:t>dirilor necesit</w:t>
            </w:r>
            <w:r w:rsidR="00BA7827" w:rsidRPr="008C5F1C">
              <w:rPr>
                <w:rFonts w:ascii="Times New Roman" w:hAnsi="Times New Roman" w:cs="Times New Roman"/>
              </w:rPr>
              <w:t>ă</w:t>
            </w:r>
            <w:r w:rsidRPr="008C5F1C">
              <w:rPr>
                <w:rFonts w:ascii="Times New Roman" w:hAnsi="Times New Roman" w:cs="Times New Roman"/>
              </w:rPr>
              <w:t xml:space="preserve"> investi</w:t>
            </w:r>
            <w:r w:rsidR="00E22FF2" w:rsidRPr="008C5F1C">
              <w:rPr>
                <w:rFonts w:ascii="Times New Roman" w:hAnsi="Times New Roman" w:cs="Times New Roman"/>
              </w:rPr>
              <w:t>ț</w:t>
            </w:r>
            <w:r w:rsidRPr="008C5F1C">
              <w:rPr>
                <w:rFonts w:ascii="Times New Roman" w:hAnsi="Times New Roman" w:cs="Times New Roman"/>
              </w:rPr>
              <w:t>ii financiare pe care, deseori, proprietarii nu sunt interesa</w:t>
            </w:r>
            <w:r w:rsidR="00E22FF2" w:rsidRPr="008C5F1C">
              <w:rPr>
                <w:rFonts w:ascii="Times New Roman" w:hAnsi="Times New Roman" w:cs="Times New Roman"/>
              </w:rPr>
              <w:t>ț</w:t>
            </w:r>
            <w:r w:rsidRPr="008C5F1C">
              <w:rPr>
                <w:rFonts w:ascii="Times New Roman" w:hAnsi="Times New Roman" w:cs="Times New Roman"/>
              </w:rPr>
              <w:t>i sau nu au capacitatea financiar</w:t>
            </w:r>
            <w:r w:rsidR="00BA7827" w:rsidRPr="008C5F1C">
              <w:rPr>
                <w:rFonts w:ascii="Times New Roman" w:hAnsi="Times New Roman" w:cs="Times New Roman"/>
              </w:rPr>
              <w:t>ă</w:t>
            </w:r>
            <w:r w:rsidRPr="008C5F1C">
              <w:rPr>
                <w:rFonts w:ascii="Times New Roman" w:hAnsi="Times New Roman" w:cs="Times New Roman"/>
              </w:rPr>
              <w:t xml:space="preserve"> s</w:t>
            </w:r>
            <w:r w:rsidR="00BA7827" w:rsidRPr="008C5F1C">
              <w:rPr>
                <w:rFonts w:ascii="Times New Roman" w:hAnsi="Times New Roman" w:cs="Times New Roman"/>
              </w:rPr>
              <w:t>ă</w:t>
            </w:r>
            <w:r w:rsidRPr="008C5F1C">
              <w:rPr>
                <w:rFonts w:ascii="Times New Roman" w:hAnsi="Times New Roman" w:cs="Times New Roman"/>
              </w:rPr>
              <w:t xml:space="preserve"> le fac</w:t>
            </w:r>
            <w:r w:rsidR="00BA7827" w:rsidRPr="008C5F1C">
              <w:rPr>
                <w:rFonts w:ascii="Times New Roman" w:hAnsi="Times New Roman" w:cs="Times New Roman"/>
              </w:rPr>
              <w:t>ă</w:t>
            </w:r>
            <w:r w:rsidRPr="008C5F1C">
              <w:rPr>
                <w:rFonts w:ascii="Times New Roman" w:hAnsi="Times New Roman" w:cs="Times New Roman"/>
              </w:rPr>
              <w:t>, chiar dac</w:t>
            </w:r>
            <w:r w:rsidR="00BA7827" w:rsidRPr="008C5F1C">
              <w:rPr>
                <w:rFonts w:ascii="Times New Roman" w:hAnsi="Times New Roman" w:cs="Times New Roman"/>
              </w:rPr>
              <w:t>ă</w:t>
            </w:r>
            <w:r w:rsidRPr="008C5F1C">
              <w:rPr>
                <w:rFonts w:ascii="Times New Roman" w:hAnsi="Times New Roman" w:cs="Times New Roman"/>
              </w:rPr>
              <w:t xml:space="preserve"> renovarea ar îmbun</w:t>
            </w:r>
            <w:r w:rsidR="00BA7827" w:rsidRPr="008C5F1C">
              <w:rPr>
                <w:rFonts w:ascii="Times New Roman" w:hAnsi="Times New Roman" w:cs="Times New Roman"/>
              </w:rPr>
              <w:t>ă</w:t>
            </w:r>
            <w:r w:rsidRPr="008C5F1C">
              <w:rPr>
                <w:rFonts w:ascii="Times New Roman" w:hAnsi="Times New Roman" w:cs="Times New Roman"/>
              </w:rPr>
              <w:t>t</w:t>
            </w:r>
            <w:r w:rsidR="00BA7827" w:rsidRPr="008C5F1C">
              <w:rPr>
                <w:rFonts w:ascii="Times New Roman" w:hAnsi="Times New Roman" w:cs="Times New Roman"/>
              </w:rPr>
              <w:t>ă</w:t>
            </w:r>
            <w:r w:rsidR="00E22FF2" w:rsidRPr="008C5F1C">
              <w:rPr>
                <w:rFonts w:ascii="Times New Roman" w:hAnsi="Times New Roman" w:cs="Times New Roman"/>
              </w:rPr>
              <w:t>ț</w:t>
            </w:r>
            <w:r w:rsidRPr="008C5F1C">
              <w:rPr>
                <w:rFonts w:ascii="Times New Roman" w:hAnsi="Times New Roman" w:cs="Times New Roman"/>
              </w:rPr>
              <w:t>i condi</w:t>
            </w:r>
            <w:r w:rsidR="00E22FF2" w:rsidRPr="008C5F1C">
              <w:rPr>
                <w:rFonts w:ascii="Times New Roman" w:hAnsi="Times New Roman" w:cs="Times New Roman"/>
              </w:rPr>
              <w:t>ț</w:t>
            </w:r>
            <w:r w:rsidRPr="008C5F1C">
              <w:rPr>
                <w:rFonts w:ascii="Times New Roman" w:hAnsi="Times New Roman" w:cs="Times New Roman"/>
              </w:rPr>
              <w:t>iile  de locuire.</w:t>
            </w:r>
          </w:p>
          <w:p w14:paraId="7B463CCE" w14:textId="77777777" w:rsidR="00D2146B" w:rsidRPr="008C5F1C" w:rsidRDefault="00A56611" w:rsidP="00742B97">
            <w:pPr>
              <w:spacing w:after="120" w:line="240" w:lineRule="auto"/>
              <w:contextualSpacing/>
              <w:jc w:val="both"/>
              <w:rPr>
                <w:rFonts w:ascii="Times New Roman" w:hAnsi="Times New Roman" w:cs="Times New Roman"/>
              </w:rPr>
            </w:pPr>
            <w:r w:rsidRPr="008C5F1C">
              <w:rPr>
                <w:rFonts w:ascii="Times New Roman" w:hAnsi="Times New Roman" w:cs="Times New Roman"/>
              </w:rPr>
              <w:t xml:space="preserve">Alături de reabilitarea termică a clădirilor, eficientizarea </w:t>
            </w:r>
            <w:r w:rsidR="008034F2" w:rsidRPr="008C5F1C">
              <w:rPr>
                <w:rFonts w:ascii="Times New Roman" w:hAnsi="Times New Roman" w:cs="Times New Roman"/>
              </w:rPr>
              <w:t>soluții</w:t>
            </w:r>
            <w:r w:rsidRPr="008C5F1C">
              <w:rPr>
                <w:rFonts w:ascii="Times New Roman" w:hAnsi="Times New Roman" w:cs="Times New Roman"/>
              </w:rPr>
              <w:t>lor centralizate</w:t>
            </w:r>
            <w:r w:rsidR="008034F2" w:rsidRPr="008C5F1C">
              <w:rPr>
                <w:rFonts w:ascii="Times New Roman" w:hAnsi="Times New Roman" w:cs="Times New Roman"/>
              </w:rPr>
              <w:t xml:space="preserve"> de încălzire</w:t>
            </w:r>
            <w:r w:rsidRPr="008C5F1C">
              <w:rPr>
                <w:rFonts w:ascii="Times New Roman" w:hAnsi="Times New Roman" w:cs="Times New Roman"/>
              </w:rPr>
              <w:t xml:space="preserve"> constituie o sursă importantă de reducere a impactului asupra mediului și de reducere a costurilor, </w:t>
            </w:r>
            <w:r w:rsidR="008034F2" w:rsidRPr="008C5F1C">
              <w:rPr>
                <w:rFonts w:ascii="Times New Roman" w:hAnsi="Times New Roman" w:cs="Times New Roman"/>
              </w:rPr>
              <w:t xml:space="preserve">fiind totodată o prioritate identificată </w:t>
            </w:r>
            <w:r w:rsidRPr="008C5F1C">
              <w:rPr>
                <w:rFonts w:ascii="Times New Roman" w:hAnsi="Times New Roman" w:cs="Times New Roman"/>
              </w:rPr>
              <w:t xml:space="preserve">la nivel regional. </w:t>
            </w:r>
          </w:p>
          <w:p w14:paraId="7F533AFF" w14:textId="77777777" w:rsidR="00653571" w:rsidRPr="008C5F1C" w:rsidRDefault="00D2146B" w:rsidP="00742B97">
            <w:pPr>
              <w:spacing w:after="120" w:line="240" w:lineRule="auto"/>
              <w:contextualSpacing/>
              <w:jc w:val="both"/>
              <w:rPr>
                <w:rFonts w:ascii="Times New Roman" w:hAnsi="Times New Roman" w:cs="Times New Roman"/>
              </w:rPr>
            </w:pPr>
            <w:r w:rsidRPr="008C5F1C">
              <w:rPr>
                <w:rFonts w:ascii="Times New Roman" w:hAnsi="Times New Roman" w:cs="Times New Roman"/>
              </w:rPr>
              <w:t xml:space="preserve">Nu în ultimul rând, aceste intervenții contribuie la diminuarea vulnerabilității energetice a regiunii. </w:t>
            </w:r>
          </w:p>
          <w:p w14:paraId="509793A9" w14:textId="2DBB6098" w:rsidR="00F274C9" w:rsidRPr="008C5F1C" w:rsidRDefault="00F274C9" w:rsidP="00742B97">
            <w:pPr>
              <w:spacing w:after="120" w:line="240" w:lineRule="auto"/>
              <w:contextualSpacing/>
              <w:jc w:val="both"/>
              <w:rPr>
                <w:rFonts w:ascii="Times New Roman" w:eastAsia="Times New Roman" w:hAnsi="Times New Roman" w:cs="Times New Roman"/>
                <w:iCs/>
                <w:noProof/>
              </w:rPr>
            </w:pPr>
          </w:p>
        </w:tc>
      </w:tr>
      <w:tr w:rsidR="001C3913" w:rsidRPr="008C5F1C" w14:paraId="16618690" w14:textId="77777777" w:rsidTr="00F24910">
        <w:tc>
          <w:tcPr>
            <w:tcW w:w="811" w:type="pct"/>
            <w:vMerge/>
            <w:tcBorders>
              <w:left w:val="single" w:sz="4" w:space="0" w:color="auto"/>
              <w:right w:val="single" w:sz="4" w:space="0" w:color="auto"/>
            </w:tcBorders>
          </w:tcPr>
          <w:p w14:paraId="18C94D8F" w14:textId="77777777" w:rsidR="001C3913" w:rsidRPr="008C5F1C" w:rsidRDefault="001C3913" w:rsidP="00534127">
            <w:pPr>
              <w:spacing w:before="120" w:after="120"/>
              <w:rPr>
                <w:rFonts w:ascii="Times New Roman" w:eastAsia="Times New Roman" w:hAnsi="Times New Roman" w:cs="Times New Roman"/>
                <w:b/>
                <w:iCs/>
                <w:noProof/>
              </w:rPr>
            </w:pPr>
          </w:p>
        </w:tc>
        <w:tc>
          <w:tcPr>
            <w:tcW w:w="1197" w:type="pct"/>
            <w:tcBorders>
              <w:top w:val="single" w:sz="4" w:space="0" w:color="auto"/>
              <w:left w:val="single" w:sz="4" w:space="0" w:color="auto"/>
              <w:bottom w:val="single" w:sz="4" w:space="0" w:color="auto"/>
              <w:right w:val="single" w:sz="4" w:space="0" w:color="auto"/>
            </w:tcBorders>
          </w:tcPr>
          <w:p w14:paraId="7DB12CDB" w14:textId="47453C93" w:rsidR="001C3913" w:rsidRPr="008C5F1C" w:rsidRDefault="001C3913" w:rsidP="00534127">
            <w:pPr>
              <w:spacing w:before="120" w:after="120"/>
              <w:rPr>
                <w:rFonts w:ascii="Times New Roman" w:hAnsi="Times New Roman" w:cs="Times New Roman"/>
                <w:b/>
                <w:bCs/>
              </w:rPr>
            </w:pPr>
            <w:r>
              <w:rPr>
                <w:rFonts w:ascii="Times New Roman" w:hAnsi="Times New Roman" w:cs="Times New Roman"/>
                <w:b/>
                <w:bCs/>
              </w:rPr>
              <w:t xml:space="preserve">b (v) </w:t>
            </w:r>
            <w:r w:rsidRPr="001C3913">
              <w:rPr>
                <w:rFonts w:ascii="Times New Roman" w:hAnsi="Times New Roman" w:cs="Times New Roman"/>
                <w:b/>
                <w:bCs/>
              </w:rPr>
              <w:t>Promovarea managementului durabil al apei</w:t>
            </w:r>
          </w:p>
        </w:tc>
        <w:tc>
          <w:tcPr>
            <w:tcW w:w="2993" w:type="pct"/>
            <w:tcBorders>
              <w:top w:val="single" w:sz="4" w:space="0" w:color="auto"/>
              <w:left w:val="single" w:sz="4" w:space="0" w:color="auto"/>
              <w:bottom w:val="single" w:sz="4" w:space="0" w:color="auto"/>
              <w:right w:val="single" w:sz="4" w:space="0" w:color="auto"/>
            </w:tcBorders>
          </w:tcPr>
          <w:p w14:paraId="55D71E7F" w14:textId="58CC7D08" w:rsidR="00C14281" w:rsidRPr="003E7AA2" w:rsidRDefault="00C14281" w:rsidP="001E3E11">
            <w:pPr>
              <w:spacing w:after="120" w:line="240" w:lineRule="auto"/>
              <w:contextualSpacing/>
              <w:jc w:val="both"/>
              <w:rPr>
                <w:rFonts w:ascii="Times New Roman" w:hAnsi="Times New Roman" w:cs="Times New Roman"/>
              </w:rPr>
            </w:pPr>
            <w:r w:rsidRPr="003E7AA2">
              <w:rPr>
                <w:rFonts w:ascii="Times New Roman" w:hAnsi="Times New Roman" w:cs="Times New Roman"/>
              </w:rPr>
              <w:t xml:space="preserve">Nevoia de </w:t>
            </w:r>
            <w:proofErr w:type="spellStart"/>
            <w:r w:rsidRPr="003E7AA2">
              <w:rPr>
                <w:rFonts w:ascii="Times New Roman" w:hAnsi="Times New Roman" w:cs="Times New Roman"/>
              </w:rPr>
              <w:t>investiţii</w:t>
            </w:r>
            <w:proofErr w:type="spellEnd"/>
            <w:r w:rsidRPr="003E7AA2">
              <w:rPr>
                <w:rFonts w:ascii="Times New Roman" w:hAnsi="Times New Roman" w:cs="Times New Roman"/>
              </w:rPr>
              <w:t xml:space="preserve"> pentru conectarea </w:t>
            </w:r>
            <w:proofErr w:type="spellStart"/>
            <w:r w:rsidRPr="003E7AA2">
              <w:rPr>
                <w:rFonts w:ascii="Times New Roman" w:hAnsi="Times New Roman" w:cs="Times New Roman"/>
              </w:rPr>
              <w:t>populaţiei</w:t>
            </w:r>
            <w:proofErr w:type="spellEnd"/>
            <w:r w:rsidRPr="003E7AA2">
              <w:rPr>
                <w:rFonts w:ascii="Times New Roman" w:hAnsi="Times New Roman" w:cs="Times New Roman"/>
              </w:rPr>
              <w:t xml:space="preserve"> la sisteme de alimentare cu apă conforme </w:t>
            </w:r>
            <w:proofErr w:type="spellStart"/>
            <w:r w:rsidRPr="003E7AA2">
              <w:rPr>
                <w:rFonts w:ascii="Times New Roman" w:hAnsi="Times New Roman" w:cs="Times New Roman"/>
              </w:rPr>
              <w:t>şi</w:t>
            </w:r>
            <w:proofErr w:type="spellEnd"/>
            <w:r w:rsidRPr="003E7AA2">
              <w:rPr>
                <w:rFonts w:ascii="Times New Roman" w:hAnsi="Times New Roman" w:cs="Times New Roman"/>
              </w:rPr>
              <w:t xml:space="preserve"> pentru asigurarea de sisteme de colectare </w:t>
            </w:r>
            <w:proofErr w:type="spellStart"/>
            <w:r w:rsidRPr="003E7AA2">
              <w:rPr>
                <w:rFonts w:ascii="Times New Roman" w:hAnsi="Times New Roman" w:cs="Times New Roman"/>
              </w:rPr>
              <w:t>şi</w:t>
            </w:r>
            <w:proofErr w:type="spellEnd"/>
            <w:r w:rsidRPr="003E7AA2">
              <w:rPr>
                <w:rFonts w:ascii="Times New Roman" w:hAnsi="Times New Roman" w:cs="Times New Roman"/>
              </w:rPr>
              <w:t xml:space="preserve"> epurare a apelor uzate din aglomerările rămase este încă foarte mare. Acestea din urmă sunt necesare atât pentru respectarea conformării cu </w:t>
            </w:r>
            <w:proofErr w:type="spellStart"/>
            <w:r w:rsidRPr="003E7AA2">
              <w:rPr>
                <w:rFonts w:ascii="Times New Roman" w:hAnsi="Times New Roman" w:cs="Times New Roman"/>
              </w:rPr>
              <w:t>cerinţele</w:t>
            </w:r>
            <w:proofErr w:type="spellEnd"/>
            <w:r w:rsidRPr="003E7AA2">
              <w:rPr>
                <w:rFonts w:ascii="Times New Roman" w:hAnsi="Times New Roman" w:cs="Times New Roman"/>
              </w:rPr>
              <w:t xml:space="preserve"> Directivei 91/271/CEE, cât </w:t>
            </w:r>
            <w:proofErr w:type="spellStart"/>
            <w:r w:rsidRPr="003E7AA2">
              <w:rPr>
                <w:rFonts w:ascii="Times New Roman" w:hAnsi="Times New Roman" w:cs="Times New Roman"/>
              </w:rPr>
              <w:t>şi</w:t>
            </w:r>
            <w:proofErr w:type="spellEnd"/>
            <w:r w:rsidRPr="003E7AA2">
              <w:rPr>
                <w:rFonts w:ascii="Times New Roman" w:hAnsi="Times New Roman" w:cs="Times New Roman"/>
              </w:rPr>
              <w:t xml:space="preserve"> cu cele ale Directivei 2000/60/CE cu privire la atingerea sau </w:t>
            </w:r>
            <w:proofErr w:type="spellStart"/>
            <w:r w:rsidRPr="003E7AA2">
              <w:rPr>
                <w:rFonts w:ascii="Times New Roman" w:hAnsi="Times New Roman" w:cs="Times New Roman"/>
              </w:rPr>
              <w:t>menţinerea</w:t>
            </w:r>
            <w:proofErr w:type="spellEnd"/>
            <w:r w:rsidRPr="003E7AA2">
              <w:rPr>
                <w:rFonts w:ascii="Times New Roman" w:hAnsi="Times New Roman" w:cs="Times New Roman"/>
              </w:rPr>
              <w:t xml:space="preserve"> stării bune a corpurilor de apă, pentru care România a primit perioade de </w:t>
            </w:r>
            <w:proofErr w:type="spellStart"/>
            <w:r w:rsidRPr="003E7AA2">
              <w:rPr>
                <w:rFonts w:ascii="Times New Roman" w:hAnsi="Times New Roman" w:cs="Times New Roman"/>
              </w:rPr>
              <w:t>tranziţie</w:t>
            </w:r>
            <w:proofErr w:type="spellEnd"/>
            <w:r w:rsidRPr="003E7AA2">
              <w:rPr>
                <w:rFonts w:ascii="Times New Roman" w:hAnsi="Times New Roman" w:cs="Times New Roman"/>
              </w:rPr>
              <w:t xml:space="preserve"> în vederea conformării.</w:t>
            </w:r>
          </w:p>
          <w:p w14:paraId="1112B975" w14:textId="308A5B3B" w:rsidR="0016447E" w:rsidRPr="003E7AA2" w:rsidRDefault="0016447E" w:rsidP="00742B97">
            <w:pPr>
              <w:spacing w:after="120" w:line="240" w:lineRule="auto"/>
              <w:contextualSpacing/>
              <w:jc w:val="both"/>
              <w:rPr>
                <w:rFonts w:ascii="Times New Roman" w:hAnsi="Times New Roman" w:cs="Times New Roman"/>
              </w:rPr>
            </w:pPr>
            <w:r w:rsidRPr="003E7AA2">
              <w:rPr>
                <w:rFonts w:ascii="Times New Roman" w:hAnsi="Times New Roman" w:cs="Times New Roman"/>
              </w:rPr>
              <w:t xml:space="preserve">Infrastructura de apă și apă uzată </w:t>
            </w:r>
            <w:r w:rsidR="003E7AA2" w:rsidRPr="003E7AA2">
              <w:rPr>
                <w:rFonts w:ascii="Times New Roman" w:hAnsi="Times New Roman" w:cs="Times New Roman"/>
              </w:rPr>
              <w:t xml:space="preserve">este </w:t>
            </w:r>
            <w:r w:rsidRPr="003E7AA2">
              <w:rPr>
                <w:rFonts w:ascii="Times New Roman" w:hAnsi="Times New Roman" w:cs="Times New Roman"/>
              </w:rPr>
              <w:t>insuficientă și inadecvată în raport cu cerințele de conformare cu directivele de mediu și pentru asigurarea adecvată a calității vieții</w:t>
            </w:r>
            <w:r w:rsidR="00C14281" w:rsidRPr="003E7AA2">
              <w:rPr>
                <w:rFonts w:ascii="Times New Roman" w:hAnsi="Times New Roman" w:cs="Times New Roman"/>
              </w:rPr>
              <w:t>.</w:t>
            </w:r>
          </w:p>
        </w:tc>
      </w:tr>
      <w:tr w:rsidR="00653571" w:rsidRPr="008C5F1C" w14:paraId="666F9BA6" w14:textId="77777777" w:rsidTr="00F24910">
        <w:tc>
          <w:tcPr>
            <w:tcW w:w="811" w:type="pct"/>
            <w:vMerge/>
            <w:tcBorders>
              <w:left w:val="single" w:sz="4" w:space="0" w:color="auto"/>
              <w:right w:val="single" w:sz="4" w:space="0" w:color="auto"/>
            </w:tcBorders>
          </w:tcPr>
          <w:p w14:paraId="7ED80BB5" w14:textId="77777777" w:rsidR="00653571" w:rsidRPr="008C5F1C" w:rsidRDefault="00653571" w:rsidP="00534127">
            <w:pPr>
              <w:spacing w:before="120" w:after="120"/>
              <w:rPr>
                <w:rFonts w:ascii="Times New Roman" w:eastAsia="Times New Roman" w:hAnsi="Times New Roman" w:cs="Times New Roman"/>
                <w:b/>
                <w:iCs/>
                <w:noProof/>
              </w:rPr>
            </w:pPr>
          </w:p>
        </w:tc>
        <w:tc>
          <w:tcPr>
            <w:tcW w:w="1197" w:type="pct"/>
            <w:tcBorders>
              <w:top w:val="single" w:sz="4" w:space="0" w:color="auto"/>
              <w:left w:val="single" w:sz="4" w:space="0" w:color="auto"/>
              <w:bottom w:val="single" w:sz="4" w:space="0" w:color="auto"/>
              <w:right w:val="single" w:sz="4" w:space="0" w:color="auto"/>
            </w:tcBorders>
          </w:tcPr>
          <w:p w14:paraId="41460D6C" w14:textId="77777777" w:rsidR="00653571" w:rsidRPr="008C5F1C" w:rsidRDefault="00653571" w:rsidP="00534127">
            <w:pPr>
              <w:spacing w:before="120" w:after="120"/>
              <w:rPr>
                <w:rFonts w:ascii="Times New Roman" w:eastAsia="Times New Roman" w:hAnsi="Times New Roman" w:cs="Times New Roman"/>
                <w:i/>
                <w:iCs/>
                <w:noProof/>
              </w:rPr>
            </w:pPr>
            <w:r w:rsidRPr="008C5F1C">
              <w:rPr>
                <w:rFonts w:ascii="Times New Roman" w:hAnsi="Times New Roman" w:cs="Times New Roman"/>
                <w:b/>
                <w:bCs/>
              </w:rPr>
              <w:t>b (vii) Îmbun</w:t>
            </w:r>
            <w:r w:rsidR="00BA7827" w:rsidRPr="008C5F1C">
              <w:rPr>
                <w:rFonts w:ascii="Times New Roman" w:hAnsi="Times New Roman" w:cs="Times New Roman"/>
                <w:b/>
                <w:bCs/>
              </w:rPr>
              <w:t>ă</w:t>
            </w:r>
            <w:r w:rsidRPr="008C5F1C">
              <w:rPr>
                <w:rFonts w:ascii="Times New Roman" w:hAnsi="Times New Roman" w:cs="Times New Roman"/>
                <w:b/>
                <w:bCs/>
              </w:rPr>
              <w:t>t</w:t>
            </w:r>
            <w:r w:rsidR="00BA7827" w:rsidRPr="008C5F1C">
              <w:rPr>
                <w:rFonts w:ascii="Times New Roman" w:hAnsi="Times New Roman" w:cs="Times New Roman"/>
                <w:b/>
                <w:bCs/>
              </w:rPr>
              <w:t>ă</w:t>
            </w:r>
            <w:r w:rsidR="00E22FF2" w:rsidRPr="008C5F1C">
              <w:rPr>
                <w:rFonts w:ascii="Times New Roman" w:hAnsi="Times New Roman" w:cs="Times New Roman"/>
                <w:b/>
                <w:bCs/>
              </w:rPr>
              <w:t>ț</w:t>
            </w:r>
            <w:r w:rsidRPr="008C5F1C">
              <w:rPr>
                <w:rFonts w:ascii="Times New Roman" w:hAnsi="Times New Roman" w:cs="Times New Roman"/>
                <w:b/>
                <w:bCs/>
              </w:rPr>
              <w:t>irea protec</w:t>
            </w:r>
            <w:r w:rsidR="00E22FF2" w:rsidRPr="008C5F1C">
              <w:rPr>
                <w:rFonts w:ascii="Times New Roman" w:hAnsi="Times New Roman" w:cs="Times New Roman"/>
                <w:b/>
                <w:bCs/>
              </w:rPr>
              <w:t>ț</w:t>
            </w:r>
            <w:r w:rsidRPr="008C5F1C">
              <w:rPr>
                <w:rFonts w:ascii="Times New Roman" w:hAnsi="Times New Roman" w:cs="Times New Roman"/>
                <w:b/>
                <w:bCs/>
              </w:rPr>
              <w:t xml:space="preserve">iei naturii </w:t>
            </w:r>
            <w:r w:rsidR="00106240" w:rsidRPr="008C5F1C">
              <w:rPr>
                <w:rFonts w:ascii="Times New Roman" w:hAnsi="Times New Roman" w:cs="Times New Roman"/>
                <w:b/>
                <w:bCs/>
              </w:rPr>
              <w:t>ș</w:t>
            </w:r>
            <w:r w:rsidRPr="008C5F1C">
              <w:rPr>
                <w:rFonts w:ascii="Times New Roman" w:hAnsi="Times New Roman" w:cs="Times New Roman"/>
                <w:b/>
                <w:bCs/>
              </w:rPr>
              <w:t>i a biodiversit</w:t>
            </w:r>
            <w:r w:rsidR="00BA7827" w:rsidRPr="008C5F1C">
              <w:rPr>
                <w:rFonts w:ascii="Times New Roman" w:hAnsi="Times New Roman" w:cs="Times New Roman"/>
                <w:b/>
                <w:bCs/>
              </w:rPr>
              <w:t>ă</w:t>
            </w:r>
            <w:r w:rsidR="00E22FF2" w:rsidRPr="008C5F1C">
              <w:rPr>
                <w:rFonts w:ascii="Times New Roman" w:hAnsi="Times New Roman" w:cs="Times New Roman"/>
                <w:b/>
                <w:bCs/>
              </w:rPr>
              <w:t>ț</w:t>
            </w:r>
            <w:r w:rsidRPr="008C5F1C">
              <w:rPr>
                <w:rFonts w:ascii="Times New Roman" w:hAnsi="Times New Roman" w:cs="Times New Roman"/>
                <w:b/>
                <w:bCs/>
              </w:rPr>
              <w:t xml:space="preserve">ii, a infrastructurii verzi în special în mediul urban </w:t>
            </w:r>
            <w:r w:rsidR="00106240" w:rsidRPr="008C5F1C">
              <w:rPr>
                <w:rFonts w:ascii="Times New Roman" w:hAnsi="Times New Roman" w:cs="Times New Roman"/>
                <w:b/>
                <w:bCs/>
              </w:rPr>
              <w:t>ș</w:t>
            </w:r>
            <w:r w:rsidRPr="008C5F1C">
              <w:rPr>
                <w:rFonts w:ascii="Times New Roman" w:hAnsi="Times New Roman" w:cs="Times New Roman"/>
                <w:b/>
                <w:bCs/>
              </w:rPr>
              <w:t>i reducerea polu</w:t>
            </w:r>
            <w:r w:rsidR="00BA7827" w:rsidRPr="008C5F1C">
              <w:rPr>
                <w:rFonts w:ascii="Times New Roman" w:hAnsi="Times New Roman" w:cs="Times New Roman"/>
                <w:b/>
                <w:bCs/>
              </w:rPr>
              <w:t>ă</w:t>
            </w:r>
            <w:r w:rsidRPr="008C5F1C">
              <w:rPr>
                <w:rFonts w:ascii="Times New Roman" w:hAnsi="Times New Roman" w:cs="Times New Roman"/>
                <w:b/>
                <w:bCs/>
              </w:rPr>
              <w:t>rii</w:t>
            </w:r>
          </w:p>
        </w:tc>
        <w:tc>
          <w:tcPr>
            <w:tcW w:w="2993" w:type="pct"/>
            <w:tcBorders>
              <w:top w:val="single" w:sz="4" w:space="0" w:color="auto"/>
              <w:left w:val="single" w:sz="4" w:space="0" w:color="auto"/>
              <w:bottom w:val="single" w:sz="4" w:space="0" w:color="auto"/>
              <w:right w:val="single" w:sz="4" w:space="0" w:color="auto"/>
            </w:tcBorders>
          </w:tcPr>
          <w:p w14:paraId="377DCD04" w14:textId="77777777" w:rsidR="00EF4F84" w:rsidRPr="003E7AA2" w:rsidRDefault="00EF4F84" w:rsidP="00742B97">
            <w:pPr>
              <w:spacing w:after="120" w:line="240" w:lineRule="auto"/>
              <w:contextualSpacing/>
              <w:jc w:val="both"/>
              <w:rPr>
                <w:rFonts w:ascii="Times New Roman" w:hAnsi="Times New Roman" w:cs="Times New Roman"/>
              </w:rPr>
            </w:pPr>
            <w:r w:rsidRPr="003E7AA2">
              <w:rPr>
                <w:rFonts w:ascii="Times New Roman" w:hAnsi="Times New Roman" w:cs="Times New Roman"/>
              </w:rPr>
              <w:t>Nevoile de finan</w:t>
            </w:r>
            <w:r w:rsidR="00E22FF2" w:rsidRPr="003E7AA2">
              <w:rPr>
                <w:rFonts w:ascii="Times New Roman" w:hAnsi="Times New Roman" w:cs="Times New Roman"/>
              </w:rPr>
              <w:t>ț</w:t>
            </w:r>
            <w:r w:rsidRPr="003E7AA2">
              <w:rPr>
                <w:rFonts w:ascii="Times New Roman" w:hAnsi="Times New Roman" w:cs="Times New Roman"/>
              </w:rPr>
              <w:t>are în ceea ce prive</w:t>
            </w:r>
            <w:r w:rsidR="00106240" w:rsidRPr="003E7AA2">
              <w:rPr>
                <w:rFonts w:ascii="Times New Roman" w:hAnsi="Times New Roman" w:cs="Times New Roman"/>
              </w:rPr>
              <w:t>ș</w:t>
            </w:r>
            <w:r w:rsidRPr="003E7AA2">
              <w:rPr>
                <w:rFonts w:ascii="Times New Roman" w:hAnsi="Times New Roman" w:cs="Times New Roman"/>
              </w:rPr>
              <w:t>te reconversia func</w:t>
            </w:r>
            <w:r w:rsidR="00E22FF2" w:rsidRPr="003E7AA2">
              <w:rPr>
                <w:rFonts w:ascii="Times New Roman" w:hAnsi="Times New Roman" w:cs="Times New Roman"/>
              </w:rPr>
              <w:t>ț</w:t>
            </w:r>
            <w:r w:rsidRPr="003E7AA2">
              <w:rPr>
                <w:rFonts w:ascii="Times New Roman" w:hAnsi="Times New Roman" w:cs="Times New Roman"/>
              </w:rPr>
              <w:t>ional</w:t>
            </w:r>
            <w:r w:rsidR="00BA7827" w:rsidRPr="003E7AA2">
              <w:rPr>
                <w:rFonts w:ascii="Times New Roman" w:hAnsi="Times New Roman" w:cs="Times New Roman"/>
              </w:rPr>
              <w:t>ă</w:t>
            </w:r>
            <w:r w:rsidRPr="003E7AA2">
              <w:rPr>
                <w:rFonts w:ascii="Times New Roman" w:hAnsi="Times New Roman" w:cs="Times New Roman"/>
              </w:rPr>
              <w:t xml:space="preserve"> </w:t>
            </w:r>
            <w:r w:rsidR="00106240" w:rsidRPr="003E7AA2">
              <w:rPr>
                <w:rFonts w:ascii="Times New Roman" w:hAnsi="Times New Roman" w:cs="Times New Roman"/>
              </w:rPr>
              <w:t>ș</w:t>
            </w:r>
            <w:r w:rsidRPr="003E7AA2">
              <w:rPr>
                <w:rFonts w:ascii="Times New Roman" w:hAnsi="Times New Roman" w:cs="Times New Roman"/>
              </w:rPr>
              <w:t xml:space="preserve">i/sau reutilizarea unor terenuri </w:t>
            </w:r>
            <w:r w:rsidR="00106240" w:rsidRPr="003E7AA2">
              <w:rPr>
                <w:rFonts w:ascii="Times New Roman" w:hAnsi="Times New Roman" w:cs="Times New Roman"/>
              </w:rPr>
              <w:t>ș</w:t>
            </w:r>
            <w:r w:rsidRPr="003E7AA2">
              <w:rPr>
                <w:rFonts w:ascii="Times New Roman" w:hAnsi="Times New Roman" w:cs="Times New Roman"/>
              </w:rPr>
              <w:t>i suprafe</w:t>
            </w:r>
            <w:r w:rsidR="00E22FF2" w:rsidRPr="003E7AA2">
              <w:rPr>
                <w:rFonts w:ascii="Times New Roman" w:hAnsi="Times New Roman" w:cs="Times New Roman"/>
              </w:rPr>
              <w:t>ț</w:t>
            </w:r>
            <w:r w:rsidRPr="003E7AA2">
              <w:rPr>
                <w:rFonts w:ascii="Times New Roman" w:hAnsi="Times New Roman" w:cs="Times New Roman"/>
              </w:rPr>
              <w:t xml:space="preserve">e abandonate </w:t>
            </w:r>
            <w:r w:rsidR="00106240" w:rsidRPr="003E7AA2">
              <w:rPr>
                <w:rFonts w:ascii="Times New Roman" w:hAnsi="Times New Roman" w:cs="Times New Roman"/>
              </w:rPr>
              <w:t>ș</w:t>
            </w:r>
            <w:r w:rsidRPr="003E7AA2">
              <w:rPr>
                <w:rFonts w:ascii="Times New Roman" w:hAnsi="Times New Roman" w:cs="Times New Roman"/>
              </w:rPr>
              <w:t>i neutilizate din interiorul ora</w:t>
            </w:r>
            <w:r w:rsidR="00106240" w:rsidRPr="003E7AA2">
              <w:rPr>
                <w:rFonts w:ascii="Times New Roman" w:hAnsi="Times New Roman" w:cs="Times New Roman"/>
              </w:rPr>
              <w:t>ș</w:t>
            </w:r>
            <w:r w:rsidRPr="003E7AA2">
              <w:rPr>
                <w:rFonts w:ascii="Times New Roman" w:hAnsi="Times New Roman" w:cs="Times New Roman"/>
              </w:rPr>
              <w:t>elor este în continuare ridicat</w:t>
            </w:r>
            <w:r w:rsidR="00BA7827" w:rsidRPr="003E7AA2">
              <w:rPr>
                <w:rFonts w:ascii="Times New Roman" w:hAnsi="Times New Roman" w:cs="Times New Roman"/>
              </w:rPr>
              <w:t>ă</w:t>
            </w:r>
            <w:r w:rsidRPr="003E7AA2">
              <w:rPr>
                <w:rFonts w:ascii="Times New Roman" w:hAnsi="Times New Roman" w:cs="Times New Roman"/>
              </w:rPr>
              <w:t xml:space="preserve">. </w:t>
            </w:r>
          </w:p>
          <w:p w14:paraId="702ED1B1" w14:textId="77777777" w:rsidR="00831A6D" w:rsidRPr="003E7AA2" w:rsidRDefault="00EF4F84" w:rsidP="00742B97">
            <w:pPr>
              <w:spacing w:after="120" w:line="240" w:lineRule="auto"/>
              <w:contextualSpacing/>
              <w:jc w:val="both"/>
              <w:rPr>
                <w:rFonts w:ascii="Times New Roman" w:hAnsi="Times New Roman" w:cs="Times New Roman"/>
              </w:rPr>
            </w:pPr>
            <w:r w:rsidRPr="003E7AA2">
              <w:rPr>
                <w:rFonts w:ascii="Times New Roman" w:hAnsi="Times New Roman" w:cs="Times New Roman"/>
              </w:rPr>
              <w:t>Totodat</w:t>
            </w:r>
            <w:r w:rsidR="00BA7827" w:rsidRPr="003E7AA2">
              <w:rPr>
                <w:rFonts w:ascii="Times New Roman" w:hAnsi="Times New Roman" w:cs="Times New Roman"/>
              </w:rPr>
              <w:t>ă</w:t>
            </w:r>
            <w:r w:rsidRPr="003E7AA2">
              <w:rPr>
                <w:rFonts w:ascii="Times New Roman" w:hAnsi="Times New Roman" w:cs="Times New Roman"/>
              </w:rPr>
              <w:t>, pe fondul intensific</w:t>
            </w:r>
            <w:r w:rsidR="00BA7827" w:rsidRPr="003E7AA2">
              <w:rPr>
                <w:rFonts w:ascii="Times New Roman" w:hAnsi="Times New Roman" w:cs="Times New Roman"/>
              </w:rPr>
              <w:t>ă</w:t>
            </w:r>
            <w:r w:rsidRPr="003E7AA2">
              <w:rPr>
                <w:rFonts w:ascii="Times New Roman" w:hAnsi="Times New Roman" w:cs="Times New Roman"/>
              </w:rPr>
              <w:t xml:space="preserve">rii traficului </w:t>
            </w:r>
            <w:r w:rsidR="00106240" w:rsidRPr="003E7AA2">
              <w:rPr>
                <w:rFonts w:ascii="Times New Roman" w:hAnsi="Times New Roman" w:cs="Times New Roman"/>
              </w:rPr>
              <w:t>ș</w:t>
            </w:r>
            <w:r w:rsidRPr="003E7AA2">
              <w:rPr>
                <w:rFonts w:ascii="Times New Roman" w:hAnsi="Times New Roman" w:cs="Times New Roman"/>
              </w:rPr>
              <w:t>i a cre</w:t>
            </w:r>
            <w:r w:rsidR="00106240" w:rsidRPr="003E7AA2">
              <w:rPr>
                <w:rFonts w:ascii="Times New Roman" w:hAnsi="Times New Roman" w:cs="Times New Roman"/>
              </w:rPr>
              <w:t>ș</w:t>
            </w:r>
            <w:r w:rsidRPr="003E7AA2">
              <w:rPr>
                <w:rFonts w:ascii="Times New Roman" w:hAnsi="Times New Roman" w:cs="Times New Roman"/>
              </w:rPr>
              <w:t>terii alarmante a polu</w:t>
            </w:r>
            <w:r w:rsidR="00BA7827" w:rsidRPr="003E7AA2">
              <w:rPr>
                <w:rFonts w:ascii="Times New Roman" w:hAnsi="Times New Roman" w:cs="Times New Roman"/>
              </w:rPr>
              <w:t>ă</w:t>
            </w:r>
            <w:r w:rsidRPr="003E7AA2">
              <w:rPr>
                <w:rFonts w:ascii="Times New Roman" w:hAnsi="Times New Roman" w:cs="Times New Roman"/>
              </w:rPr>
              <w:t>rii în mediul urban, sunt necesare m</w:t>
            </w:r>
            <w:r w:rsidR="00BA7827" w:rsidRPr="003E7AA2">
              <w:rPr>
                <w:rFonts w:ascii="Times New Roman" w:hAnsi="Times New Roman" w:cs="Times New Roman"/>
              </w:rPr>
              <w:t>ă</w:t>
            </w:r>
            <w:r w:rsidRPr="003E7AA2">
              <w:rPr>
                <w:rFonts w:ascii="Times New Roman" w:hAnsi="Times New Roman" w:cs="Times New Roman"/>
              </w:rPr>
              <w:t xml:space="preserve">suri urgente </w:t>
            </w:r>
            <w:r w:rsidR="00106240" w:rsidRPr="003E7AA2">
              <w:rPr>
                <w:rFonts w:ascii="Times New Roman" w:hAnsi="Times New Roman" w:cs="Times New Roman"/>
              </w:rPr>
              <w:t>ș</w:t>
            </w:r>
            <w:r w:rsidRPr="003E7AA2">
              <w:rPr>
                <w:rFonts w:ascii="Times New Roman" w:hAnsi="Times New Roman" w:cs="Times New Roman"/>
              </w:rPr>
              <w:t>i consistente de atenuare a acestor efecte negative asupra s</w:t>
            </w:r>
            <w:r w:rsidR="00BA7827" w:rsidRPr="003E7AA2">
              <w:rPr>
                <w:rFonts w:ascii="Times New Roman" w:hAnsi="Times New Roman" w:cs="Times New Roman"/>
              </w:rPr>
              <w:t>ă</w:t>
            </w:r>
            <w:r w:rsidRPr="003E7AA2">
              <w:rPr>
                <w:rFonts w:ascii="Times New Roman" w:hAnsi="Times New Roman" w:cs="Times New Roman"/>
              </w:rPr>
              <w:t>n</w:t>
            </w:r>
            <w:r w:rsidR="00BA7827" w:rsidRPr="003E7AA2">
              <w:rPr>
                <w:rFonts w:ascii="Times New Roman" w:hAnsi="Times New Roman" w:cs="Times New Roman"/>
              </w:rPr>
              <w:t>ă</w:t>
            </w:r>
            <w:r w:rsidRPr="003E7AA2">
              <w:rPr>
                <w:rFonts w:ascii="Times New Roman" w:hAnsi="Times New Roman" w:cs="Times New Roman"/>
              </w:rPr>
              <w:t>t</w:t>
            </w:r>
            <w:r w:rsidR="00BA7827" w:rsidRPr="003E7AA2">
              <w:rPr>
                <w:rFonts w:ascii="Times New Roman" w:hAnsi="Times New Roman" w:cs="Times New Roman"/>
              </w:rPr>
              <w:t>ă</w:t>
            </w:r>
            <w:r w:rsidR="00E22FF2" w:rsidRPr="003E7AA2">
              <w:rPr>
                <w:rFonts w:ascii="Times New Roman" w:hAnsi="Times New Roman" w:cs="Times New Roman"/>
              </w:rPr>
              <w:t>ț</w:t>
            </w:r>
            <w:r w:rsidRPr="003E7AA2">
              <w:rPr>
                <w:rFonts w:ascii="Times New Roman" w:hAnsi="Times New Roman" w:cs="Times New Roman"/>
              </w:rPr>
              <w:t xml:space="preserve">ii </w:t>
            </w:r>
            <w:r w:rsidR="00106240" w:rsidRPr="003E7AA2">
              <w:rPr>
                <w:rFonts w:ascii="Times New Roman" w:hAnsi="Times New Roman" w:cs="Times New Roman"/>
              </w:rPr>
              <w:t>ș</w:t>
            </w:r>
            <w:r w:rsidRPr="003E7AA2">
              <w:rPr>
                <w:rFonts w:ascii="Times New Roman" w:hAnsi="Times New Roman" w:cs="Times New Roman"/>
              </w:rPr>
              <w:t>i calit</w:t>
            </w:r>
            <w:r w:rsidR="00BA7827" w:rsidRPr="003E7AA2">
              <w:rPr>
                <w:rFonts w:ascii="Times New Roman" w:hAnsi="Times New Roman" w:cs="Times New Roman"/>
              </w:rPr>
              <w:t>ă</w:t>
            </w:r>
            <w:r w:rsidR="00E22FF2" w:rsidRPr="003E7AA2">
              <w:rPr>
                <w:rFonts w:ascii="Times New Roman" w:hAnsi="Times New Roman" w:cs="Times New Roman"/>
              </w:rPr>
              <w:t>ț</w:t>
            </w:r>
            <w:r w:rsidRPr="003E7AA2">
              <w:rPr>
                <w:rFonts w:ascii="Times New Roman" w:hAnsi="Times New Roman" w:cs="Times New Roman"/>
              </w:rPr>
              <w:t>ii vie</w:t>
            </w:r>
            <w:r w:rsidR="00E22FF2" w:rsidRPr="003E7AA2">
              <w:rPr>
                <w:rFonts w:ascii="Times New Roman" w:hAnsi="Times New Roman" w:cs="Times New Roman"/>
              </w:rPr>
              <w:t>ț</w:t>
            </w:r>
            <w:r w:rsidRPr="003E7AA2">
              <w:rPr>
                <w:rFonts w:ascii="Times New Roman" w:hAnsi="Times New Roman" w:cs="Times New Roman"/>
              </w:rPr>
              <w:t>ii locuitorilor, iar spa</w:t>
            </w:r>
            <w:r w:rsidR="00E22FF2" w:rsidRPr="003E7AA2">
              <w:rPr>
                <w:rFonts w:ascii="Times New Roman" w:hAnsi="Times New Roman" w:cs="Times New Roman"/>
              </w:rPr>
              <w:t>ț</w:t>
            </w:r>
            <w:r w:rsidRPr="003E7AA2">
              <w:rPr>
                <w:rFonts w:ascii="Times New Roman" w:hAnsi="Times New Roman" w:cs="Times New Roman"/>
              </w:rPr>
              <w:t>iul verde are un rol esen</w:t>
            </w:r>
            <w:r w:rsidR="00E22FF2" w:rsidRPr="003E7AA2">
              <w:rPr>
                <w:rFonts w:ascii="Times New Roman" w:hAnsi="Times New Roman" w:cs="Times New Roman"/>
              </w:rPr>
              <w:t>ț</w:t>
            </w:r>
            <w:r w:rsidRPr="003E7AA2">
              <w:rPr>
                <w:rFonts w:ascii="Times New Roman" w:hAnsi="Times New Roman" w:cs="Times New Roman"/>
              </w:rPr>
              <w:t>ial în aceast</w:t>
            </w:r>
            <w:r w:rsidR="00BA7827" w:rsidRPr="003E7AA2">
              <w:rPr>
                <w:rFonts w:ascii="Times New Roman" w:hAnsi="Times New Roman" w:cs="Times New Roman"/>
              </w:rPr>
              <w:t>ă</w:t>
            </w:r>
            <w:r w:rsidRPr="003E7AA2">
              <w:rPr>
                <w:rFonts w:ascii="Times New Roman" w:hAnsi="Times New Roman" w:cs="Times New Roman"/>
              </w:rPr>
              <w:t xml:space="preserve"> privin</w:t>
            </w:r>
            <w:r w:rsidR="00E22FF2" w:rsidRPr="003E7AA2">
              <w:rPr>
                <w:rFonts w:ascii="Times New Roman" w:hAnsi="Times New Roman" w:cs="Times New Roman"/>
              </w:rPr>
              <w:t>ț</w:t>
            </w:r>
            <w:r w:rsidR="00BA7827" w:rsidRPr="003E7AA2">
              <w:rPr>
                <w:rFonts w:ascii="Times New Roman" w:hAnsi="Times New Roman" w:cs="Times New Roman"/>
              </w:rPr>
              <w:t>ă</w:t>
            </w:r>
            <w:r w:rsidRPr="003E7AA2">
              <w:rPr>
                <w:rFonts w:ascii="Times New Roman" w:hAnsi="Times New Roman" w:cs="Times New Roman"/>
              </w:rPr>
              <w:t>. La nivelul regiunii, exist</w:t>
            </w:r>
            <w:r w:rsidR="00BA7827" w:rsidRPr="003E7AA2">
              <w:rPr>
                <w:rFonts w:ascii="Times New Roman" w:hAnsi="Times New Roman" w:cs="Times New Roman"/>
              </w:rPr>
              <w:t>ă</w:t>
            </w:r>
            <w:r w:rsidRPr="003E7AA2">
              <w:rPr>
                <w:rFonts w:ascii="Times New Roman" w:hAnsi="Times New Roman" w:cs="Times New Roman"/>
              </w:rPr>
              <w:t xml:space="preserve"> disparit</w:t>
            </w:r>
            <w:r w:rsidR="00BA7827" w:rsidRPr="003E7AA2">
              <w:rPr>
                <w:rFonts w:ascii="Times New Roman" w:hAnsi="Times New Roman" w:cs="Times New Roman"/>
              </w:rPr>
              <w:t>ă</w:t>
            </w:r>
            <w:r w:rsidR="00E22FF2" w:rsidRPr="003E7AA2">
              <w:rPr>
                <w:rFonts w:ascii="Times New Roman" w:hAnsi="Times New Roman" w:cs="Times New Roman"/>
              </w:rPr>
              <w:t>ț</w:t>
            </w:r>
            <w:r w:rsidRPr="003E7AA2">
              <w:rPr>
                <w:rFonts w:ascii="Times New Roman" w:hAnsi="Times New Roman" w:cs="Times New Roman"/>
              </w:rPr>
              <w:t>i însemnate în ceea ce prive</w:t>
            </w:r>
            <w:r w:rsidR="00106240" w:rsidRPr="003E7AA2">
              <w:rPr>
                <w:rFonts w:ascii="Times New Roman" w:hAnsi="Times New Roman" w:cs="Times New Roman"/>
              </w:rPr>
              <w:t>ș</w:t>
            </w:r>
            <w:r w:rsidRPr="003E7AA2">
              <w:rPr>
                <w:rFonts w:ascii="Times New Roman" w:hAnsi="Times New Roman" w:cs="Times New Roman"/>
              </w:rPr>
              <w:t xml:space="preserve">te dimensiunea </w:t>
            </w:r>
            <w:r w:rsidR="00106240" w:rsidRPr="003E7AA2">
              <w:rPr>
                <w:rFonts w:ascii="Times New Roman" w:hAnsi="Times New Roman" w:cs="Times New Roman"/>
              </w:rPr>
              <w:t>ș</w:t>
            </w:r>
            <w:r w:rsidRPr="003E7AA2">
              <w:rPr>
                <w:rFonts w:ascii="Times New Roman" w:hAnsi="Times New Roman" w:cs="Times New Roman"/>
              </w:rPr>
              <w:t>i calitatea spa</w:t>
            </w:r>
            <w:r w:rsidR="00E22FF2" w:rsidRPr="003E7AA2">
              <w:rPr>
                <w:rFonts w:ascii="Times New Roman" w:hAnsi="Times New Roman" w:cs="Times New Roman"/>
              </w:rPr>
              <w:t>ț</w:t>
            </w:r>
            <w:r w:rsidRPr="003E7AA2">
              <w:rPr>
                <w:rFonts w:ascii="Times New Roman" w:hAnsi="Times New Roman" w:cs="Times New Roman"/>
              </w:rPr>
              <w:t>iilor verzi, toate zonele urbane având îns</w:t>
            </w:r>
            <w:r w:rsidR="00BA7827" w:rsidRPr="003E7AA2">
              <w:rPr>
                <w:rFonts w:ascii="Times New Roman" w:hAnsi="Times New Roman" w:cs="Times New Roman"/>
              </w:rPr>
              <w:t>ă</w:t>
            </w:r>
            <w:r w:rsidRPr="003E7AA2">
              <w:rPr>
                <w:rFonts w:ascii="Times New Roman" w:hAnsi="Times New Roman" w:cs="Times New Roman"/>
              </w:rPr>
              <w:t xml:space="preserve"> nevoie de investi</w:t>
            </w:r>
            <w:r w:rsidR="00E22FF2" w:rsidRPr="003E7AA2">
              <w:rPr>
                <w:rFonts w:ascii="Times New Roman" w:hAnsi="Times New Roman" w:cs="Times New Roman"/>
              </w:rPr>
              <w:t>ț</w:t>
            </w:r>
            <w:r w:rsidRPr="003E7AA2">
              <w:rPr>
                <w:rFonts w:ascii="Times New Roman" w:hAnsi="Times New Roman" w:cs="Times New Roman"/>
              </w:rPr>
              <w:t>ii în domeniu.</w:t>
            </w:r>
          </w:p>
          <w:p w14:paraId="4F2F58D4" w14:textId="77777777" w:rsidR="00B27788" w:rsidRPr="003E7AA2" w:rsidRDefault="00EF701E" w:rsidP="00742B97">
            <w:pPr>
              <w:spacing w:after="120" w:line="240" w:lineRule="auto"/>
              <w:contextualSpacing/>
              <w:jc w:val="both"/>
              <w:rPr>
                <w:rFonts w:ascii="Times New Roman" w:eastAsia="Times New Roman" w:hAnsi="Times New Roman" w:cs="Times New Roman"/>
                <w:iCs/>
                <w:noProof/>
              </w:rPr>
            </w:pPr>
            <w:r w:rsidRPr="003E7AA2">
              <w:rPr>
                <w:rFonts w:ascii="Times New Roman" w:hAnsi="Times New Roman" w:cs="Times New Roman"/>
              </w:rPr>
              <w:t xml:space="preserve">Zonele urbane </w:t>
            </w:r>
            <w:r w:rsidR="0024255B" w:rsidRPr="003E7AA2">
              <w:rPr>
                <w:rFonts w:ascii="Times New Roman" w:hAnsi="Times New Roman" w:cs="Times New Roman"/>
              </w:rPr>
              <w:t xml:space="preserve">sunt </w:t>
            </w:r>
            <w:r w:rsidR="003A22FC" w:rsidRPr="003E7AA2">
              <w:rPr>
                <w:rFonts w:ascii="Times New Roman" w:hAnsi="Times New Roman" w:cs="Times New Roman"/>
              </w:rPr>
              <w:t>în special afectate de</w:t>
            </w:r>
            <w:r w:rsidRPr="003E7AA2">
              <w:rPr>
                <w:rFonts w:ascii="Times New Roman" w:hAnsi="Times New Roman" w:cs="Times New Roman"/>
              </w:rPr>
              <w:t xml:space="preserve"> emisiile de gaze cu efect de seră, </w:t>
            </w:r>
            <w:r w:rsidR="003A22FC" w:rsidRPr="003E7AA2">
              <w:rPr>
                <w:rFonts w:ascii="Times New Roman" w:hAnsi="Times New Roman" w:cs="Times New Roman"/>
              </w:rPr>
              <w:t xml:space="preserve">de </w:t>
            </w:r>
            <w:r w:rsidRPr="003E7AA2">
              <w:rPr>
                <w:rFonts w:ascii="Times New Roman" w:hAnsi="Times New Roman" w:cs="Times New Roman"/>
              </w:rPr>
              <w:t>poluarea atmosferică și fonică.</w:t>
            </w:r>
            <w:r w:rsidRPr="003E7AA2">
              <w:rPr>
                <w:rFonts w:ascii="Times New Roman" w:hAnsi="Times New Roman" w:cs="Times New Roman"/>
                <w:bCs/>
              </w:rPr>
              <w:t xml:space="preserve"> </w:t>
            </w:r>
            <w:r w:rsidR="003A22FC" w:rsidRPr="003E7AA2">
              <w:rPr>
                <w:rFonts w:ascii="Times New Roman" w:hAnsi="Times New Roman" w:cs="Times New Roman"/>
              </w:rPr>
              <w:t>S</w:t>
            </w:r>
            <w:r w:rsidRPr="003E7AA2">
              <w:rPr>
                <w:rFonts w:ascii="Times New Roman" w:hAnsi="Times New Roman" w:cs="Times New Roman"/>
              </w:rPr>
              <w:t>ănătatea locuitorilor</w:t>
            </w:r>
            <w:r w:rsidR="003A22FC" w:rsidRPr="003E7AA2">
              <w:rPr>
                <w:rFonts w:ascii="Times New Roman" w:hAnsi="Times New Roman" w:cs="Times New Roman"/>
              </w:rPr>
              <w:t xml:space="preserve"> dar și confortul acestora</w:t>
            </w:r>
            <w:r w:rsidRPr="003E7AA2">
              <w:rPr>
                <w:rFonts w:ascii="Times New Roman" w:hAnsi="Times New Roman" w:cs="Times New Roman"/>
              </w:rPr>
              <w:t xml:space="preserve"> depind </w:t>
            </w:r>
            <w:r w:rsidR="003A22FC" w:rsidRPr="003E7AA2">
              <w:rPr>
                <w:rFonts w:ascii="Times New Roman" w:hAnsi="Times New Roman" w:cs="Times New Roman"/>
              </w:rPr>
              <w:t>atât de calitatea și dispunerea infrastructurii în raport cu zonele de locuit, cât și</w:t>
            </w:r>
            <w:r w:rsidRPr="003E7AA2">
              <w:rPr>
                <w:rFonts w:ascii="Times New Roman" w:hAnsi="Times New Roman" w:cs="Times New Roman"/>
              </w:rPr>
              <w:t xml:space="preserve"> de suprafața </w:t>
            </w:r>
            <w:r w:rsidR="003A22FC" w:rsidRPr="003E7AA2">
              <w:rPr>
                <w:rFonts w:ascii="Times New Roman" w:hAnsi="Times New Roman" w:cs="Times New Roman"/>
              </w:rPr>
              <w:t>verde</w:t>
            </w:r>
            <w:r w:rsidR="00831A6D" w:rsidRPr="003E7AA2">
              <w:rPr>
                <w:rFonts w:ascii="Times New Roman" w:hAnsi="Times New Roman" w:cs="Times New Roman"/>
              </w:rPr>
              <w:t xml:space="preserve"> din oraș</w:t>
            </w:r>
            <w:r w:rsidR="00F83AB7" w:rsidRPr="003E7AA2">
              <w:rPr>
                <w:rFonts w:ascii="Times New Roman" w:hAnsi="Times New Roman" w:cs="Times New Roman"/>
              </w:rPr>
              <w:t>. În urma expansiunii urbane și a creșterii indicelui de motorizare, numeroase spații verzi au fost transformate în parcări, ceea ce a crescut nivelul de disconfort.</w:t>
            </w:r>
          </w:p>
        </w:tc>
      </w:tr>
      <w:tr w:rsidR="00653571" w:rsidRPr="008C5F1C" w14:paraId="03067622" w14:textId="77777777" w:rsidTr="00F24910">
        <w:tc>
          <w:tcPr>
            <w:tcW w:w="811" w:type="pct"/>
            <w:vMerge/>
            <w:tcBorders>
              <w:left w:val="single" w:sz="4" w:space="0" w:color="auto"/>
              <w:bottom w:val="single" w:sz="4" w:space="0" w:color="auto"/>
              <w:right w:val="single" w:sz="4" w:space="0" w:color="auto"/>
            </w:tcBorders>
          </w:tcPr>
          <w:p w14:paraId="62B318F4" w14:textId="77777777" w:rsidR="00653571" w:rsidRPr="008C5F1C" w:rsidRDefault="00653571" w:rsidP="00534127">
            <w:pPr>
              <w:spacing w:before="120" w:after="120"/>
              <w:rPr>
                <w:rFonts w:ascii="Times New Roman" w:eastAsia="Times New Roman" w:hAnsi="Times New Roman" w:cs="Times New Roman"/>
                <w:b/>
                <w:bCs/>
                <w:iCs/>
                <w:noProof/>
              </w:rPr>
            </w:pPr>
          </w:p>
        </w:tc>
        <w:tc>
          <w:tcPr>
            <w:tcW w:w="1197" w:type="pct"/>
            <w:tcBorders>
              <w:top w:val="single" w:sz="4" w:space="0" w:color="auto"/>
              <w:left w:val="single" w:sz="4" w:space="0" w:color="auto"/>
              <w:bottom w:val="single" w:sz="4" w:space="0" w:color="auto"/>
              <w:right w:val="single" w:sz="4" w:space="0" w:color="auto"/>
            </w:tcBorders>
          </w:tcPr>
          <w:p w14:paraId="0BD126D4" w14:textId="77777777" w:rsidR="00653571" w:rsidRPr="008C5F1C" w:rsidRDefault="00653571" w:rsidP="00534127">
            <w:pPr>
              <w:spacing w:before="120" w:after="120"/>
              <w:rPr>
                <w:rFonts w:ascii="Times New Roman" w:eastAsia="Times New Roman" w:hAnsi="Times New Roman" w:cs="Times New Roman"/>
                <w:i/>
                <w:iCs/>
                <w:noProof/>
              </w:rPr>
            </w:pPr>
            <w:r w:rsidRPr="008C5F1C">
              <w:rPr>
                <w:rFonts w:ascii="Times New Roman" w:hAnsi="Times New Roman" w:cs="Times New Roman"/>
                <w:b/>
                <w:bCs/>
              </w:rPr>
              <w:t>b (viii) Promovarea mobilit</w:t>
            </w:r>
            <w:r w:rsidR="00BA7827" w:rsidRPr="008C5F1C">
              <w:rPr>
                <w:rFonts w:ascii="Times New Roman" w:hAnsi="Times New Roman" w:cs="Times New Roman"/>
                <w:b/>
                <w:bCs/>
              </w:rPr>
              <w:t>ă</w:t>
            </w:r>
            <w:r w:rsidR="00E22FF2" w:rsidRPr="008C5F1C">
              <w:rPr>
                <w:rFonts w:ascii="Times New Roman" w:hAnsi="Times New Roman" w:cs="Times New Roman"/>
                <w:b/>
                <w:bCs/>
              </w:rPr>
              <w:t>ț</w:t>
            </w:r>
            <w:r w:rsidRPr="008C5F1C">
              <w:rPr>
                <w:rFonts w:ascii="Times New Roman" w:hAnsi="Times New Roman" w:cs="Times New Roman"/>
                <w:b/>
                <w:bCs/>
              </w:rPr>
              <w:t xml:space="preserve">ii urbane </w:t>
            </w:r>
            <w:proofErr w:type="spellStart"/>
            <w:r w:rsidRPr="008C5F1C">
              <w:rPr>
                <w:rFonts w:ascii="Times New Roman" w:hAnsi="Times New Roman" w:cs="Times New Roman"/>
                <w:b/>
                <w:bCs/>
              </w:rPr>
              <w:t>multimodale</w:t>
            </w:r>
            <w:proofErr w:type="spellEnd"/>
            <w:r w:rsidRPr="008C5F1C">
              <w:rPr>
                <w:rFonts w:ascii="Times New Roman" w:hAnsi="Times New Roman" w:cs="Times New Roman"/>
                <w:b/>
                <w:bCs/>
              </w:rPr>
              <w:t xml:space="preserve"> sustenabile</w:t>
            </w:r>
          </w:p>
        </w:tc>
        <w:tc>
          <w:tcPr>
            <w:tcW w:w="2993" w:type="pct"/>
            <w:tcBorders>
              <w:top w:val="single" w:sz="4" w:space="0" w:color="auto"/>
              <w:left w:val="single" w:sz="4" w:space="0" w:color="auto"/>
              <w:bottom w:val="single" w:sz="4" w:space="0" w:color="auto"/>
              <w:right w:val="single" w:sz="4" w:space="0" w:color="auto"/>
            </w:tcBorders>
          </w:tcPr>
          <w:p w14:paraId="71CB52DA" w14:textId="120E5E6A" w:rsidR="00D55687" w:rsidRPr="008C5F1C" w:rsidRDefault="00D55687" w:rsidP="00742B97">
            <w:pPr>
              <w:spacing w:after="120" w:line="240" w:lineRule="auto"/>
              <w:contextualSpacing/>
              <w:jc w:val="both"/>
              <w:rPr>
                <w:rFonts w:ascii="Times New Roman" w:hAnsi="Times New Roman" w:cs="Times New Roman"/>
              </w:rPr>
            </w:pPr>
            <w:r w:rsidRPr="008C5F1C">
              <w:rPr>
                <w:rFonts w:ascii="Times New Roman" w:hAnsi="Times New Roman" w:cs="Times New Roman"/>
              </w:rPr>
              <w:t>Calitatea transportului public r</w:t>
            </w:r>
            <w:r w:rsidR="00BA7827" w:rsidRPr="008C5F1C">
              <w:rPr>
                <w:rFonts w:ascii="Times New Roman" w:hAnsi="Times New Roman" w:cs="Times New Roman"/>
              </w:rPr>
              <w:t>ă</w:t>
            </w:r>
            <w:r w:rsidRPr="008C5F1C">
              <w:rPr>
                <w:rFonts w:ascii="Times New Roman" w:hAnsi="Times New Roman" w:cs="Times New Roman"/>
              </w:rPr>
              <w:t>mân</w:t>
            </w:r>
            <w:r w:rsidR="00E0439D" w:rsidRPr="008C5F1C">
              <w:rPr>
                <w:rFonts w:ascii="Times New Roman" w:hAnsi="Times New Roman" w:cs="Times New Roman"/>
              </w:rPr>
              <w:t>e</w:t>
            </w:r>
            <w:r w:rsidRPr="008C5F1C">
              <w:rPr>
                <w:rFonts w:ascii="Times New Roman" w:hAnsi="Times New Roman" w:cs="Times New Roman"/>
              </w:rPr>
              <w:t xml:space="preserve"> problematic</w:t>
            </w:r>
            <w:r w:rsidR="00BA7827" w:rsidRPr="008C5F1C">
              <w:rPr>
                <w:rFonts w:ascii="Times New Roman" w:hAnsi="Times New Roman" w:cs="Times New Roman"/>
              </w:rPr>
              <w:t>ă</w:t>
            </w:r>
            <w:r w:rsidRPr="008C5F1C">
              <w:rPr>
                <w:rFonts w:ascii="Times New Roman" w:hAnsi="Times New Roman" w:cs="Times New Roman"/>
              </w:rPr>
              <w:t xml:space="preserve"> în </w:t>
            </w:r>
            <w:r w:rsidR="00EA2794">
              <w:rPr>
                <w:rFonts w:ascii="Times New Roman" w:hAnsi="Times New Roman" w:cs="Times New Roman"/>
              </w:rPr>
              <w:t>regiune</w:t>
            </w:r>
            <w:r w:rsidRPr="008C5F1C">
              <w:rPr>
                <w:rFonts w:ascii="Times New Roman" w:hAnsi="Times New Roman" w:cs="Times New Roman"/>
              </w:rPr>
              <w:t>. Atractivitatea transportului public local este afectat</w:t>
            </w:r>
            <w:r w:rsidR="00BA7827" w:rsidRPr="008C5F1C">
              <w:rPr>
                <w:rFonts w:ascii="Times New Roman" w:hAnsi="Times New Roman" w:cs="Times New Roman"/>
              </w:rPr>
              <w:t>ă</w:t>
            </w:r>
            <w:r w:rsidRPr="008C5F1C">
              <w:rPr>
                <w:rFonts w:ascii="Times New Roman" w:hAnsi="Times New Roman" w:cs="Times New Roman"/>
              </w:rPr>
              <w:t xml:space="preserve"> de vechimea mijloacelor de transport</w:t>
            </w:r>
            <w:r w:rsidR="00EE3FAC" w:rsidRPr="008C5F1C">
              <w:rPr>
                <w:rFonts w:ascii="Times New Roman" w:hAnsi="Times New Roman" w:cs="Times New Roman"/>
              </w:rPr>
              <w:t>,</w:t>
            </w:r>
            <w:r w:rsidRPr="008C5F1C">
              <w:rPr>
                <w:rFonts w:ascii="Times New Roman" w:hAnsi="Times New Roman" w:cs="Times New Roman"/>
              </w:rPr>
              <w:t xml:space="preserve"> de frecven</w:t>
            </w:r>
            <w:r w:rsidR="00E22FF2" w:rsidRPr="008C5F1C">
              <w:rPr>
                <w:rFonts w:ascii="Times New Roman" w:hAnsi="Times New Roman" w:cs="Times New Roman"/>
              </w:rPr>
              <w:t>ț</w:t>
            </w:r>
            <w:r w:rsidRPr="008C5F1C">
              <w:rPr>
                <w:rFonts w:ascii="Times New Roman" w:hAnsi="Times New Roman" w:cs="Times New Roman"/>
              </w:rPr>
              <w:t>a redus</w:t>
            </w:r>
            <w:r w:rsidR="00BA7827" w:rsidRPr="008C5F1C">
              <w:rPr>
                <w:rFonts w:ascii="Times New Roman" w:hAnsi="Times New Roman" w:cs="Times New Roman"/>
              </w:rPr>
              <w:t>ă</w:t>
            </w:r>
            <w:r w:rsidRPr="008C5F1C">
              <w:rPr>
                <w:rFonts w:ascii="Times New Roman" w:hAnsi="Times New Roman" w:cs="Times New Roman"/>
              </w:rPr>
              <w:t xml:space="preserve"> de circula</w:t>
            </w:r>
            <w:r w:rsidR="00E22FF2" w:rsidRPr="008C5F1C">
              <w:rPr>
                <w:rFonts w:ascii="Times New Roman" w:hAnsi="Times New Roman" w:cs="Times New Roman"/>
              </w:rPr>
              <w:t>ț</w:t>
            </w:r>
            <w:r w:rsidRPr="008C5F1C">
              <w:rPr>
                <w:rFonts w:ascii="Times New Roman" w:hAnsi="Times New Roman" w:cs="Times New Roman"/>
              </w:rPr>
              <w:t>ie a acestora dar mai ales de timpul lung alocat parcurgerii unui traseu.</w:t>
            </w:r>
          </w:p>
          <w:p w14:paraId="20366C1C" w14:textId="77777777" w:rsidR="00D55687" w:rsidRPr="008C5F1C" w:rsidRDefault="00D55687" w:rsidP="00742B97">
            <w:pPr>
              <w:spacing w:after="120" w:line="240" w:lineRule="auto"/>
              <w:contextualSpacing/>
              <w:jc w:val="both"/>
              <w:rPr>
                <w:rFonts w:ascii="Times New Roman" w:hAnsi="Times New Roman" w:cs="Times New Roman"/>
              </w:rPr>
            </w:pPr>
            <w:r w:rsidRPr="008C5F1C">
              <w:rPr>
                <w:rFonts w:ascii="Times New Roman" w:hAnsi="Times New Roman" w:cs="Times New Roman"/>
              </w:rPr>
              <w:t>Investi</w:t>
            </w:r>
            <w:r w:rsidR="00E22FF2" w:rsidRPr="008C5F1C">
              <w:rPr>
                <w:rFonts w:ascii="Times New Roman" w:hAnsi="Times New Roman" w:cs="Times New Roman"/>
              </w:rPr>
              <w:t>ț</w:t>
            </w:r>
            <w:r w:rsidRPr="008C5F1C">
              <w:rPr>
                <w:rFonts w:ascii="Times New Roman" w:hAnsi="Times New Roman" w:cs="Times New Roman"/>
              </w:rPr>
              <w:t>iile în sta</w:t>
            </w:r>
            <w:r w:rsidR="00E22FF2" w:rsidRPr="008C5F1C">
              <w:rPr>
                <w:rFonts w:ascii="Times New Roman" w:hAnsi="Times New Roman" w:cs="Times New Roman"/>
              </w:rPr>
              <w:t>ț</w:t>
            </w:r>
            <w:r w:rsidRPr="008C5F1C">
              <w:rPr>
                <w:rFonts w:ascii="Times New Roman" w:hAnsi="Times New Roman" w:cs="Times New Roman"/>
              </w:rPr>
              <w:t>ii de transport public au fost foarte reduse în ultimii ani, iar accesul la informa</w:t>
            </w:r>
            <w:r w:rsidR="00E22FF2" w:rsidRPr="008C5F1C">
              <w:rPr>
                <w:rFonts w:ascii="Times New Roman" w:hAnsi="Times New Roman" w:cs="Times New Roman"/>
              </w:rPr>
              <w:t>ț</w:t>
            </w:r>
            <w:r w:rsidRPr="008C5F1C">
              <w:rPr>
                <w:rFonts w:ascii="Times New Roman" w:hAnsi="Times New Roman" w:cs="Times New Roman"/>
              </w:rPr>
              <w:t>ii în ceea ce prive</w:t>
            </w:r>
            <w:r w:rsidR="00106240" w:rsidRPr="008C5F1C">
              <w:rPr>
                <w:rFonts w:ascii="Times New Roman" w:hAnsi="Times New Roman" w:cs="Times New Roman"/>
              </w:rPr>
              <w:t>ș</w:t>
            </w:r>
            <w:r w:rsidRPr="008C5F1C">
              <w:rPr>
                <w:rFonts w:ascii="Times New Roman" w:hAnsi="Times New Roman" w:cs="Times New Roman"/>
              </w:rPr>
              <w:t>te orarul sau sosirea în sta</w:t>
            </w:r>
            <w:r w:rsidR="00E22FF2" w:rsidRPr="008C5F1C">
              <w:rPr>
                <w:rFonts w:ascii="Times New Roman" w:hAnsi="Times New Roman" w:cs="Times New Roman"/>
              </w:rPr>
              <w:t>ț</w:t>
            </w:r>
            <w:r w:rsidRPr="008C5F1C">
              <w:rPr>
                <w:rFonts w:ascii="Times New Roman" w:hAnsi="Times New Roman" w:cs="Times New Roman"/>
              </w:rPr>
              <w:t>ie a mijloacelor de transport public este înc</w:t>
            </w:r>
            <w:r w:rsidR="00BA7827" w:rsidRPr="008C5F1C">
              <w:rPr>
                <w:rFonts w:ascii="Times New Roman" w:hAnsi="Times New Roman" w:cs="Times New Roman"/>
              </w:rPr>
              <w:t>ă</w:t>
            </w:r>
            <w:r w:rsidRPr="008C5F1C">
              <w:rPr>
                <w:rFonts w:ascii="Times New Roman" w:hAnsi="Times New Roman" w:cs="Times New Roman"/>
              </w:rPr>
              <w:t xml:space="preserve"> precar.</w:t>
            </w:r>
          </w:p>
          <w:p w14:paraId="62DE2BD6" w14:textId="77777777" w:rsidR="00D55687" w:rsidRPr="008C5F1C" w:rsidRDefault="00D55687" w:rsidP="00742B97">
            <w:pPr>
              <w:spacing w:after="120" w:line="240" w:lineRule="auto"/>
              <w:contextualSpacing/>
              <w:jc w:val="both"/>
              <w:rPr>
                <w:rFonts w:ascii="Times New Roman" w:hAnsi="Times New Roman" w:cs="Times New Roman"/>
              </w:rPr>
            </w:pPr>
            <w:r w:rsidRPr="008C5F1C">
              <w:rPr>
                <w:rFonts w:ascii="Times New Roman" w:hAnsi="Times New Roman" w:cs="Times New Roman"/>
              </w:rPr>
              <w:t xml:space="preserve">Infrastructura </w:t>
            </w:r>
            <w:r w:rsidR="00D1633D" w:rsidRPr="008C5F1C">
              <w:rPr>
                <w:rFonts w:ascii="Times New Roman" w:hAnsi="Times New Roman" w:cs="Times New Roman"/>
              </w:rPr>
              <w:t xml:space="preserve">rutieră </w:t>
            </w:r>
            <w:r w:rsidRPr="008C5F1C">
              <w:rPr>
                <w:rFonts w:ascii="Times New Roman" w:hAnsi="Times New Roman" w:cs="Times New Roman"/>
              </w:rPr>
              <w:t>nu este adaptat</w:t>
            </w:r>
            <w:r w:rsidR="00BA7827" w:rsidRPr="008C5F1C">
              <w:rPr>
                <w:rFonts w:ascii="Times New Roman" w:hAnsi="Times New Roman" w:cs="Times New Roman"/>
              </w:rPr>
              <w:t>ă</w:t>
            </w:r>
            <w:r w:rsidRPr="008C5F1C">
              <w:rPr>
                <w:rFonts w:ascii="Times New Roman" w:hAnsi="Times New Roman" w:cs="Times New Roman"/>
              </w:rPr>
              <w:t xml:space="preserve"> pentru a sus</w:t>
            </w:r>
            <w:r w:rsidR="00E22FF2" w:rsidRPr="008C5F1C">
              <w:rPr>
                <w:rFonts w:ascii="Times New Roman" w:hAnsi="Times New Roman" w:cs="Times New Roman"/>
              </w:rPr>
              <w:t>ț</w:t>
            </w:r>
            <w:r w:rsidRPr="008C5F1C">
              <w:rPr>
                <w:rFonts w:ascii="Times New Roman" w:hAnsi="Times New Roman" w:cs="Times New Roman"/>
              </w:rPr>
              <w:t>ine fluxul de transport din zonele periurbane c</w:t>
            </w:r>
            <w:r w:rsidR="00BA7827" w:rsidRPr="008C5F1C">
              <w:rPr>
                <w:rFonts w:ascii="Times New Roman" w:hAnsi="Times New Roman" w:cs="Times New Roman"/>
              </w:rPr>
              <w:t>ă</w:t>
            </w:r>
            <w:r w:rsidRPr="008C5F1C">
              <w:rPr>
                <w:rFonts w:ascii="Times New Roman" w:hAnsi="Times New Roman" w:cs="Times New Roman"/>
              </w:rPr>
              <w:t>tre centrul ora</w:t>
            </w:r>
            <w:r w:rsidR="00106240" w:rsidRPr="008C5F1C">
              <w:rPr>
                <w:rFonts w:ascii="Times New Roman" w:hAnsi="Times New Roman" w:cs="Times New Roman"/>
              </w:rPr>
              <w:t>ș</w:t>
            </w:r>
            <w:r w:rsidRPr="008C5F1C">
              <w:rPr>
                <w:rFonts w:ascii="Times New Roman" w:hAnsi="Times New Roman" w:cs="Times New Roman"/>
              </w:rPr>
              <w:t>elor mari.</w:t>
            </w:r>
            <w:r w:rsidR="008F6871" w:rsidRPr="008C5F1C">
              <w:rPr>
                <w:rFonts w:ascii="Times New Roman" w:hAnsi="Times New Roman" w:cs="Times New Roman"/>
              </w:rPr>
              <w:t xml:space="preserve"> </w:t>
            </w:r>
            <w:r w:rsidR="00BB27C8" w:rsidRPr="008C5F1C">
              <w:rPr>
                <w:rFonts w:ascii="Times New Roman" w:hAnsi="Times New Roman" w:cs="Times New Roman"/>
              </w:rPr>
              <w:t>În cazul reședințelor de județ, este necesară dezvoltarea transportului public metropolitan, inclusiv pe cale ferată și conturarea de noi coridoare metropolitane de mobilitate urbană durabilă pentru a combate și controla efectele negative ale expansiunii urbane.</w:t>
            </w:r>
          </w:p>
          <w:p w14:paraId="00449D64" w14:textId="2DD31F76" w:rsidR="00BB27C8" w:rsidRPr="008C5F1C" w:rsidRDefault="008F6871" w:rsidP="00742B97">
            <w:pPr>
              <w:spacing w:after="120" w:line="240" w:lineRule="auto"/>
              <w:contextualSpacing/>
              <w:jc w:val="both"/>
              <w:rPr>
                <w:rFonts w:ascii="Times New Roman" w:hAnsi="Times New Roman" w:cs="Times New Roman"/>
              </w:rPr>
            </w:pPr>
            <w:r w:rsidRPr="008C5F1C">
              <w:rPr>
                <w:rFonts w:ascii="Times New Roman" w:hAnsi="Times New Roman" w:cs="Times New Roman"/>
              </w:rPr>
              <w:t>Bicicletele sunt utilizate mult sub potențial, fie datorită pistelor necorespunzătoare, fie imposibilității construirii acestora</w:t>
            </w:r>
            <w:r w:rsidR="00D55687" w:rsidRPr="008C5F1C">
              <w:rPr>
                <w:rFonts w:ascii="Times New Roman" w:hAnsi="Times New Roman" w:cs="Times New Roman"/>
              </w:rPr>
              <w:t>. Lipsa facilit</w:t>
            </w:r>
            <w:r w:rsidR="00BA7827" w:rsidRPr="008C5F1C">
              <w:rPr>
                <w:rFonts w:ascii="Times New Roman" w:hAnsi="Times New Roman" w:cs="Times New Roman"/>
              </w:rPr>
              <w:t>ă</w:t>
            </w:r>
            <w:r w:rsidR="00E22FF2" w:rsidRPr="008C5F1C">
              <w:rPr>
                <w:rFonts w:ascii="Times New Roman" w:hAnsi="Times New Roman" w:cs="Times New Roman"/>
              </w:rPr>
              <w:t>ț</w:t>
            </w:r>
            <w:r w:rsidR="00D55687" w:rsidRPr="008C5F1C">
              <w:rPr>
                <w:rFonts w:ascii="Times New Roman" w:hAnsi="Times New Roman" w:cs="Times New Roman"/>
              </w:rPr>
              <w:t>ilor care s</w:t>
            </w:r>
            <w:r w:rsidR="00BA7827" w:rsidRPr="008C5F1C">
              <w:rPr>
                <w:rFonts w:ascii="Times New Roman" w:hAnsi="Times New Roman" w:cs="Times New Roman"/>
              </w:rPr>
              <w:t>ă</w:t>
            </w:r>
            <w:r w:rsidR="00D55687" w:rsidRPr="008C5F1C">
              <w:rPr>
                <w:rFonts w:ascii="Times New Roman" w:hAnsi="Times New Roman" w:cs="Times New Roman"/>
              </w:rPr>
              <w:t xml:space="preserve"> permit</w:t>
            </w:r>
            <w:r w:rsidR="00BA7827" w:rsidRPr="008C5F1C">
              <w:rPr>
                <w:rFonts w:ascii="Times New Roman" w:hAnsi="Times New Roman" w:cs="Times New Roman"/>
              </w:rPr>
              <w:t>ă</w:t>
            </w:r>
            <w:r w:rsidR="00D55687" w:rsidRPr="008C5F1C">
              <w:rPr>
                <w:rFonts w:ascii="Times New Roman" w:hAnsi="Times New Roman" w:cs="Times New Roman"/>
              </w:rPr>
              <w:t xml:space="preserve"> o deplasare sigur</w:t>
            </w:r>
            <w:r w:rsidR="00BA7827" w:rsidRPr="008C5F1C">
              <w:rPr>
                <w:rFonts w:ascii="Times New Roman" w:hAnsi="Times New Roman" w:cs="Times New Roman"/>
              </w:rPr>
              <w:t>ă</w:t>
            </w:r>
            <w:r w:rsidR="00D55687" w:rsidRPr="008C5F1C">
              <w:rPr>
                <w:rFonts w:ascii="Times New Roman" w:hAnsi="Times New Roman" w:cs="Times New Roman"/>
              </w:rPr>
              <w:t xml:space="preserve"> a bicicli</w:t>
            </w:r>
            <w:r w:rsidR="00106240" w:rsidRPr="008C5F1C">
              <w:rPr>
                <w:rFonts w:ascii="Times New Roman" w:hAnsi="Times New Roman" w:cs="Times New Roman"/>
              </w:rPr>
              <w:t>ș</w:t>
            </w:r>
            <w:r w:rsidR="00D55687" w:rsidRPr="008C5F1C">
              <w:rPr>
                <w:rFonts w:ascii="Times New Roman" w:hAnsi="Times New Roman" w:cs="Times New Roman"/>
              </w:rPr>
              <w:t>tilor în mediul urban este principalul motiv pentru care ponderea acestui mod de deplasare este înc</w:t>
            </w:r>
            <w:r w:rsidR="00BA7827" w:rsidRPr="008C5F1C">
              <w:rPr>
                <w:rFonts w:ascii="Times New Roman" w:hAnsi="Times New Roman" w:cs="Times New Roman"/>
              </w:rPr>
              <w:t>ă</w:t>
            </w:r>
            <w:r w:rsidR="00D55687" w:rsidRPr="008C5F1C">
              <w:rPr>
                <w:rFonts w:ascii="Times New Roman" w:hAnsi="Times New Roman" w:cs="Times New Roman"/>
              </w:rPr>
              <w:t xml:space="preserve"> redus</w:t>
            </w:r>
            <w:r w:rsidR="00EA2794">
              <w:rPr>
                <w:rFonts w:ascii="Times New Roman" w:hAnsi="Times New Roman" w:cs="Times New Roman"/>
              </w:rPr>
              <w:t>ă</w:t>
            </w:r>
            <w:r w:rsidR="00D55687" w:rsidRPr="008C5F1C">
              <w:rPr>
                <w:rFonts w:ascii="Times New Roman" w:hAnsi="Times New Roman" w:cs="Times New Roman"/>
              </w:rPr>
              <w:t xml:space="preserve"> (sub 5%). </w:t>
            </w:r>
            <w:r w:rsidR="00EA2794">
              <w:rPr>
                <w:rFonts w:ascii="Times New Roman" w:hAnsi="Times New Roman" w:cs="Times New Roman"/>
              </w:rPr>
              <w:t>Este</w:t>
            </w:r>
            <w:r w:rsidR="00BB27C8" w:rsidRPr="008C5F1C">
              <w:rPr>
                <w:rFonts w:ascii="Times New Roman" w:hAnsi="Times New Roman" w:cs="Times New Roman"/>
              </w:rPr>
              <w:t xml:space="preserve"> necesară continuarea demersurilor pornite în cadrul planurilor de mobilitate </w:t>
            </w:r>
            <w:r w:rsidR="00EA2794">
              <w:rPr>
                <w:rFonts w:ascii="Times New Roman" w:hAnsi="Times New Roman" w:cs="Times New Roman"/>
              </w:rPr>
              <w:t>privind</w:t>
            </w:r>
            <w:r w:rsidR="00BB27C8" w:rsidRPr="008C5F1C">
              <w:rPr>
                <w:rFonts w:ascii="Times New Roman" w:hAnsi="Times New Roman" w:cs="Times New Roman"/>
              </w:rPr>
              <w:t xml:space="preserve"> optimiz</w:t>
            </w:r>
            <w:r w:rsidR="00EA2794">
              <w:rPr>
                <w:rFonts w:ascii="Times New Roman" w:hAnsi="Times New Roman" w:cs="Times New Roman"/>
              </w:rPr>
              <w:t>area</w:t>
            </w:r>
            <w:r w:rsidR="00BB27C8" w:rsidRPr="008C5F1C">
              <w:rPr>
                <w:rFonts w:ascii="Times New Roman" w:hAnsi="Times New Roman" w:cs="Times New Roman"/>
              </w:rPr>
              <w:t xml:space="preserve"> și moderniz</w:t>
            </w:r>
            <w:r w:rsidR="00EA2794">
              <w:rPr>
                <w:rFonts w:ascii="Times New Roman" w:hAnsi="Times New Roman" w:cs="Times New Roman"/>
              </w:rPr>
              <w:t>area</w:t>
            </w:r>
            <w:r w:rsidR="00BB27C8" w:rsidRPr="008C5F1C">
              <w:rPr>
                <w:rFonts w:ascii="Times New Roman" w:hAnsi="Times New Roman" w:cs="Times New Roman"/>
              </w:rPr>
              <w:t xml:space="preserve"> sistemelor de transport public, extinderea și dezvoltarea infrastructurii pentru biciclete și a zonelor pietonale (sau cu prioritate pentru pietoni) și dezvoltarea rețelelor de stații de încărcare vehicule electrice.</w:t>
            </w:r>
          </w:p>
          <w:p w14:paraId="6356C757" w14:textId="77777777" w:rsidR="00EE3FAC" w:rsidRPr="008C5F1C" w:rsidRDefault="00EE3FAC" w:rsidP="00742B97">
            <w:pPr>
              <w:spacing w:after="120" w:line="240" w:lineRule="auto"/>
              <w:contextualSpacing/>
              <w:jc w:val="both"/>
              <w:rPr>
                <w:rFonts w:ascii="Times New Roman" w:hAnsi="Times New Roman" w:cs="Times New Roman"/>
              </w:rPr>
            </w:pPr>
            <w:r w:rsidRPr="008C5F1C">
              <w:rPr>
                <w:rFonts w:ascii="Times New Roman" w:hAnsi="Times New Roman" w:cs="Times New Roman"/>
              </w:rPr>
              <w:t>Infrastructura de transport nu este accesibilizat</w:t>
            </w:r>
            <w:r w:rsidR="00BA7827" w:rsidRPr="008C5F1C">
              <w:rPr>
                <w:rFonts w:ascii="Times New Roman" w:hAnsi="Times New Roman" w:cs="Times New Roman"/>
              </w:rPr>
              <w:t>ă</w:t>
            </w:r>
            <w:r w:rsidRPr="008C5F1C">
              <w:rPr>
                <w:rFonts w:ascii="Times New Roman" w:hAnsi="Times New Roman" w:cs="Times New Roman"/>
              </w:rPr>
              <w:t>. Foarte pu</w:t>
            </w:r>
            <w:r w:rsidR="00E22FF2" w:rsidRPr="008C5F1C">
              <w:rPr>
                <w:rFonts w:ascii="Times New Roman" w:hAnsi="Times New Roman" w:cs="Times New Roman"/>
              </w:rPr>
              <w:t>ț</w:t>
            </w:r>
            <w:r w:rsidRPr="008C5F1C">
              <w:rPr>
                <w:rFonts w:ascii="Times New Roman" w:hAnsi="Times New Roman" w:cs="Times New Roman"/>
              </w:rPr>
              <w:t>ine proiecte implementate în ultimii ani respect</w:t>
            </w:r>
            <w:r w:rsidR="00BA7827" w:rsidRPr="008C5F1C">
              <w:rPr>
                <w:rFonts w:ascii="Times New Roman" w:hAnsi="Times New Roman" w:cs="Times New Roman"/>
              </w:rPr>
              <w:t>ă</w:t>
            </w:r>
            <w:r w:rsidRPr="008C5F1C">
              <w:rPr>
                <w:rFonts w:ascii="Times New Roman" w:hAnsi="Times New Roman" w:cs="Times New Roman"/>
              </w:rPr>
              <w:t xml:space="preserve"> m</w:t>
            </w:r>
            <w:r w:rsidR="00BA7827" w:rsidRPr="008C5F1C">
              <w:rPr>
                <w:rFonts w:ascii="Times New Roman" w:hAnsi="Times New Roman" w:cs="Times New Roman"/>
              </w:rPr>
              <w:t>ă</w:t>
            </w:r>
            <w:r w:rsidRPr="008C5F1C">
              <w:rPr>
                <w:rFonts w:ascii="Times New Roman" w:hAnsi="Times New Roman" w:cs="Times New Roman"/>
              </w:rPr>
              <w:t>car par</w:t>
            </w:r>
            <w:r w:rsidR="00E22FF2" w:rsidRPr="008C5F1C">
              <w:rPr>
                <w:rFonts w:ascii="Times New Roman" w:hAnsi="Times New Roman" w:cs="Times New Roman"/>
              </w:rPr>
              <w:t>ț</w:t>
            </w:r>
            <w:r w:rsidRPr="008C5F1C">
              <w:rPr>
                <w:rFonts w:ascii="Times New Roman" w:hAnsi="Times New Roman" w:cs="Times New Roman"/>
              </w:rPr>
              <w:t>ial Normativul pentru accesibilizarea spa</w:t>
            </w:r>
            <w:r w:rsidR="00E22FF2" w:rsidRPr="008C5F1C">
              <w:rPr>
                <w:rFonts w:ascii="Times New Roman" w:hAnsi="Times New Roman" w:cs="Times New Roman"/>
              </w:rPr>
              <w:t>ț</w:t>
            </w:r>
            <w:r w:rsidRPr="008C5F1C">
              <w:rPr>
                <w:rFonts w:ascii="Times New Roman" w:hAnsi="Times New Roman" w:cs="Times New Roman"/>
              </w:rPr>
              <w:t xml:space="preserve">iului urban NP-051. </w:t>
            </w:r>
          </w:p>
          <w:p w14:paraId="132A2F6C" w14:textId="0D9DCB01" w:rsidR="00BB27C8" w:rsidRPr="008C5F1C" w:rsidRDefault="00A45856" w:rsidP="00742B97">
            <w:pPr>
              <w:spacing w:after="120" w:line="240" w:lineRule="auto"/>
              <w:contextualSpacing/>
              <w:jc w:val="both"/>
              <w:rPr>
                <w:rFonts w:ascii="Times New Roman" w:hAnsi="Times New Roman" w:cs="Times New Roman"/>
              </w:rPr>
            </w:pPr>
            <w:r w:rsidRPr="008C5F1C">
              <w:rPr>
                <w:rFonts w:ascii="Times New Roman" w:hAnsi="Times New Roman" w:cs="Times New Roman"/>
              </w:rPr>
              <w:lastRenderedPageBreak/>
              <w:t>În conformitate cu strategiile regionale relevante</w:t>
            </w:r>
            <w:r w:rsidR="00271C48" w:rsidRPr="008C5F1C">
              <w:rPr>
                <w:rStyle w:val="FootnoteReference"/>
                <w:rFonts w:ascii="Times New Roman" w:hAnsi="Times New Roman" w:cs="Times New Roman"/>
              </w:rPr>
              <w:footnoteReference w:id="28"/>
            </w:r>
            <w:r w:rsidRPr="008C5F1C">
              <w:rPr>
                <w:rFonts w:ascii="Times New Roman" w:hAnsi="Times New Roman" w:cs="Times New Roman"/>
              </w:rPr>
              <w:t xml:space="preserve">, este oportună </w:t>
            </w:r>
            <w:r w:rsidR="00B27788" w:rsidRPr="008C5F1C">
              <w:rPr>
                <w:rFonts w:ascii="Times New Roman" w:hAnsi="Times New Roman" w:cs="Times New Roman"/>
              </w:rPr>
              <w:t>valorificarea tehnologiei informa</w:t>
            </w:r>
            <w:r w:rsidR="00E22FF2" w:rsidRPr="008C5F1C">
              <w:rPr>
                <w:rFonts w:ascii="Times New Roman" w:hAnsi="Times New Roman" w:cs="Times New Roman"/>
              </w:rPr>
              <w:t>ț</w:t>
            </w:r>
            <w:r w:rsidR="00B27788" w:rsidRPr="008C5F1C">
              <w:rPr>
                <w:rFonts w:ascii="Times New Roman" w:hAnsi="Times New Roman" w:cs="Times New Roman"/>
              </w:rPr>
              <w:t xml:space="preserve">iei </w:t>
            </w:r>
            <w:r w:rsidR="00106240" w:rsidRPr="008C5F1C">
              <w:rPr>
                <w:rFonts w:ascii="Times New Roman" w:hAnsi="Times New Roman" w:cs="Times New Roman"/>
              </w:rPr>
              <w:t>ș</w:t>
            </w:r>
            <w:r w:rsidR="00B27788" w:rsidRPr="008C5F1C">
              <w:rPr>
                <w:rFonts w:ascii="Times New Roman" w:hAnsi="Times New Roman" w:cs="Times New Roman"/>
              </w:rPr>
              <w:t>i comunica</w:t>
            </w:r>
            <w:r w:rsidR="00E22FF2" w:rsidRPr="008C5F1C">
              <w:rPr>
                <w:rFonts w:ascii="Times New Roman" w:hAnsi="Times New Roman" w:cs="Times New Roman"/>
              </w:rPr>
              <w:t>ț</w:t>
            </w:r>
            <w:r w:rsidR="00B27788" w:rsidRPr="008C5F1C">
              <w:rPr>
                <w:rFonts w:ascii="Times New Roman" w:hAnsi="Times New Roman" w:cs="Times New Roman"/>
              </w:rPr>
              <w:t>iilor pentru „mobilitatea urbană inteligentă” / „</w:t>
            </w:r>
            <w:proofErr w:type="spellStart"/>
            <w:r w:rsidR="00B27788" w:rsidRPr="008C5F1C">
              <w:rPr>
                <w:rFonts w:ascii="Times New Roman" w:hAnsi="Times New Roman" w:cs="Times New Roman"/>
              </w:rPr>
              <w:t>smart</w:t>
            </w:r>
            <w:proofErr w:type="spellEnd"/>
            <w:r w:rsidR="00B27788" w:rsidRPr="008C5F1C">
              <w:rPr>
                <w:rFonts w:ascii="Times New Roman" w:hAnsi="Times New Roman" w:cs="Times New Roman"/>
              </w:rPr>
              <w:t xml:space="preserve"> </w:t>
            </w:r>
            <w:proofErr w:type="spellStart"/>
            <w:r w:rsidR="00B27788" w:rsidRPr="008C5F1C">
              <w:rPr>
                <w:rFonts w:ascii="Times New Roman" w:hAnsi="Times New Roman" w:cs="Times New Roman"/>
              </w:rPr>
              <w:t>mobility</w:t>
            </w:r>
            <w:proofErr w:type="spellEnd"/>
            <w:r w:rsidR="00B27788" w:rsidRPr="008C5F1C">
              <w:rPr>
                <w:rFonts w:ascii="Times New Roman" w:hAnsi="Times New Roman" w:cs="Times New Roman"/>
              </w:rPr>
              <w:t>”</w:t>
            </w:r>
            <w:r w:rsidR="00B50463" w:rsidRPr="008C5F1C">
              <w:rPr>
                <w:rFonts w:ascii="Times New Roman" w:hAnsi="Times New Roman" w:cs="Times New Roman"/>
              </w:rPr>
              <w:t>.</w:t>
            </w:r>
            <w:r w:rsidR="00B27788" w:rsidRPr="008C5F1C">
              <w:rPr>
                <w:rFonts w:ascii="Times New Roman" w:hAnsi="Times New Roman" w:cs="Times New Roman"/>
              </w:rPr>
              <w:t xml:space="preserve"> Astfel </w:t>
            </w:r>
            <w:r w:rsidR="00B50463" w:rsidRPr="008C5F1C">
              <w:rPr>
                <w:rFonts w:ascii="Times New Roman" w:hAnsi="Times New Roman" w:cs="Times New Roman"/>
              </w:rPr>
              <w:t xml:space="preserve">se </w:t>
            </w:r>
            <w:r w:rsidR="00BB27C8" w:rsidRPr="008C5F1C">
              <w:rPr>
                <w:rFonts w:ascii="Times New Roman" w:hAnsi="Times New Roman" w:cs="Times New Roman"/>
              </w:rPr>
              <w:t>urmărește</w:t>
            </w:r>
            <w:r w:rsidR="00B27788" w:rsidRPr="008C5F1C">
              <w:rPr>
                <w:rFonts w:ascii="Times New Roman" w:hAnsi="Times New Roman" w:cs="Times New Roman"/>
              </w:rPr>
              <w:t xml:space="preserve"> integrarea serviciilor de transport în baze de date </w:t>
            </w:r>
            <w:r w:rsidR="00106240" w:rsidRPr="008C5F1C">
              <w:rPr>
                <w:rFonts w:ascii="Times New Roman" w:hAnsi="Times New Roman" w:cs="Times New Roman"/>
              </w:rPr>
              <w:t>ș</w:t>
            </w:r>
            <w:r w:rsidR="00B27788" w:rsidRPr="008C5F1C">
              <w:rPr>
                <w:rFonts w:ascii="Times New Roman" w:hAnsi="Times New Roman" w:cs="Times New Roman"/>
              </w:rPr>
              <w:t>i aplica</w:t>
            </w:r>
            <w:r w:rsidR="00E22FF2" w:rsidRPr="008C5F1C">
              <w:rPr>
                <w:rFonts w:ascii="Times New Roman" w:hAnsi="Times New Roman" w:cs="Times New Roman"/>
              </w:rPr>
              <w:t>ț</w:t>
            </w:r>
            <w:r w:rsidR="00B27788" w:rsidRPr="008C5F1C">
              <w:rPr>
                <w:rFonts w:ascii="Times New Roman" w:hAnsi="Times New Roman" w:cs="Times New Roman"/>
              </w:rPr>
              <w:t xml:space="preserve">ii menite să ajute </w:t>
            </w:r>
            <w:r w:rsidR="00106240" w:rsidRPr="008C5F1C">
              <w:rPr>
                <w:rFonts w:ascii="Times New Roman" w:hAnsi="Times New Roman" w:cs="Times New Roman"/>
              </w:rPr>
              <w:t>ș</w:t>
            </w:r>
            <w:r w:rsidR="00B27788" w:rsidRPr="008C5F1C">
              <w:rPr>
                <w:rFonts w:ascii="Times New Roman" w:hAnsi="Times New Roman" w:cs="Times New Roman"/>
              </w:rPr>
              <w:t>i încurajeze cetă</w:t>
            </w:r>
            <w:r w:rsidR="00E22FF2" w:rsidRPr="008C5F1C">
              <w:rPr>
                <w:rFonts w:ascii="Times New Roman" w:hAnsi="Times New Roman" w:cs="Times New Roman"/>
              </w:rPr>
              <w:t>ț</w:t>
            </w:r>
            <w:r w:rsidR="00B27788" w:rsidRPr="008C5F1C">
              <w:rPr>
                <w:rFonts w:ascii="Times New Roman" w:hAnsi="Times New Roman" w:cs="Times New Roman"/>
              </w:rPr>
              <w:t>enii să folosească modalită</w:t>
            </w:r>
            <w:r w:rsidR="00E22FF2" w:rsidRPr="008C5F1C">
              <w:rPr>
                <w:rFonts w:ascii="Times New Roman" w:hAnsi="Times New Roman" w:cs="Times New Roman"/>
              </w:rPr>
              <w:t>ț</w:t>
            </w:r>
            <w:r w:rsidR="00B27788" w:rsidRPr="008C5F1C">
              <w:rPr>
                <w:rFonts w:ascii="Times New Roman" w:hAnsi="Times New Roman" w:cs="Times New Roman"/>
              </w:rPr>
              <w:t xml:space="preserve">i de deplasare cu un impact cât mai redus asupra mediului. </w:t>
            </w:r>
          </w:p>
          <w:p w14:paraId="546A09CA" w14:textId="72EB4067" w:rsidR="00941A04" w:rsidRPr="008C5F1C" w:rsidRDefault="00EA2794" w:rsidP="00742B97">
            <w:pPr>
              <w:spacing w:after="120" w:line="240" w:lineRule="auto"/>
              <w:contextualSpacing/>
              <w:jc w:val="both"/>
              <w:rPr>
                <w:rFonts w:ascii="Times New Roman" w:hAnsi="Times New Roman" w:cs="Times New Roman"/>
              </w:rPr>
            </w:pPr>
            <w:r>
              <w:rPr>
                <w:rFonts w:ascii="Times New Roman" w:hAnsi="Times New Roman" w:cs="Times New Roman"/>
              </w:rPr>
              <w:t>Este</w:t>
            </w:r>
            <w:r w:rsidR="00BB27C8" w:rsidRPr="008C5F1C">
              <w:rPr>
                <w:rFonts w:ascii="Times New Roman" w:hAnsi="Times New Roman" w:cs="Times New Roman"/>
              </w:rPr>
              <w:t xml:space="preserve"> necesară</w:t>
            </w:r>
            <w:r w:rsidR="00B27788" w:rsidRPr="008C5F1C">
              <w:rPr>
                <w:rFonts w:ascii="Times New Roman" w:hAnsi="Times New Roman" w:cs="Times New Roman"/>
              </w:rPr>
              <w:t xml:space="preserve"> dezvolt</w:t>
            </w:r>
            <w:r w:rsidR="00BB27C8" w:rsidRPr="008C5F1C">
              <w:rPr>
                <w:rFonts w:ascii="Times New Roman" w:hAnsi="Times New Roman" w:cs="Times New Roman"/>
              </w:rPr>
              <w:t>area</w:t>
            </w:r>
            <w:r w:rsidR="00B27788" w:rsidRPr="008C5F1C">
              <w:rPr>
                <w:rFonts w:ascii="Times New Roman" w:hAnsi="Times New Roman" w:cs="Times New Roman"/>
              </w:rPr>
              <w:t xml:space="preserve"> sistemelor de management al traficului pentru ora</w:t>
            </w:r>
            <w:r w:rsidR="00106240" w:rsidRPr="008C5F1C">
              <w:rPr>
                <w:rFonts w:ascii="Times New Roman" w:hAnsi="Times New Roman" w:cs="Times New Roman"/>
              </w:rPr>
              <w:t>ș</w:t>
            </w:r>
            <w:r w:rsidR="00B27788" w:rsidRPr="008C5F1C">
              <w:rPr>
                <w:rFonts w:ascii="Times New Roman" w:hAnsi="Times New Roman" w:cs="Times New Roman"/>
              </w:rPr>
              <w:t>ele mari</w:t>
            </w:r>
            <w:r w:rsidR="00BB27C8" w:rsidRPr="008C5F1C">
              <w:rPr>
                <w:rFonts w:ascii="Times New Roman" w:hAnsi="Times New Roman" w:cs="Times New Roman"/>
              </w:rPr>
              <w:t>,</w:t>
            </w:r>
            <w:r w:rsidR="00B27788" w:rsidRPr="008C5F1C">
              <w:rPr>
                <w:rFonts w:ascii="Times New Roman" w:hAnsi="Times New Roman" w:cs="Times New Roman"/>
              </w:rPr>
              <w:t xml:space="preserve"> alături de sisteme TIC pentru optimizarea transportului public (mai ales pentru ora</w:t>
            </w:r>
            <w:r w:rsidR="00106240" w:rsidRPr="008C5F1C">
              <w:rPr>
                <w:rFonts w:ascii="Times New Roman" w:hAnsi="Times New Roman" w:cs="Times New Roman"/>
              </w:rPr>
              <w:t>ș</w:t>
            </w:r>
            <w:r w:rsidR="00B27788" w:rsidRPr="008C5F1C">
              <w:rPr>
                <w:rFonts w:ascii="Times New Roman" w:hAnsi="Times New Roman" w:cs="Times New Roman"/>
              </w:rPr>
              <w:t xml:space="preserve">ele mici care au implementat recent astfel de servicii). </w:t>
            </w:r>
          </w:p>
        </w:tc>
      </w:tr>
      <w:tr w:rsidR="00653571" w:rsidRPr="008C5F1C" w14:paraId="09CDAA3C" w14:textId="77777777" w:rsidTr="00F24910">
        <w:tc>
          <w:tcPr>
            <w:tcW w:w="811" w:type="pct"/>
            <w:tcBorders>
              <w:top w:val="single" w:sz="4" w:space="0" w:color="auto"/>
              <w:left w:val="single" w:sz="4" w:space="0" w:color="auto"/>
              <w:bottom w:val="single" w:sz="4" w:space="0" w:color="auto"/>
              <w:right w:val="single" w:sz="4" w:space="0" w:color="auto"/>
            </w:tcBorders>
          </w:tcPr>
          <w:p w14:paraId="29EEB179" w14:textId="77777777" w:rsidR="00653571" w:rsidRPr="008C5F1C" w:rsidRDefault="00653571" w:rsidP="00534127">
            <w:pPr>
              <w:spacing w:before="120" w:after="120"/>
              <w:rPr>
                <w:rFonts w:ascii="Times New Roman" w:hAnsi="Times New Roman" w:cs="Times New Roman"/>
                <w:b/>
                <w:bCs/>
                <w:noProof/>
              </w:rPr>
            </w:pPr>
            <w:r w:rsidRPr="008C5F1C">
              <w:rPr>
                <w:rFonts w:ascii="Times New Roman" w:hAnsi="Times New Roman" w:cs="Times New Roman"/>
                <w:b/>
                <w:bCs/>
                <w:noProof/>
              </w:rPr>
              <w:lastRenderedPageBreak/>
              <w:t>OP3 „O Europ</w:t>
            </w:r>
            <w:r w:rsidR="00BA7827" w:rsidRPr="008C5F1C">
              <w:rPr>
                <w:rFonts w:ascii="Times New Roman" w:hAnsi="Times New Roman" w:cs="Times New Roman"/>
                <w:b/>
                <w:bCs/>
                <w:noProof/>
              </w:rPr>
              <w:t>ă</w:t>
            </w:r>
            <w:r w:rsidRPr="008C5F1C">
              <w:rPr>
                <w:rFonts w:ascii="Times New Roman" w:hAnsi="Times New Roman" w:cs="Times New Roman"/>
                <w:b/>
                <w:bCs/>
                <w:noProof/>
              </w:rPr>
              <w:t xml:space="preserve"> mai conectat</w:t>
            </w:r>
            <w:r w:rsidR="00BA7827" w:rsidRPr="008C5F1C">
              <w:rPr>
                <w:rFonts w:ascii="Times New Roman" w:hAnsi="Times New Roman" w:cs="Times New Roman"/>
                <w:b/>
                <w:bCs/>
                <w:noProof/>
              </w:rPr>
              <w:t>ă</w:t>
            </w:r>
            <w:r w:rsidRPr="008C5F1C">
              <w:rPr>
                <w:rFonts w:ascii="Times New Roman" w:hAnsi="Times New Roman" w:cs="Times New Roman"/>
                <w:b/>
                <w:bCs/>
                <w:noProof/>
              </w:rPr>
              <w:t xml:space="preserve"> prin dezvoltarea mobilit</w:t>
            </w:r>
            <w:r w:rsidR="00BA7827" w:rsidRPr="008C5F1C">
              <w:rPr>
                <w:rFonts w:ascii="Times New Roman" w:hAnsi="Times New Roman" w:cs="Times New Roman"/>
                <w:b/>
                <w:bCs/>
                <w:noProof/>
              </w:rPr>
              <w:t>ă</w:t>
            </w:r>
            <w:r w:rsidR="00E22FF2" w:rsidRPr="008C5F1C">
              <w:rPr>
                <w:rFonts w:ascii="Times New Roman" w:hAnsi="Times New Roman" w:cs="Times New Roman"/>
                <w:b/>
                <w:bCs/>
                <w:noProof/>
              </w:rPr>
              <w:t>ț</w:t>
            </w:r>
            <w:r w:rsidRPr="008C5F1C">
              <w:rPr>
                <w:rFonts w:ascii="Times New Roman" w:hAnsi="Times New Roman" w:cs="Times New Roman"/>
                <w:b/>
                <w:bCs/>
                <w:noProof/>
              </w:rPr>
              <w:t xml:space="preserve">ii </w:t>
            </w:r>
            <w:r w:rsidR="00106240" w:rsidRPr="008C5F1C">
              <w:rPr>
                <w:rFonts w:ascii="Times New Roman" w:hAnsi="Times New Roman" w:cs="Times New Roman"/>
                <w:b/>
                <w:bCs/>
                <w:noProof/>
              </w:rPr>
              <w:t>ș</w:t>
            </w:r>
            <w:r w:rsidRPr="008C5F1C">
              <w:rPr>
                <w:rFonts w:ascii="Times New Roman" w:hAnsi="Times New Roman" w:cs="Times New Roman"/>
                <w:b/>
                <w:bCs/>
                <w:noProof/>
              </w:rPr>
              <w:t>i a conectivit</w:t>
            </w:r>
            <w:r w:rsidR="00BA7827" w:rsidRPr="008C5F1C">
              <w:rPr>
                <w:rFonts w:ascii="Times New Roman" w:hAnsi="Times New Roman" w:cs="Times New Roman"/>
                <w:b/>
                <w:bCs/>
                <w:noProof/>
              </w:rPr>
              <w:t>ă</w:t>
            </w:r>
            <w:r w:rsidR="00E22FF2" w:rsidRPr="008C5F1C">
              <w:rPr>
                <w:rFonts w:ascii="Times New Roman" w:hAnsi="Times New Roman" w:cs="Times New Roman"/>
                <w:b/>
                <w:bCs/>
                <w:noProof/>
              </w:rPr>
              <w:t>ț</w:t>
            </w:r>
            <w:r w:rsidRPr="008C5F1C">
              <w:rPr>
                <w:rFonts w:ascii="Times New Roman" w:hAnsi="Times New Roman" w:cs="Times New Roman"/>
                <w:b/>
                <w:bCs/>
                <w:noProof/>
              </w:rPr>
              <w:t>ii TIC regionale”</w:t>
            </w:r>
          </w:p>
        </w:tc>
        <w:tc>
          <w:tcPr>
            <w:tcW w:w="1197" w:type="pct"/>
            <w:tcBorders>
              <w:top w:val="single" w:sz="4" w:space="0" w:color="auto"/>
              <w:left w:val="single" w:sz="4" w:space="0" w:color="auto"/>
              <w:bottom w:val="single" w:sz="4" w:space="0" w:color="auto"/>
              <w:right w:val="single" w:sz="4" w:space="0" w:color="auto"/>
            </w:tcBorders>
          </w:tcPr>
          <w:p w14:paraId="451B2E80" w14:textId="77777777" w:rsidR="00653571" w:rsidRPr="008C5F1C" w:rsidRDefault="00653571" w:rsidP="00534127">
            <w:pPr>
              <w:rPr>
                <w:rFonts w:ascii="Times New Roman" w:hAnsi="Times New Roman" w:cs="Times New Roman"/>
                <w:b/>
                <w:bCs/>
              </w:rPr>
            </w:pPr>
            <w:r w:rsidRPr="008C5F1C">
              <w:rPr>
                <w:rFonts w:ascii="Times New Roman" w:hAnsi="Times New Roman" w:cs="Times New Roman"/>
                <w:b/>
                <w:bCs/>
              </w:rPr>
              <w:t>c (iii) Dezvoltarea unei mobilit</w:t>
            </w:r>
            <w:r w:rsidR="00BA7827" w:rsidRPr="008C5F1C">
              <w:rPr>
                <w:rFonts w:ascii="Times New Roman" w:hAnsi="Times New Roman" w:cs="Times New Roman"/>
                <w:b/>
                <w:bCs/>
              </w:rPr>
              <w:t>ă</w:t>
            </w:r>
            <w:r w:rsidR="00E22FF2" w:rsidRPr="008C5F1C">
              <w:rPr>
                <w:rFonts w:ascii="Times New Roman" w:hAnsi="Times New Roman" w:cs="Times New Roman"/>
                <w:b/>
                <w:bCs/>
              </w:rPr>
              <w:t>ț</w:t>
            </w:r>
            <w:r w:rsidRPr="008C5F1C">
              <w:rPr>
                <w:rFonts w:ascii="Times New Roman" w:hAnsi="Times New Roman" w:cs="Times New Roman"/>
                <w:b/>
                <w:bCs/>
              </w:rPr>
              <w:t>i na</w:t>
            </w:r>
            <w:r w:rsidR="00E22FF2" w:rsidRPr="008C5F1C">
              <w:rPr>
                <w:rFonts w:ascii="Times New Roman" w:hAnsi="Times New Roman" w:cs="Times New Roman"/>
                <w:b/>
                <w:bCs/>
              </w:rPr>
              <w:t>ț</w:t>
            </w:r>
            <w:r w:rsidRPr="008C5F1C">
              <w:rPr>
                <w:rFonts w:ascii="Times New Roman" w:hAnsi="Times New Roman" w:cs="Times New Roman"/>
                <w:b/>
                <w:bCs/>
              </w:rPr>
              <w:t xml:space="preserve">ionale, regionale </w:t>
            </w:r>
            <w:r w:rsidR="00106240" w:rsidRPr="008C5F1C">
              <w:rPr>
                <w:rFonts w:ascii="Times New Roman" w:hAnsi="Times New Roman" w:cs="Times New Roman"/>
                <w:b/>
                <w:bCs/>
              </w:rPr>
              <w:t>ș</w:t>
            </w:r>
            <w:r w:rsidRPr="008C5F1C">
              <w:rPr>
                <w:rFonts w:ascii="Times New Roman" w:hAnsi="Times New Roman" w:cs="Times New Roman"/>
                <w:b/>
                <w:bCs/>
              </w:rPr>
              <w:t xml:space="preserve">i locale durabile, </w:t>
            </w:r>
            <w:proofErr w:type="spellStart"/>
            <w:r w:rsidRPr="008C5F1C">
              <w:rPr>
                <w:rFonts w:ascii="Times New Roman" w:hAnsi="Times New Roman" w:cs="Times New Roman"/>
                <w:b/>
                <w:bCs/>
              </w:rPr>
              <w:t>reziliente</w:t>
            </w:r>
            <w:proofErr w:type="spellEnd"/>
            <w:r w:rsidRPr="008C5F1C">
              <w:rPr>
                <w:rFonts w:ascii="Times New Roman" w:hAnsi="Times New Roman" w:cs="Times New Roman"/>
                <w:b/>
                <w:bCs/>
              </w:rPr>
              <w:t xml:space="preserve"> în fa</w:t>
            </w:r>
            <w:r w:rsidR="00E22FF2" w:rsidRPr="008C5F1C">
              <w:rPr>
                <w:rFonts w:ascii="Times New Roman" w:hAnsi="Times New Roman" w:cs="Times New Roman"/>
                <w:b/>
                <w:bCs/>
              </w:rPr>
              <w:t>ț</w:t>
            </w:r>
            <w:r w:rsidRPr="008C5F1C">
              <w:rPr>
                <w:rFonts w:ascii="Times New Roman" w:hAnsi="Times New Roman" w:cs="Times New Roman"/>
                <w:b/>
                <w:bCs/>
              </w:rPr>
              <w:t>a schimb</w:t>
            </w:r>
            <w:r w:rsidR="00BA7827" w:rsidRPr="008C5F1C">
              <w:rPr>
                <w:rFonts w:ascii="Times New Roman" w:hAnsi="Times New Roman" w:cs="Times New Roman"/>
                <w:b/>
                <w:bCs/>
              </w:rPr>
              <w:t>ă</w:t>
            </w:r>
            <w:r w:rsidRPr="008C5F1C">
              <w:rPr>
                <w:rFonts w:ascii="Times New Roman" w:hAnsi="Times New Roman" w:cs="Times New Roman"/>
                <w:b/>
                <w:bCs/>
              </w:rPr>
              <w:t xml:space="preserve">rilor climatice, inteligente </w:t>
            </w:r>
            <w:r w:rsidR="00106240" w:rsidRPr="008C5F1C">
              <w:rPr>
                <w:rFonts w:ascii="Times New Roman" w:hAnsi="Times New Roman" w:cs="Times New Roman"/>
                <w:b/>
                <w:bCs/>
              </w:rPr>
              <w:t>ș</w:t>
            </w:r>
            <w:r w:rsidRPr="008C5F1C">
              <w:rPr>
                <w:rFonts w:ascii="Times New Roman" w:hAnsi="Times New Roman" w:cs="Times New Roman"/>
                <w:b/>
                <w:bCs/>
              </w:rPr>
              <w:t xml:space="preserve">i </w:t>
            </w:r>
            <w:proofErr w:type="spellStart"/>
            <w:r w:rsidRPr="008C5F1C">
              <w:rPr>
                <w:rFonts w:ascii="Times New Roman" w:hAnsi="Times New Roman" w:cs="Times New Roman"/>
                <w:b/>
                <w:bCs/>
              </w:rPr>
              <w:t>intermodale</w:t>
            </w:r>
            <w:proofErr w:type="spellEnd"/>
            <w:r w:rsidRPr="008C5F1C">
              <w:rPr>
                <w:rFonts w:ascii="Times New Roman" w:hAnsi="Times New Roman" w:cs="Times New Roman"/>
                <w:b/>
                <w:bCs/>
              </w:rPr>
              <w:t>, inclusiv îmbun</w:t>
            </w:r>
            <w:r w:rsidR="00BA7827" w:rsidRPr="008C5F1C">
              <w:rPr>
                <w:rFonts w:ascii="Times New Roman" w:hAnsi="Times New Roman" w:cs="Times New Roman"/>
                <w:b/>
                <w:bCs/>
              </w:rPr>
              <w:t>ă</w:t>
            </w:r>
            <w:r w:rsidRPr="008C5F1C">
              <w:rPr>
                <w:rFonts w:ascii="Times New Roman" w:hAnsi="Times New Roman" w:cs="Times New Roman"/>
                <w:b/>
                <w:bCs/>
              </w:rPr>
              <w:t>t</w:t>
            </w:r>
            <w:r w:rsidR="00BA7827" w:rsidRPr="008C5F1C">
              <w:rPr>
                <w:rFonts w:ascii="Times New Roman" w:hAnsi="Times New Roman" w:cs="Times New Roman"/>
                <w:b/>
                <w:bCs/>
              </w:rPr>
              <w:t>ă</w:t>
            </w:r>
            <w:r w:rsidR="00E22FF2" w:rsidRPr="008C5F1C">
              <w:rPr>
                <w:rFonts w:ascii="Times New Roman" w:hAnsi="Times New Roman" w:cs="Times New Roman"/>
                <w:b/>
                <w:bCs/>
              </w:rPr>
              <w:t>ț</w:t>
            </w:r>
            <w:r w:rsidRPr="008C5F1C">
              <w:rPr>
                <w:rFonts w:ascii="Times New Roman" w:hAnsi="Times New Roman" w:cs="Times New Roman"/>
                <w:b/>
                <w:bCs/>
              </w:rPr>
              <w:t xml:space="preserve">irea accesului la TEN-T </w:t>
            </w:r>
            <w:r w:rsidR="00106240" w:rsidRPr="008C5F1C">
              <w:rPr>
                <w:rFonts w:ascii="Times New Roman" w:hAnsi="Times New Roman" w:cs="Times New Roman"/>
                <w:b/>
                <w:bCs/>
              </w:rPr>
              <w:t>ș</w:t>
            </w:r>
            <w:r w:rsidRPr="008C5F1C">
              <w:rPr>
                <w:rFonts w:ascii="Times New Roman" w:hAnsi="Times New Roman" w:cs="Times New Roman"/>
                <w:b/>
                <w:bCs/>
              </w:rPr>
              <w:t>i a mobilit</w:t>
            </w:r>
            <w:r w:rsidR="00BA7827" w:rsidRPr="008C5F1C">
              <w:rPr>
                <w:rFonts w:ascii="Times New Roman" w:hAnsi="Times New Roman" w:cs="Times New Roman"/>
                <w:b/>
                <w:bCs/>
              </w:rPr>
              <w:t>ă</w:t>
            </w:r>
            <w:r w:rsidR="00E22FF2" w:rsidRPr="008C5F1C">
              <w:rPr>
                <w:rFonts w:ascii="Times New Roman" w:hAnsi="Times New Roman" w:cs="Times New Roman"/>
                <w:b/>
                <w:bCs/>
              </w:rPr>
              <w:t>ț</w:t>
            </w:r>
            <w:r w:rsidRPr="008C5F1C">
              <w:rPr>
                <w:rFonts w:ascii="Times New Roman" w:hAnsi="Times New Roman" w:cs="Times New Roman"/>
                <w:b/>
                <w:bCs/>
              </w:rPr>
              <w:t>ii transfrontaliere</w:t>
            </w:r>
          </w:p>
        </w:tc>
        <w:tc>
          <w:tcPr>
            <w:tcW w:w="2993" w:type="pct"/>
            <w:tcBorders>
              <w:top w:val="single" w:sz="4" w:space="0" w:color="auto"/>
              <w:left w:val="single" w:sz="4" w:space="0" w:color="auto"/>
              <w:bottom w:val="single" w:sz="4" w:space="0" w:color="auto"/>
              <w:right w:val="single" w:sz="4" w:space="0" w:color="auto"/>
            </w:tcBorders>
          </w:tcPr>
          <w:p w14:paraId="3ED3B02E" w14:textId="77777777" w:rsidR="000F17BB" w:rsidRPr="008C5F1C" w:rsidRDefault="009904D9" w:rsidP="00742B97">
            <w:pPr>
              <w:spacing w:after="120" w:line="240" w:lineRule="auto"/>
              <w:contextualSpacing/>
              <w:jc w:val="both"/>
              <w:rPr>
                <w:rFonts w:ascii="Times New Roman" w:hAnsi="Times New Roman" w:cs="Times New Roman"/>
              </w:rPr>
            </w:pPr>
            <w:r w:rsidRPr="008C5F1C">
              <w:rPr>
                <w:rFonts w:ascii="Times New Roman" w:hAnsi="Times New Roman" w:cs="Times New Roman"/>
              </w:rPr>
              <w:t>Principalele provoc</w:t>
            </w:r>
            <w:r w:rsidR="00BA7827" w:rsidRPr="008C5F1C">
              <w:rPr>
                <w:rFonts w:ascii="Times New Roman" w:hAnsi="Times New Roman" w:cs="Times New Roman"/>
              </w:rPr>
              <w:t>ă</w:t>
            </w:r>
            <w:r w:rsidRPr="008C5F1C">
              <w:rPr>
                <w:rFonts w:ascii="Times New Roman" w:hAnsi="Times New Roman" w:cs="Times New Roman"/>
              </w:rPr>
              <w:t>ri sunt legate de calitatea deficitar</w:t>
            </w:r>
            <w:r w:rsidR="00BA7827" w:rsidRPr="008C5F1C">
              <w:rPr>
                <w:rFonts w:ascii="Times New Roman" w:hAnsi="Times New Roman" w:cs="Times New Roman"/>
              </w:rPr>
              <w:t>ă</w:t>
            </w:r>
            <w:r w:rsidRPr="008C5F1C">
              <w:rPr>
                <w:rFonts w:ascii="Times New Roman" w:hAnsi="Times New Roman" w:cs="Times New Roman"/>
              </w:rPr>
              <w:t xml:space="preserve"> a</w:t>
            </w:r>
            <w:r w:rsidR="00653571" w:rsidRPr="008C5F1C">
              <w:rPr>
                <w:rFonts w:ascii="Times New Roman" w:hAnsi="Times New Roman" w:cs="Times New Roman"/>
              </w:rPr>
              <w:t xml:space="preserve"> re</w:t>
            </w:r>
            <w:r w:rsidR="00E22FF2" w:rsidRPr="008C5F1C">
              <w:rPr>
                <w:rFonts w:ascii="Times New Roman" w:hAnsi="Times New Roman" w:cs="Times New Roman"/>
              </w:rPr>
              <w:t>ț</w:t>
            </w:r>
            <w:r w:rsidR="00653571" w:rsidRPr="008C5F1C">
              <w:rPr>
                <w:rFonts w:ascii="Times New Roman" w:hAnsi="Times New Roman" w:cs="Times New Roman"/>
              </w:rPr>
              <w:t>e</w:t>
            </w:r>
            <w:r w:rsidRPr="008C5F1C">
              <w:rPr>
                <w:rFonts w:ascii="Times New Roman" w:hAnsi="Times New Roman" w:cs="Times New Roman"/>
              </w:rPr>
              <w:t>lei</w:t>
            </w:r>
            <w:r w:rsidR="00653571" w:rsidRPr="008C5F1C">
              <w:rPr>
                <w:rFonts w:ascii="Times New Roman" w:hAnsi="Times New Roman" w:cs="Times New Roman"/>
              </w:rPr>
              <w:t xml:space="preserve"> de drumuri</w:t>
            </w:r>
            <w:r w:rsidRPr="008C5F1C">
              <w:rPr>
                <w:rFonts w:ascii="Times New Roman" w:hAnsi="Times New Roman" w:cs="Times New Roman"/>
              </w:rPr>
              <w:t>, care accentueaz</w:t>
            </w:r>
            <w:r w:rsidR="00BA7827" w:rsidRPr="008C5F1C">
              <w:rPr>
                <w:rFonts w:ascii="Times New Roman" w:hAnsi="Times New Roman" w:cs="Times New Roman"/>
              </w:rPr>
              <w:t>ă</w:t>
            </w:r>
            <w:r w:rsidR="00653571" w:rsidRPr="008C5F1C">
              <w:rPr>
                <w:rFonts w:ascii="Times New Roman" w:hAnsi="Times New Roman" w:cs="Times New Roman"/>
              </w:rPr>
              <w:t xml:space="preserve"> disparit</w:t>
            </w:r>
            <w:r w:rsidR="00BA7827" w:rsidRPr="008C5F1C">
              <w:rPr>
                <w:rFonts w:ascii="Times New Roman" w:hAnsi="Times New Roman" w:cs="Times New Roman"/>
              </w:rPr>
              <w:t>ă</w:t>
            </w:r>
            <w:r w:rsidR="00E22FF2" w:rsidRPr="008C5F1C">
              <w:rPr>
                <w:rFonts w:ascii="Times New Roman" w:hAnsi="Times New Roman" w:cs="Times New Roman"/>
              </w:rPr>
              <w:t>ț</w:t>
            </w:r>
            <w:r w:rsidR="00653571" w:rsidRPr="008C5F1C">
              <w:rPr>
                <w:rFonts w:ascii="Times New Roman" w:hAnsi="Times New Roman" w:cs="Times New Roman"/>
              </w:rPr>
              <w:t>il</w:t>
            </w:r>
            <w:r w:rsidRPr="008C5F1C">
              <w:rPr>
                <w:rFonts w:ascii="Times New Roman" w:hAnsi="Times New Roman" w:cs="Times New Roman"/>
              </w:rPr>
              <w:t>e</w:t>
            </w:r>
            <w:r w:rsidR="00653571" w:rsidRPr="008C5F1C">
              <w:rPr>
                <w:rFonts w:ascii="Times New Roman" w:hAnsi="Times New Roman" w:cs="Times New Roman"/>
              </w:rPr>
              <w:t xml:space="preserve"> regionale,</w:t>
            </w:r>
            <w:r w:rsidR="00CE4186" w:rsidRPr="008C5F1C">
              <w:rPr>
                <w:rFonts w:ascii="Times New Roman" w:hAnsi="Times New Roman" w:cs="Times New Roman"/>
              </w:rPr>
              <w:t xml:space="preserve"> genereaz</w:t>
            </w:r>
            <w:r w:rsidR="00BA7827" w:rsidRPr="008C5F1C">
              <w:rPr>
                <w:rFonts w:ascii="Times New Roman" w:hAnsi="Times New Roman" w:cs="Times New Roman"/>
              </w:rPr>
              <w:t>ă</w:t>
            </w:r>
            <w:r w:rsidR="00653571" w:rsidRPr="008C5F1C">
              <w:rPr>
                <w:rFonts w:ascii="Times New Roman" w:hAnsi="Times New Roman" w:cs="Times New Roman"/>
              </w:rPr>
              <w:t xml:space="preserve"> costuri</w:t>
            </w:r>
            <w:r w:rsidR="00CE4186" w:rsidRPr="008C5F1C">
              <w:rPr>
                <w:rFonts w:ascii="Times New Roman" w:hAnsi="Times New Roman" w:cs="Times New Roman"/>
              </w:rPr>
              <w:t xml:space="preserve"> suplimentare pentru</w:t>
            </w:r>
            <w:r w:rsidR="00653571" w:rsidRPr="008C5F1C">
              <w:rPr>
                <w:rFonts w:ascii="Times New Roman" w:hAnsi="Times New Roman" w:cs="Times New Roman"/>
              </w:rPr>
              <w:t xml:space="preserve"> utilizatori, </w:t>
            </w:r>
            <w:r w:rsidR="00CE4186" w:rsidRPr="008C5F1C">
              <w:rPr>
                <w:rFonts w:ascii="Times New Roman" w:hAnsi="Times New Roman" w:cs="Times New Roman"/>
              </w:rPr>
              <w:t>cre</w:t>
            </w:r>
            <w:r w:rsidR="00106240" w:rsidRPr="008C5F1C">
              <w:rPr>
                <w:rFonts w:ascii="Times New Roman" w:hAnsi="Times New Roman" w:cs="Times New Roman"/>
              </w:rPr>
              <w:t>ș</w:t>
            </w:r>
            <w:r w:rsidR="00CE4186" w:rsidRPr="008C5F1C">
              <w:rPr>
                <w:rFonts w:ascii="Times New Roman" w:hAnsi="Times New Roman" w:cs="Times New Roman"/>
              </w:rPr>
              <w:t xml:space="preserve">te </w:t>
            </w:r>
            <w:r w:rsidR="00653571" w:rsidRPr="008C5F1C">
              <w:rPr>
                <w:rFonts w:ascii="Times New Roman" w:hAnsi="Times New Roman" w:cs="Times New Roman"/>
              </w:rPr>
              <w:t xml:space="preserve">riscul de accidente </w:t>
            </w:r>
            <w:r w:rsidR="00106240" w:rsidRPr="008C5F1C">
              <w:rPr>
                <w:rFonts w:ascii="Times New Roman" w:hAnsi="Times New Roman" w:cs="Times New Roman"/>
              </w:rPr>
              <w:t>ș</w:t>
            </w:r>
            <w:r w:rsidR="00653571" w:rsidRPr="008C5F1C">
              <w:rPr>
                <w:rFonts w:ascii="Times New Roman" w:hAnsi="Times New Roman" w:cs="Times New Roman"/>
              </w:rPr>
              <w:t xml:space="preserve">i </w:t>
            </w:r>
            <w:r w:rsidR="00A47EDA" w:rsidRPr="008C5F1C">
              <w:rPr>
                <w:rFonts w:ascii="Times New Roman" w:hAnsi="Times New Roman" w:cs="Times New Roman"/>
              </w:rPr>
              <w:t xml:space="preserve">scade </w:t>
            </w:r>
            <w:r w:rsidR="00653571" w:rsidRPr="008C5F1C">
              <w:rPr>
                <w:rFonts w:ascii="Times New Roman" w:hAnsi="Times New Roman" w:cs="Times New Roman"/>
              </w:rPr>
              <w:t>siguran</w:t>
            </w:r>
            <w:r w:rsidR="00E22FF2" w:rsidRPr="008C5F1C">
              <w:rPr>
                <w:rFonts w:ascii="Times New Roman" w:hAnsi="Times New Roman" w:cs="Times New Roman"/>
              </w:rPr>
              <w:t>ț</w:t>
            </w:r>
            <w:r w:rsidR="00A47EDA" w:rsidRPr="008C5F1C">
              <w:rPr>
                <w:rFonts w:ascii="Times New Roman" w:hAnsi="Times New Roman" w:cs="Times New Roman"/>
              </w:rPr>
              <w:t>a</w:t>
            </w:r>
            <w:r w:rsidR="00653571" w:rsidRPr="008C5F1C">
              <w:rPr>
                <w:rFonts w:ascii="Times New Roman" w:hAnsi="Times New Roman" w:cs="Times New Roman"/>
              </w:rPr>
              <w:t xml:space="preserve"> rutiere</w:t>
            </w:r>
            <w:r w:rsidR="00A47EDA" w:rsidRPr="008C5F1C">
              <w:rPr>
                <w:rFonts w:ascii="Times New Roman" w:hAnsi="Times New Roman" w:cs="Times New Roman"/>
              </w:rPr>
              <w:t>.</w:t>
            </w:r>
            <w:r w:rsidR="00D55687" w:rsidRPr="008C5F1C">
              <w:rPr>
                <w:rFonts w:ascii="Times New Roman" w:hAnsi="Times New Roman" w:cs="Times New Roman"/>
              </w:rPr>
              <w:t xml:space="preserve"> Regiunea de Dezvoltare Nord-Vest are printre cele mai mici procente de drumuri publice modernizate.</w:t>
            </w:r>
          </w:p>
          <w:p w14:paraId="5A1A99B8" w14:textId="0DF44176" w:rsidR="00A47EDA" w:rsidRPr="008C5F1C" w:rsidRDefault="00D55687" w:rsidP="00742B97">
            <w:pPr>
              <w:spacing w:after="120" w:line="240" w:lineRule="auto"/>
              <w:contextualSpacing/>
              <w:jc w:val="both"/>
              <w:rPr>
                <w:rFonts w:ascii="Times New Roman" w:hAnsi="Times New Roman" w:cs="Times New Roman"/>
              </w:rPr>
            </w:pPr>
            <w:r w:rsidRPr="008C5F1C">
              <w:rPr>
                <w:rFonts w:ascii="Times New Roman" w:hAnsi="Times New Roman" w:cs="Times New Roman"/>
              </w:rPr>
              <w:t>De</w:t>
            </w:r>
            <w:r w:rsidR="00106240" w:rsidRPr="008C5F1C">
              <w:rPr>
                <w:rFonts w:ascii="Times New Roman" w:hAnsi="Times New Roman" w:cs="Times New Roman"/>
              </w:rPr>
              <w:t>ș</w:t>
            </w:r>
            <w:r w:rsidRPr="008C5F1C">
              <w:rPr>
                <w:rFonts w:ascii="Times New Roman" w:hAnsi="Times New Roman" w:cs="Times New Roman"/>
              </w:rPr>
              <w:t>i necesarul de modernizare ar fi de aproximativ 10% din totalul drumurilor (f</w:t>
            </w:r>
            <w:r w:rsidR="00BA7827" w:rsidRPr="008C5F1C">
              <w:rPr>
                <w:rFonts w:ascii="Times New Roman" w:hAnsi="Times New Roman" w:cs="Times New Roman"/>
              </w:rPr>
              <w:t>ă</w:t>
            </w:r>
            <w:r w:rsidRPr="008C5F1C">
              <w:rPr>
                <w:rFonts w:ascii="Times New Roman" w:hAnsi="Times New Roman" w:cs="Times New Roman"/>
              </w:rPr>
              <w:t>r</w:t>
            </w:r>
            <w:r w:rsidR="00BA7827" w:rsidRPr="008C5F1C">
              <w:rPr>
                <w:rFonts w:ascii="Times New Roman" w:hAnsi="Times New Roman" w:cs="Times New Roman"/>
              </w:rPr>
              <w:t>ă</w:t>
            </w:r>
            <w:r w:rsidRPr="008C5F1C">
              <w:rPr>
                <w:rFonts w:ascii="Times New Roman" w:hAnsi="Times New Roman" w:cs="Times New Roman"/>
              </w:rPr>
              <w:t xml:space="preserve"> a lua în considerare proiectele contractate), o parte din drumurile realizate în perioada 2007</w:t>
            </w:r>
            <w:r w:rsidR="00E91090" w:rsidRPr="008C5F1C">
              <w:rPr>
                <w:rFonts w:ascii="Times New Roman" w:hAnsi="Times New Roman" w:cs="Times New Roman"/>
              </w:rPr>
              <w:t>-2013</w:t>
            </w:r>
            <w:r w:rsidRPr="008C5F1C">
              <w:rPr>
                <w:rFonts w:ascii="Times New Roman" w:hAnsi="Times New Roman" w:cs="Times New Roman"/>
              </w:rPr>
              <w:t xml:space="preserve"> vor necesita </w:t>
            </w:r>
            <w:r w:rsidR="00106240" w:rsidRPr="008C5F1C">
              <w:rPr>
                <w:rFonts w:ascii="Times New Roman" w:hAnsi="Times New Roman" w:cs="Times New Roman"/>
              </w:rPr>
              <w:t>ș</w:t>
            </w:r>
            <w:r w:rsidRPr="008C5F1C">
              <w:rPr>
                <w:rFonts w:ascii="Times New Roman" w:hAnsi="Times New Roman" w:cs="Times New Roman"/>
              </w:rPr>
              <w:t>i ele repara</w:t>
            </w:r>
            <w:r w:rsidR="00E22FF2" w:rsidRPr="008C5F1C">
              <w:rPr>
                <w:rFonts w:ascii="Times New Roman" w:hAnsi="Times New Roman" w:cs="Times New Roman"/>
              </w:rPr>
              <w:t>ț</w:t>
            </w:r>
            <w:r w:rsidRPr="008C5F1C">
              <w:rPr>
                <w:rFonts w:ascii="Times New Roman" w:hAnsi="Times New Roman" w:cs="Times New Roman"/>
              </w:rPr>
              <w:t>ii în urm</w:t>
            </w:r>
            <w:r w:rsidR="00BA7827" w:rsidRPr="008C5F1C">
              <w:rPr>
                <w:rFonts w:ascii="Times New Roman" w:hAnsi="Times New Roman" w:cs="Times New Roman"/>
              </w:rPr>
              <w:t>ă</w:t>
            </w:r>
            <w:r w:rsidRPr="008C5F1C">
              <w:rPr>
                <w:rFonts w:ascii="Times New Roman" w:hAnsi="Times New Roman" w:cs="Times New Roman"/>
              </w:rPr>
              <w:t xml:space="preserve">torii ani. Modernizarea acestor drumuri permite un acces mai facil pentru locuitorii mediului rural </w:t>
            </w:r>
            <w:r w:rsidR="00106240" w:rsidRPr="008C5F1C">
              <w:rPr>
                <w:rFonts w:ascii="Times New Roman" w:hAnsi="Times New Roman" w:cs="Times New Roman"/>
              </w:rPr>
              <w:t>ș</w:t>
            </w:r>
            <w:r w:rsidRPr="008C5F1C">
              <w:rPr>
                <w:rFonts w:ascii="Times New Roman" w:hAnsi="Times New Roman" w:cs="Times New Roman"/>
              </w:rPr>
              <w:t>i a ora</w:t>
            </w:r>
            <w:r w:rsidR="00106240" w:rsidRPr="008C5F1C">
              <w:rPr>
                <w:rFonts w:ascii="Times New Roman" w:hAnsi="Times New Roman" w:cs="Times New Roman"/>
              </w:rPr>
              <w:t>ș</w:t>
            </w:r>
            <w:r w:rsidRPr="008C5F1C">
              <w:rPr>
                <w:rFonts w:ascii="Times New Roman" w:hAnsi="Times New Roman" w:cs="Times New Roman"/>
              </w:rPr>
              <w:t>elor mici la serviciile publice, locurile de munc</w:t>
            </w:r>
            <w:r w:rsidR="00BA7827" w:rsidRPr="008C5F1C">
              <w:rPr>
                <w:rFonts w:ascii="Times New Roman" w:hAnsi="Times New Roman" w:cs="Times New Roman"/>
              </w:rPr>
              <w:t>ă</w:t>
            </w:r>
            <w:r w:rsidRPr="008C5F1C">
              <w:rPr>
                <w:rFonts w:ascii="Times New Roman" w:hAnsi="Times New Roman" w:cs="Times New Roman"/>
              </w:rPr>
              <w:t xml:space="preserve"> </w:t>
            </w:r>
            <w:r w:rsidR="00106240" w:rsidRPr="008C5F1C">
              <w:rPr>
                <w:rFonts w:ascii="Times New Roman" w:hAnsi="Times New Roman" w:cs="Times New Roman"/>
              </w:rPr>
              <w:t>ș</w:t>
            </w:r>
            <w:r w:rsidRPr="008C5F1C">
              <w:rPr>
                <w:rFonts w:ascii="Times New Roman" w:hAnsi="Times New Roman" w:cs="Times New Roman"/>
              </w:rPr>
              <w:t>i oportunit</w:t>
            </w:r>
            <w:r w:rsidR="00BA7827" w:rsidRPr="008C5F1C">
              <w:rPr>
                <w:rFonts w:ascii="Times New Roman" w:hAnsi="Times New Roman" w:cs="Times New Roman"/>
              </w:rPr>
              <w:t>ă</w:t>
            </w:r>
            <w:r w:rsidR="00E22FF2" w:rsidRPr="008C5F1C">
              <w:rPr>
                <w:rFonts w:ascii="Times New Roman" w:hAnsi="Times New Roman" w:cs="Times New Roman"/>
              </w:rPr>
              <w:t>ț</w:t>
            </w:r>
            <w:r w:rsidRPr="008C5F1C">
              <w:rPr>
                <w:rFonts w:ascii="Times New Roman" w:hAnsi="Times New Roman" w:cs="Times New Roman"/>
              </w:rPr>
              <w:t>ile oferite de centrele urbane din regiune. Mai mult de atât, dezvoltarea lor permite desc</w:t>
            </w:r>
            <w:r w:rsidR="00BA7827" w:rsidRPr="008C5F1C">
              <w:rPr>
                <w:rFonts w:ascii="Times New Roman" w:hAnsi="Times New Roman" w:cs="Times New Roman"/>
              </w:rPr>
              <w:t>ă</w:t>
            </w:r>
            <w:r w:rsidRPr="008C5F1C">
              <w:rPr>
                <w:rFonts w:ascii="Times New Roman" w:hAnsi="Times New Roman" w:cs="Times New Roman"/>
              </w:rPr>
              <w:t>rcarea coridoarelor majore de transport crescând totodat</w:t>
            </w:r>
            <w:r w:rsidR="00BA7827" w:rsidRPr="008C5F1C">
              <w:rPr>
                <w:rFonts w:ascii="Times New Roman" w:hAnsi="Times New Roman" w:cs="Times New Roman"/>
              </w:rPr>
              <w:t>ă</w:t>
            </w:r>
            <w:r w:rsidRPr="008C5F1C">
              <w:rPr>
                <w:rFonts w:ascii="Times New Roman" w:hAnsi="Times New Roman" w:cs="Times New Roman"/>
              </w:rPr>
              <w:t xml:space="preserve"> conectivitatea la nivelul regiunii.</w:t>
            </w:r>
          </w:p>
          <w:p w14:paraId="49880CD9" w14:textId="77777777" w:rsidR="00653571" w:rsidRPr="008C5F1C" w:rsidRDefault="00A47EDA" w:rsidP="00742B97">
            <w:pPr>
              <w:spacing w:after="120" w:line="240" w:lineRule="auto"/>
              <w:contextualSpacing/>
              <w:jc w:val="both"/>
              <w:rPr>
                <w:rFonts w:ascii="Times New Roman" w:hAnsi="Times New Roman" w:cs="Times New Roman"/>
              </w:rPr>
            </w:pPr>
            <w:r w:rsidRPr="008C5F1C">
              <w:rPr>
                <w:rFonts w:ascii="Times New Roman" w:hAnsi="Times New Roman" w:cs="Times New Roman"/>
              </w:rPr>
              <w:t>L</w:t>
            </w:r>
            <w:r w:rsidR="00653571" w:rsidRPr="008C5F1C">
              <w:rPr>
                <w:rFonts w:ascii="Times New Roman" w:hAnsi="Times New Roman" w:cs="Times New Roman"/>
              </w:rPr>
              <w:t>eg</w:t>
            </w:r>
            <w:r w:rsidR="00BA7827" w:rsidRPr="008C5F1C">
              <w:rPr>
                <w:rFonts w:ascii="Times New Roman" w:hAnsi="Times New Roman" w:cs="Times New Roman"/>
              </w:rPr>
              <w:t>ă</w:t>
            </w:r>
            <w:r w:rsidR="00653571" w:rsidRPr="008C5F1C">
              <w:rPr>
                <w:rFonts w:ascii="Times New Roman" w:hAnsi="Times New Roman" w:cs="Times New Roman"/>
              </w:rPr>
              <w:t>turi</w:t>
            </w:r>
            <w:r w:rsidRPr="008C5F1C">
              <w:rPr>
                <w:rFonts w:ascii="Times New Roman" w:hAnsi="Times New Roman" w:cs="Times New Roman"/>
              </w:rPr>
              <w:t>le</w:t>
            </w:r>
            <w:r w:rsidR="00653571" w:rsidRPr="008C5F1C">
              <w:rPr>
                <w:rFonts w:ascii="Times New Roman" w:hAnsi="Times New Roman" w:cs="Times New Roman"/>
              </w:rPr>
              <w:t xml:space="preserve"> între mediul urban </w:t>
            </w:r>
            <w:r w:rsidR="00106240" w:rsidRPr="008C5F1C">
              <w:rPr>
                <w:rFonts w:ascii="Times New Roman" w:hAnsi="Times New Roman" w:cs="Times New Roman"/>
              </w:rPr>
              <w:t>ș</w:t>
            </w:r>
            <w:r w:rsidR="00653571" w:rsidRPr="008C5F1C">
              <w:rPr>
                <w:rFonts w:ascii="Times New Roman" w:hAnsi="Times New Roman" w:cs="Times New Roman"/>
              </w:rPr>
              <w:t>i cel rural</w:t>
            </w:r>
            <w:r w:rsidRPr="008C5F1C">
              <w:rPr>
                <w:rFonts w:ascii="Times New Roman" w:hAnsi="Times New Roman" w:cs="Times New Roman"/>
              </w:rPr>
              <w:t>, care</w:t>
            </w:r>
            <w:r w:rsidR="00653571" w:rsidRPr="008C5F1C">
              <w:rPr>
                <w:rFonts w:ascii="Times New Roman" w:hAnsi="Times New Roman" w:cs="Times New Roman"/>
              </w:rPr>
              <w:t xml:space="preserve"> </w:t>
            </w:r>
            <w:r w:rsidRPr="008C5F1C">
              <w:rPr>
                <w:rFonts w:ascii="Times New Roman" w:hAnsi="Times New Roman" w:cs="Times New Roman"/>
              </w:rPr>
              <w:t>faciliteaz</w:t>
            </w:r>
            <w:r w:rsidR="00BA7827" w:rsidRPr="008C5F1C">
              <w:rPr>
                <w:rFonts w:ascii="Times New Roman" w:hAnsi="Times New Roman" w:cs="Times New Roman"/>
              </w:rPr>
              <w:t>ă</w:t>
            </w:r>
            <w:r w:rsidR="00653571" w:rsidRPr="008C5F1C">
              <w:rPr>
                <w:rFonts w:ascii="Times New Roman" w:hAnsi="Times New Roman" w:cs="Times New Roman"/>
              </w:rPr>
              <w:t xml:space="preserve"> accesul la servicii publice </w:t>
            </w:r>
            <w:r w:rsidR="00106240" w:rsidRPr="008C5F1C">
              <w:rPr>
                <w:rFonts w:ascii="Times New Roman" w:hAnsi="Times New Roman" w:cs="Times New Roman"/>
              </w:rPr>
              <w:t>ș</w:t>
            </w:r>
            <w:r w:rsidR="00653571" w:rsidRPr="008C5F1C">
              <w:rPr>
                <w:rFonts w:ascii="Times New Roman" w:hAnsi="Times New Roman" w:cs="Times New Roman"/>
              </w:rPr>
              <w:t>i locuri de munc</w:t>
            </w:r>
            <w:r w:rsidR="00BA7827" w:rsidRPr="008C5F1C">
              <w:rPr>
                <w:rFonts w:ascii="Times New Roman" w:hAnsi="Times New Roman" w:cs="Times New Roman"/>
              </w:rPr>
              <w:t>ă</w:t>
            </w:r>
            <w:r w:rsidRPr="008C5F1C">
              <w:rPr>
                <w:rFonts w:ascii="Times New Roman" w:hAnsi="Times New Roman" w:cs="Times New Roman"/>
              </w:rPr>
              <w:t>, sunt în continuare suboptimale</w:t>
            </w:r>
            <w:r w:rsidR="00941A04" w:rsidRPr="008C5F1C">
              <w:rPr>
                <w:rFonts w:ascii="Times New Roman" w:hAnsi="Times New Roman" w:cs="Times New Roman"/>
              </w:rPr>
              <w:t>.</w:t>
            </w:r>
            <w:r w:rsidR="003B7B37" w:rsidRPr="008C5F1C">
              <w:rPr>
                <w:rFonts w:ascii="Times New Roman" w:hAnsi="Times New Roman" w:cs="Times New Roman"/>
              </w:rPr>
              <w:t xml:space="preserve"> În continuare, anumite zone prezintă o accesibilitate deficitară la rețelele de transport, fiind necesare investiții.</w:t>
            </w:r>
          </w:p>
          <w:p w14:paraId="0361B4FB" w14:textId="56BF56A3" w:rsidR="00B159BD" w:rsidRPr="008C5F1C" w:rsidRDefault="003B7B37" w:rsidP="00742B97">
            <w:pPr>
              <w:spacing w:after="120" w:line="240" w:lineRule="auto"/>
              <w:contextualSpacing/>
              <w:jc w:val="both"/>
              <w:rPr>
                <w:rFonts w:ascii="Times New Roman" w:hAnsi="Times New Roman" w:cs="Times New Roman"/>
              </w:rPr>
            </w:pPr>
            <w:r w:rsidRPr="008C5F1C">
              <w:rPr>
                <w:rFonts w:ascii="Times New Roman" w:hAnsi="Times New Roman" w:cs="Times New Roman"/>
              </w:rPr>
              <w:t>În conformitate cu strategiile regionale relevante</w:t>
            </w:r>
            <w:r w:rsidR="00381E8E" w:rsidRPr="008C5F1C">
              <w:rPr>
                <w:rStyle w:val="FootnoteReference"/>
                <w:rFonts w:ascii="Times New Roman" w:hAnsi="Times New Roman" w:cs="Times New Roman"/>
              </w:rPr>
              <w:footnoteReference w:id="29"/>
            </w:r>
            <w:r w:rsidRPr="008C5F1C">
              <w:rPr>
                <w:rFonts w:ascii="Times New Roman" w:hAnsi="Times New Roman" w:cs="Times New Roman"/>
              </w:rPr>
              <w:t>, este</w:t>
            </w:r>
            <w:r w:rsidR="00B159BD" w:rsidRPr="008C5F1C">
              <w:rPr>
                <w:rFonts w:ascii="Times New Roman" w:hAnsi="Times New Roman" w:cs="Times New Roman"/>
              </w:rPr>
              <w:t xml:space="preserve"> necesară cre</w:t>
            </w:r>
            <w:r w:rsidR="00106240" w:rsidRPr="008C5F1C">
              <w:rPr>
                <w:rFonts w:ascii="Times New Roman" w:hAnsi="Times New Roman" w:cs="Times New Roman"/>
              </w:rPr>
              <w:t>ș</w:t>
            </w:r>
            <w:r w:rsidR="00B159BD" w:rsidRPr="008C5F1C">
              <w:rPr>
                <w:rFonts w:ascii="Times New Roman" w:hAnsi="Times New Roman" w:cs="Times New Roman"/>
              </w:rPr>
              <w:t>terea conectivită</w:t>
            </w:r>
            <w:r w:rsidR="00E22FF2" w:rsidRPr="008C5F1C">
              <w:rPr>
                <w:rFonts w:ascii="Times New Roman" w:hAnsi="Times New Roman" w:cs="Times New Roman"/>
              </w:rPr>
              <w:t>ț</w:t>
            </w:r>
            <w:r w:rsidR="00B159BD" w:rsidRPr="008C5F1C">
              <w:rPr>
                <w:rFonts w:ascii="Times New Roman" w:hAnsi="Times New Roman" w:cs="Times New Roman"/>
              </w:rPr>
              <w:t>ii, care să contribuie la scăderea disparită</w:t>
            </w:r>
            <w:r w:rsidR="00E22FF2" w:rsidRPr="008C5F1C">
              <w:rPr>
                <w:rFonts w:ascii="Times New Roman" w:hAnsi="Times New Roman" w:cs="Times New Roman"/>
              </w:rPr>
              <w:t>ț</w:t>
            </w:r>
            <w:r w:rsidR="00B159BD" w:rsidRPr="008C5F1C">
              <w:rPr>
                <w:rFonts w:ascii="Times New Roman" w:hAnsi="Times New Roman" w:cs="Times New Roman"/>
              </w:rPr>
              <w:t xml:space="preserve">ilor, reducerea costurilor utilizatorilor, riscului de accidente </w:t>
            </w:r>
            <w:r w:rsidR="00106240" w:rsidRPr="008C5F1C">
              <w:rPr>
                <w:rFonts w:ascii="Times New Roman" w:hAnsi="Times New Roman" w:cs="Times New Roman"/>
              </w:rPr>
              <w:t>ș</w:t>
            </w:r>
            <w:r w:rsidR="00B159BD" w:rsidRPr="008C5F1C">
              <w:rPr>
                <w:rFonts w:ascii="Times New Roman" w:hAnsi="Times New Roman" w:cs="Times New Roman"/>
              </w:rPr>
              <w:t>i îmbunătă</w:t>
            </w:r>
            <w:r w:rsidR="00E22FF2" w:rsidRPr="008C5F1C">
              <w:rPr>
                <w:rFonts w:ascii="Times New Roman" w:hAnsi="Times New Roman" w:cs="Times New Roman"/>
              </w:rPr>
              <w:t>ț</w:t>
            </w:r>
            <w:r w:rsidR="00B159BD" w:rsidRPr="008C5F1C">
              <w:rPr>
                <w:rFonts w:ascii="Times New Roman" w:hAnsi="Times New Roman" w:cs="Times New Roman"/>
              </w:rPr>
              <w:t>irea siguran</w:t>
            </w:r>
            <w:r w:rsidR="00E22FF2" w:rsidRPr="008C5F1C">
              <w:rPr>
                <w:rFonts w:ascii="Times New Roman" w:hAnsi="Times New Roman" w:cs="Times New Roman"/>
              </w:rPr>
              <w:t>ț</w:t>
            </w:r>
            <w:r w:rsidR="00B159BD" w:rsidRPr="008C5F1C">
              <w:rPr>
                <w:rFonts w:ascii="Times New Roman" w:hAnsi="Times New Roman" w:cs="Times New Roman"/>
              </w:rPr>
              <w:t xml:space="preserve">ei rutiere, reducerea impactului asupra mediului. </w:t>
            </w:r>
          </w:p>
          <w:p w14:paraId="5668B3FC" w14:textId="77777777" w:rsidR="00653571" w:rsidRPr="008C5F1C" w:rsidRDefault="00653571" w:rsidP="00742B97">
            <w:pPr>
              <w:spacing w:after="120" w:line="240" w:lineRule="auto"/>
              <w:contextualSpacing/>
              <w:jc w:val="both"/>
              <w:rPr>
                <w:rFonts w:ascii="Times New Roman" w:hAnsi="Times New Roman" w:cs="Times New Roman"/>
                <w:b/>
                <w:bCs/>
              </w:rPr>
            </w:pPr>
            <w:r w:rsidRPr="008C5F1C">
              <w:rPr>
                <w:rFonts w:ascii="Times New Roman" w:hAnsi="Times New Roman" w:cs="Times New Roman"/>
                <w:b/>
                <w:bCs/>
              </w:rPr>
              <w:t xml:space="preserve">Rapoartele de </w:t>
            </w:r>
            <w:r w:rsidR="00E22FF2" w:rsidRPr="008C5F1C">
              <w:rPr>
                <w:rFonts w:ascii="Times New Roman" w:hAnsi="Times New Roman" w:cs="Times New Roman"/>
                <w:b/>
                <w:bCs/>
              </w:rPr>
              <w:t>ț</w:t>
            </w:r>
            <w:r w:rsidRPr="008C5F1C">
              <w:rPr>
                <w:rFonts w:ascii="Times New Roman" w:hAnsi="Times New Roman" w:cs="Times New Roman"/>
                <w:b/>
                <w:bCs/>
              </w:rPr>
              <w:t>ar</w:t>
            </w:r>
            <w:r w:rsidR="00BA7827" w:rsidRPr="008C5F1C">
              <w:rPr>
                <w:rFonts w:ascii="Times New Roman" w:hAnsi="Times New Roman" w:cs="Times New Roman"/>
                <w:b/>
                <w:bCs/>
              </w:rPr>
              <w:t>ă</w:t>
            </w:r>
            <w:r w:rsidRPr="008C5F1C">
              <w:rPr>
                <w:rFonts w:ascii="Times New Roman" w:hAnsi="Times New Roman" w:cs="Times New Roman"/>
                <w:b/>
                <w:bCs/>
              </w:rPr>
              <w:t xml:space="preserve"> emise în contextul Semestrului European </w:t>
            </w:r>
            <w:r w:rsidRPr="008C5F1C">
              <w:rPr>
                <w:rFonts w:ascii="Times New Roman" w:hAnsi="Times New Roman" w:cs="Times New Roman"/>
              </w:rPr>
              <w:t>subliniaz</w:t>
            </w:r>
            <w:r w:rsidR="00BA7827" w:rsidRPr="008C5F1C">
              <w:rPr>
                <w:rFonts w:ascii="Times New Roman" w:hAnsi="Times New Roman" w:cs="Times New Roman"/>
              </w:rPr>
              <w:t>ă</w:t>
            </w:r>
            <w:r w:rsidRPr="008C5F1C">
              <w:rPr>
                <w:rFonts w:ascii="Times New Roman" w:hAnsi="Times New Roman" w:cs="Times New Roman"/>
              </w:rPr>
              <w:t xml:space="preserve"> faptul c</w:t>
            </w:r>
            <w:r w:rsidR="00BA7827" w:rsidRPr="008C5F1C">
              <w:rPr>
                <w:rFonts w:ascii="Times New Roman" w:hAnsi="Times New Roman" w:cs="Times New Roman"/>
              </w:rPr>
              <w:t>ă</w:t>
            </w:r>
            <w:r w:rsidRPr="008C5F1C">
              <w:rPr>
                <w:rFonts w:ascii="Times New Roman" w:hAnsi="Times New Roman" w:cs="Times New Roman"/>
              </w:rPr>
              <w:t xml:space="preserve"> regiunile din România sunt sub-performante din punct de vedere al infrastructurii, iar lipsa dot</w:t>
            </w:r>
            <w:r w:rsidR="00BA7827" w:rsidRPr="008C5F1C">
              <w:rPr>
                <w:rFonts w:ascii="Times New Roman" w:hAnsi="Times New Roman" w:cs="Times New Roman"/>
              </w:rPr>
              <w:t>ă</w:t>
            </w:r>
            <w:r w:rsidRPr="008C5F1C">
              <w:rPr>
                <w:rFonts w:ascii="Times New Roman" w:hAnsi="Times New Roman" w:cs="Times New Roman"/>
              </w:rPr>
              <w:t xml:space="preserve">rii de transport suficiente </w:t>
            </w:r>
            <w:r w:rsidR="00106240" w:rsidRPr="008C5F1C">
              <w:rPr>
                <w:rFonts w:ascii="Times New Roman" w:hAnsi="Times New Roman" w:cs="Times New Roman"/>
              </w:rPr>
              <w:t>ș</w:t>
            </w:r>
            <w:r w:rsidRPr="008C5F1C">
              <w:rPr>
                <w:rFonts w:ascii="Times New Roman" w:hAnsi="Times New Roman" w:cs="Times New Roman"/>
              </w:rPr>
              <w:t>i moderne este un obstacol în calea integr</w:t>
            </w:r>
            <w:r w:rsidR="00BA7827" w:rsidRPr="008C5F1C">
              <w:rPr>
                <w:rFonts w:ascii="Times New Roman" w:hAnsi="Times New Roman" w:cs="Times New Roman"/>
              </w:rPr>
              <w:t>ă</w:t>
            </w:r>
            <w:r w:rsidRPr="008C5F1C">
              <w:rPr>
                <w:rFonts w:ascii="Times New Roman" w:hAnsi="Times New Roman" w:cs="Times New Roman"/>
              </w:rPr>
              <w:t>rii teritoriale.</w:t>
            </w:r>
          </w:p>
        </w:tc>
      </w:tr>
      <w:tr w:rsidR="00653571" w:rsidRPr="008C5F1C" w14:paraId="08CFE688" w14:textId="77777777" w:rsidTr="00F24910">
        <w:tc>
          <w:tcPr>
            <w:tcW w:w="811" w:type="pct"/>
            <w:tcBorders>
              <w:top w:val="single" w:sz="4" w:space="0" w:color="auto"/>
              <w:left w:val="single" w:sz="4" w:space="0" w:color="auto"/>
              <w:bottom w:val="single" w:sz="4" w:space="0" w:color="auto"/>
              <w:right w:val="single" w:sz="4" w:space="0" w:color="auto"/>
            </w:tcBorders>
          </w:tcPr>
          <w:p w14:paraId="3208718D" w14:textId="77777777" w:rsidR="00653571" w:rsidRPr="008C5F1C" w:rsidRDefault="00653571" w:rsidP="00534127">
            <w:pPr>
              <w:spacing w:before="120" w:after="120"/>
              <w:rPr>
                <w:rFonts w:ascii="Times New Roman" w:eastAsia="Times New Roman" w:hAnsi="Times New Roman" w:cs="Times New Roman"/>
                <w:b/>
                <w:bCs/>
                <w:iCs/>
                <w:noProof/>
              </w:rPr>
            </w:pPr>
            <w:r w:rsidRPr="008C5F1C">
              <w:rPr>
                <w:rFonts w:ascii="Times New Roman" w:hAnsi="Times New Roman" w:cs="Times New Roman"/>
                <w:b/>
                <w:bCs/>
                <w:noProof/>
              </w:rPr>
              <w:t>OP4 „O Europ</w:t>
            </w:r>
            <w:r w:rsidR="00BA7827" w:rsidRPr="008C5F1C">
              <w:rPr>
                <w:rFonts w:ascii="Times New Roman" w:hAnsi="Times New Roman" w:cs="Times New Roman"/>
                <w:b/>
                <w:bCs/>
                <w:noProof/>
              </w:rPr>
              <w:t>ă</w:t>
            </w:r>
            <w:r w:rsidRPr="008C5F1C">
              <w:rPr>
                <w:rFonts w:ascii="Times New Roman" w:hAnsi="Times New Roman" w:cs="Times New Roman"/>
                <w:b/>
                <w:bCs/>
                <w:noProof/>
              </w:rPr>
              <w:t xml:space="preserve"> mai social</w:t>
            </w:r>
            <w:r w:rsidR="00BA7827" w:rsidRPr="008C5F1C">
              <w:rPr>
                <w:rFonts w:ascii="Times New Roman" w:hAnsi="Times New Roman" w:cs="Times New Roman"/>
                <w:b/>
                <w:bCs/>
                <w:noProof/>
              </w:rPr>
              <w:t>ă</w:t>
            </w:r>
            <w:r w:rsidRPr="008C5F1C">
              <w:rPr>
                <w:rFonts w:ascii="Times New Roman" w:hAnsi="Times New Roman" w:cs="Times New Roman"/>
                <w:b/>
                <w:bCs/>
                <w:noProof/>
              </w:rPr>
              <w:t xml:space="preserve"> prin implementarea Pilonului european al drepturilor sociale”</w:t>
            </w:r>
            <w:r w:rsidRPr="008C5F1C" w:rsidDel="002F3C64">
              <w:rPr>
                <w:rFonts w:ascii="Times New Roman" w:hAnsi="Times New Roman" w:cs="Times New Roman"/>
                <w:b/>
                <w:bCs/>
                <w:noProof/>
              </w:rPr>
              <w:t xml:space="preserve"> </w:t>
            </w:r>
          </w:p>
        </w:tc>
        <w:tc>
          <w:tcPr>
            <w:tcW w:w="1197" w:type="pct"/>
            <w:tcBorders>
              <w:top w:val="single" w:sz="4" w:space="0" w:color="auto"/>
              <w:left w:val="single" w:sz="4" w:space="0" w:color="auto"/>
              <w:bottom w:val="single" w:sz="4" w:space="0" w:color="auto"/>
              <w:right w:val="single" w:sz="4" w:space="0" w:color="auto"/>
            </w:tcBorders>
          </w:tcPr>
          <w:p w14:paraId="08F8F914" w14:textId="77777777" w:rsidR="00653571" w:rsidRPr="008C5F1C" w:rsidRDefault="00653571" w:rsidP="00534127">
            <w:pPr>
              <w:spacing w:before="120" w:after="120"/>
              <w:rPr>
                <w:rFonts w:ascii="Times New Roman" w:eastAsia="Times New Roman" w:hAnsi="Times New Roman" w:cs="Times New Roman"/>
                <w:i/>
                <w:iCs/>
                <w:noProof/>
              </w:rPr>
            </w:pPr>
            <w:r w:rsidRPr="008C5F1C">
              <w:rPr>
                <w:rFonts w:ascii="Times New Roman" w:hAnsi="Times New Roman" w:cs="Times New Roman"/>
                <w:b/>
                <w:bCs/>
              </w:rPr>
              <w:t>d (ii) Îmbun</w:t>
            </w:r>
            <w:r w:rsidR="00BA7827" w:rsidRPr="008C5F1C">
              <w:rPr>
                <w:rFonts w:ascii="Times New Roman" w:hAnsi="Times New Roman" w:cs="Times New Roman"/>
                <w:b/>
                <w:bCs/>
              </w:rPr>
              <w:t>ă</w:t>
            </w:r>
            <w:r w:rsidRPr="008C5F1C">
              <w:rPr>
                <w:rFonts w:ascii="Times New Roman" w:hAnsi="Times New Roman" w:cs="Times New Roman"/>
                <w:b/>
                <w:bCs/>
              </w:rPr>
              <w:t>t</w:t>
            </w:r>
            <w:r w:rsidR="00BA7827" w:rsidRPr="008C5F1C">
              <w:rPr>
                <w:rFonts w:ascii="Times New Roman" w:hAnsi="Times New Roman" w:cs="Times New Roman"/>
                <w:b/>
                <w:bCs/>
              </w:rPr>
              <w:t>ă</w:t>
            </w:r>
            <w:r w:rsidR="00E22FF2" w:rsidRPr="008C5F1C">
              <w:rPr>
                <w:rFonts w:ascii="Times New Roman" w:hAnsi="Times New Roman" w:cs="Times New Roman"/>
                <w:b/>
                <w:bCs/>
              </w:rPr>
              <w:t>ț</w:t>
            </w:r>
            <w:r w:rsidRPr="008C5F1C">
              <w:rPr>
                <w:rFonts w:ascii="Times New Roman" w:hAnsi="Times New Roman" w:cs="Times New Roman"/>
                <w:b/>
                <w:bCs/>
              </w:rPr>
              <w:t xml:space="preserve">irea accesului la servicii de calitate </w:t>
            </w:r>
            <w:r w:rsidR="00106240" w:rsidRPr="008C5F1C">
              <w:rPr>
                <w:rFonts w:ascii="Times New Roman" w:hAnsi="Times New Roman" w:cs="Times New Roman"/>
                <w:b/>
                <w:bCs/>
              </w:rPr>
              <w:t>ș</w:t>
            </w:r>
            <w:r w:rsidRPr="008C5F1C">
              <w:rPr>
                <w:rFonts w:ascii="Times New Roman" w:hAnsi="Times New Roman" w:cs="Times New Roman"/>
                <w:b/>
                <w:bCs/>
              </w:rPr>
              <w:t>i favorabile incluziunii în educa</w:t>
            </w:r>
            <w:r w:rsidR="00E22FF2" w:rsidRPr="008C5F1C">
              <w:rPr>
                <w:rFonts w:ascii="Times New Roman" w:hAnsi="Times New Roman" w:cs="Times New Roman"/>
                <w:b/>
                <w:bCs/>
              </w:rPr>
              <w:t>ț</w:t>
            </w:r>
            <w:r w:rsidRPr="008C5F1C">
              <w:rPr>
                <w:rFonts w:ascii="Times New Roman" w:hAnsi="Times New Roman" w:cs="Times New Roman"/>
                <w:b/>
                <w:bCs/>
              </w:rPr>
              <w:t xml:space="preserve">ie, formare </w:t>
            </w:r>
            <w:r w:rsidR="00106240" w:rsidRPr="008C5F1C">
              <w:rPr>
                <w:rFonts w:ascii="Times New Roman" w:hAnsi="Times New Roman" w:cs="Times New Roman"/>
                <w:b/>
                <w:bCs/>
              </w:rPr>
              <w:t>ș</w:t>
            </w:r>
            <w:r w:rsidRPr="008C5F1C">
              <w:rPr>
                <w:rFonts w:ascii="Times New Roman" w:hAnsi="Times New Roman" w:cs="Times New Roman"/>
                <w:b/>
                <w:bCs/>
              </w:rPr>
              <w:t>i înv</w:t>
            </w:r>
            <w:r w:rsidR="00BA7827" w:rsidRPr="008C5F1C">
              <w:rPr>
                <w:rFonts w:ascii="Times New Roman" w:hAnsi="Times New Roman" w:cs="Times New Roman"/>
                <w:b/>
                <w:bCs/>
              </w:rPr>
              <w:t>ă</w:t>
            </w:r>
            <w:r w:rsidR="00E22FF2" w:rsidRPr="008C5F1C">
              <w:rPr>
                <w:rFonts w:ascii="Times New Roman" w:hAnsi="Times New Roman" w:cs="Times New Roman"/>
                <w:b/>
                <w:bCs/>
              </w:rPr>
              <w:t>ț</w:t>
            </w:r>
            <w:r w:rsidRPr="008C5F1C">
              <w:rPr>
                <w:rFonts w:ascii="Times New Roman" w:hAnsi="Times New Roman" w:cs="Times New Roman"/>
                <w:b/>
                <w:bCs/>
              </w:rPr>
              <w:t>area pe tot parcursul vie</w:t>
            </w:r>
            <w:r w:rsidR="00E22FF2" w:rsidRPr="008C5F1C">
              <w:rPr>
                <w:rFonts w:ascii="Times New Roman" w:hAnsi="Times New Roman" w:cs="Times New Roman"/>
                <w:b/>
                <w:bCs/>
              </w:rPr>
              <w:t>ț</w:t>
            </w:r>
            <w:r w:rsidRPr="008C5F1C">
              <w:rPr>
                <w:rFonts w:ascii="Times New Roman" w:hAnsi="Times New Roman" w:cs="Times New Roman"/>
                <w:b/>
                <w:bCs/>
              </w:rPr>
              <w:t>ii prin dezvoltarea infrastructurii;</w:t>
            </w:r>
            <w:r w:rsidRPr="008C5F1C" w:rsidDel="002D7805">
              <w:rPr>
                <w:rFonts w:ascii="Times New Roman" w:hAnsi="Times New Roman" w:cs="Times New Roman"/>
                <w:b/>
                <w:bCs/>
              </w:rPr>
              <w:t xml:space="preserve"> </w:t>
            </w:r>
          </w:p>
        </w:tc>
        <w:tc>
          <w:tcPr>
            <w:tcW w:w="2993" w:type="pct"/>
            <w:tcBorders>
              <w:top w:val="single" w:sz="4" w:space="0" w:color="auto"/>
              <w:left w:val="single" w:sz="4" w:space="0" w:color="auto"/>
              <w:bottom w:val="single" w:sz="4" w:space="0" w:color="auto"/>
              <w:right w:val="single" w:sz="4" w:space="0" w:color="auto"/>
            </w:tcBorders>
          </w:tcPr>
          <w:p w14:paraId="76BD64AE" w14:textId="77777777" w:rsidR="00742B97" w:rsidRPr="008C5F1C" w:rsidRDefault="00D90467" w:rsidP="00742B97">
            <w:pPr>
              <w:spacing w:after="120" w:line="240" w:lineRule="auto"/>
              <w:contextualSpacing/>
              <w:jc w:val="both"/>
              <w:rPr>
                <w:rFonts w:ascii="Times New Roman" w:hAnsi="Times New Roman" w:cs="Times New Roman"/>
              </w:rPr>
            </w:pPr>
            <w:r w:rsidRPr="008C5F1C">
              <w:rPr>
                <w:rFonts w:ascii="Times New Roman" w:hAnsi="Times New Roman" w:cs="Times New Roman"/>
              </w:rPr>
              <w:t xml:space="preserve">O deficiență importantă a infrastructurii </w:t>
            </w:r>
            <w:r w:rsidR="0054634C" w:rsidRPr="008C5F1C">
              <w:rPr>
                <w:rFonts w:ascii="Times New Roman" w:hAnsi="Times New Roman" w:cs="Times New Roman"/>
              </w:rPr>
              <w:t xml:space="preserve">în domeniul educației și formării profesionale </w:t>
            </w:r>
            <w:r w:rsidRPr="008C5F1C">
              <w:rPr>
                <w:rFonts w:ascii="Times New Roman" w:hAnsi="Times New Roman" w:cs="Times New Roman"/>
              </w:rPr>
              <w:t xml:space="preserve">este incapacitatea de a asigura condițiile minime de funcționare conform standardelor în vigoare. </w:t>
            </w:r>
            <w:r w:rsidR="0054634C" w:rsidRPr="008C5F1C">
              <w:rPr>
                <w:rFonts w:ascii="Times New Roman" w:hAnsi="Times New Roman" w:cs="Times New Roman"/>
              </w:rPr>
              <w:t xml:space="preserve">Aceasta </w:t>
            </w:r>
            <w:r w:rsidR="009376CD" w:rsidRPr="008C5F1C">
              <w:rPr>
                <w:rFonts w:ascii="Times New Roman" w:hAnsi="Times New Roman" w:cs="Times New Roman"/>
              </w:rPr>
              <w:t>este sub s</w:t>
            </w:r>
            <w:r w:rsidR="00653571" w:rsidRPr="008C5F1C">
              <w:rPr>
                <w:rFonts w:ascii="Times New Roman" w:hAnsi="Times New Roman" w:cs="Times New Roman"/>
              </w:rPr>
              <w:t>tandardel</w:t>
            </w:r>
            <w:r w:rsidR="009376CD" w:rsidRPr="008C5F1C">
              <w:rPr>
                <w:rFonts w:ascii="Times New Roman" w:hAnsi="Times New Roman" w:cs="Times New Roman"/>
              </w:rPr>
              <w:t>e</w:t>
            </w:r>
            <w:r w:rsidR="00653571" w:rsidRPr="008C5F1C">
              <w:rPr>
                <w:rFonts w:ascii="Times New Roman" w:hAnsi="Times New Roman" w:cs="Times New Roman"/>
              </w:rPr>
              <w:t xml:space="preserve"> UE pentru întregul ciclu educa</w:t>
            </w:r>
            <w:r w:rsidR="00E22FF2" w:rsidRPr="008C5F1C">
              <w:rPr>
                <w:rFonts w:ascii="Times New Roman" w:hAnsi="Times New Roman" w:cs="Times New Roman"/>
              </w:rPr>
              <w:t>ț</w:t>
            </w:r>
            <w:r w:rsidR="00653571" w:rsidRPr="008C5F1C">
              <w:rPr>
                <w:rFonts w:ascii="Times New Roman" w:hAnsi="Times New Roman" w:cs="Times New Roman"/>
              </w:rPr>
              <w:t>ional, de la educa</w:t>
            </w:r>
            <w:r w:rsidR="00E22FF2" w:rsidRPr="008C5F1C">
              <w:rPr>
                <w:rFonts w:ascii="Times New Roman" w:hAnsi="Times New Roman" w:cs="Times New Roman"/>
              </w:rPr>
              <w:t>ț</w:t>
            </w:r>
            <w:r w:rsidR="00653571" w:rsidRPr="008C5F1C">
              <w:rPr>
                <w:rFonts w:ascii="Times New Roman" w:hAnsi="Times New Roman" w:cs="Times New Roman"/>
              </w:rPr>
              <w:t>ia timpurie ante-pre</w:t>
            </w:r>
            <w:r w:rsidR="00106240" w:rsidRPr="008C5F1C">
              <w:rPr>
                <w:rFonts w:ascii="Times New Roman" w:hAnsi="Times New Roman" w:cs="Times New Roman"/>
              </w:rPr>
              <w:t>ș</w:t>
            </w:r>
            <w:r w:rsidR="00653571" w:rsidRPr="008C5F1C">
              <w:rPr>
                <w:rFonts w:ascii="Times New Roman" w:hAnsi="Times New Roman" w:cs="Times New Roman"/>
              </w:rPr>
              <w:t>colar</w:t>
            </w:r>
            <w:r w:rsidR="00BA7827" w:rsidRPr="008C5F1C">
              <w:rPr>
                <w:rFonts w:ascii="Times New Roman" w:hAnsi="Times New Roman" w:cs="Times New Roman"/>
              </w:rPr>
              <w:t>ă</w:t>
            </w:r>
            <w:r w:rsidR="00653571" w:rsidRPr="008C5F1C">
              <w:rPr>
                <w:rFonts w:ascii="Times New Roman" w:hAnsi="Times New Roman" w:cs="Times New Roman"/>
              </w:rPr>
              <w:t xml:space="preserve"> la </w:t>
            </w:r>
            <w:r w:rsidR="009376CD" w:rsidRPr="008C5F1C">
              <w:rPr>
                <w:rFonts w:ascii="Times New Roman" w:hAnsi="Times New Roman" w:cs="Times New Roman"/>
              </w:rPr>
              <w:t>nivelul ter</w:t>
            </w:r>
            <w:r w:rsidR="00E22FF2" w:rsidRPr="008C5F1C">
              <w:rPr>
                <w:rFonts w:ascii="Times New Roman" w:hAnsi="Times New Roman" w:cs="Times New Roman"/>
              </w:rPr>
              <w:t>ț</w:t>
            </w:r>
            <w:r w:rsidR="009376CD" w:rsidRPr="008C5F1C">
              <w:rPr>
                <w:rFonts w:ascii="Times New Roman" w:hAnsi="Times New Roman" w:cs="Times New Roman"/>
              </w:rPr>
              <w:t xml:space="preserve">iar. </w:t>
            </w:r>
            <w:r w:rsidR="00653571" w:rsidRPr="008C5F1C">
              <w:rPr>
                <w:rFonts w:ascii="Times New Roman" w:hAnsi="Times New Roman" w:cs="Times New Roman"/>
              </w:rPr>
              <w:t xml:space="preserve"> </w:t>
            </w:r>
          </w:p>
          <w:p w14:paraId="693CF74D" w14:textId="2707F136" w:rsidR="005C79FD" w:rsidRPr="008C5F1C" w:rsidRDefault="005C79FD" w:rsidP="00742B97">
            <w:pPr>
              <w:spacing w:after="120" w:line="240" w:lineRule="auto"/>
              <w:contextualSpacing/>
              <w:jc w:val="both"/>
              <w:rPr>
                <w:rFonts w:ascii="Times New Roman" w:hAnsi="Times New Roman" w:cs="Times New Roman"/>
              </w:rPr>
            </w:pPr>
            <w:r w:rsidRPr="008C5F1C">
              <w:rPr>
                <w:rFonts w:ascii="Times New Roman" w:hAnsi="Times New Roman" w:cs="Times New Roman"/>
              </w:rPr>
              <w:t>Lipsa spațiilor educaționale și dotările inadecvate, duc la lipsa de atractivitate a sistemului de educație și afectează performanțele educaționale.</w:t>
            </w:r>
          </w:p>
          <w:p w14:paraId="62E83B5C" w14:textId="77777777" w:rsidR="00E0430F" w:rsidRPr="008C5F1C" w:rsidRDefault="005C79FD" w:rsidP="00742B97">
            <w:pPr>
              <w:spacing w:after="120" w:line="240" w:lineRule="auto"/>
              <w:contextualSpacing/>
              <w:jc w:val="both"/>
              <w:rPr>
                <w:rFonts w:ascii="Times New Roman" w:hAnsi="Times New Roman" w:cs="Times New Roman"/>
              </w:rPr>
            </w:pPr>
            <w:r w:rsidRPr="008C5F1C">
              <w:rPr>
                <w:rFonts w:ascii="Times New Roman" w:hAnsi="Times New Roman" w:cs="Times New Roman"/>
              </w:rPr>
              <w:t>În condițiile distanțării impuse de criza COVID, lipsa dotării pentru adaptarea la predarea online afectează în primul rând categoriile vulnerabile de elevi</w:t>
            </w:r>
            <w:r w:rsidR="00CB6279" w:rsidRPr="008C5F1C">
              <w:rPr>
                <w:rFonts w:ascii="Times New Roman" w:hAnsi="Times New Roman" w:cs="Times New Roman"/>
              </w:rPr>
              <w:t xml:space="preserve">, favorizând abandonul școlar. </w:t>
            </w:r>
          </w:p>
          <w:p w14:paraId="023A11F7" w14:textId="60859176" w:rsidR="00941A04" w:rsidRPr="008C5F1C" w:rsidRDefault="00E0430F" w:rsidP="00742B97">
            <w:pPr>
              <w:spacing w:after="120" w:line="240" w:lineRule="auto"/>
              <w:contextualSpacing/>
              <w:jc w:val="both"/>
              <w:rPr>
                <w:rFonts w:ascii="Times New Roman" w:hAnsi="Times New Roman" w:cs="Times New Roman"/>
              </w:rPr>
            </w:pPr>
            <w:r w:rsidRPr="008C5F1C">
              <w:rPr>
                <w:rFonts w:ascii="Times New Roman" w:hAnsi="Times New Roman" w:cs="Times New Roman"/>
              </w:rPr>
              <w:lastRenderedPageBreak/>
              <w:t xml:space="preserve">Mai mult, majoritatea spațiilor educaționale </w:t>
            </w:r>
            <w:r w:rsidR="00E91090" w:rsidRPr="008C5F1C">
              <w:rPr>
                <w:rFonts w:ascii="Times New Roman" w:hAnsi="Times New Roman" w:cs="Times New Roman"/>
              </w:rPr>
              <w:t xml:space="preserve">nu </w:t>
            </w:r>
            <w:r w:rsidR="006B4F50" w:rsidRPr="008C5F1C">
              <w:rPr>
                <w:rFonts w:ascii="Times New Roman" w:hAnsi="Times New Roman" w:cs="Times New Roman"/>
              </w:rPr>
              <w:t>sunt accesibilizate</w:t>
            </w:r>
            <w:r w:rsidR="00381E8E" w:rsidRPr="008C5F1C">
              <w:rPr>
                <w:rFonts w:ascii="Times New Roman" w:hAnsi="Times New Roman" w:cs="Times New Roman"/>
              </w:rPr>
              <w:t xml:space="preserve"> pentru accesul persoanelor cu dizabilități</w:t>
            </w:r>
            <w:r w:rsidR="006B4F50" w:rsidRPr="008C5F1C">
              <w:rPr>
                <w:rFonts w:ascii="Times New Roman" w:hAnsi="Times New Roman" w:cs="Times New Roman"/>
              </w:rPr>
              <w:t xml:space="preserve">, ceea ce împiedică accesul echitabil la educație. </w:t>
            </w:r>
          </w:p>
        </w:tc>
      </w:tr>
      <w:tr w:rsidR="00653571" w:rsidRPr="008C5F1C" w14:paraId="08B85FF4" w14:textId="77777777" w:rsidTr="00F24910">
        <w:tc>
          <w:tcPr>
            <w:tcW w:w="811" w:type="pct"/>
            <w:vMerge w:val="restart"/>
            <w:tcBorders>
              <w:top w:val="single" w:sz="4" w:space="0" w:color="auto"/>
              <w:left w:val="single" w:sz="4" w:space="0" w:color="auto"/>
              <w:right w:val="single" w:sz="4" w:space="0" w:color="auto"/>
            </w:tcBorders>
          </w:tcPr>
          <w:p w14:paraId="2ACBB2EC" w14:textId="77777777" w:rsidR="00653571" w:rsidRPr="008C5F1C" w:rsidRDefault="00653571" w:rsidP="00534127">
            <w:pPr>
              <w:spacing w:before="120" w:after="120"/>
              <w:rPr>
                <w:rFonts w:ascii="Times New Roman" w:hAnsi="Times New Roman" w:cs="Times New Roman"/>
                <w:b/>
                <w:bCs/>
                <w:noProof/>
              </w:rPr>
            </w:pPr>
            <w:r w:rsidRPr="008C5F1C">
              <w:rPr>
                <w:rFonts w:ascii="Times New Roman" w:hAnsi="Times New Roman" w:cs="Times New Roman"/>
                <w:b/>
                <w:bCs/>
                <w:noProof/>
              </w:rPr>
              <w:lastRenderedPageBreak/>
              <w:t>OP5 „O Europ</w:t>
            </w:r>
            <w:r w:rsidR="00BA7827" w:rsidRPr="008C5F1C">
              <w:rPr>
                <w:rFonts w:ascii="Times New Roman" w:hAnsi="Times New Roman" w:cs="Times New Roman"/>
                <w:b/>
                <w:bCs/>
                <w:noProof/>
              </w:rPr>
              <w:t>ă</w:t>
            </w:r>
            <w:r w:rsidRPr="008C5F1C">
              <w:rPr>
                <w:rFonts w:ascii="Times New Roman" w:hAnsi="Times New Roman" w:cs="Times New Roman"/>
                <w:b/>
                <w:bCs/>
                <w:noProof/>
              </w:rPr>
              <w:t xml:space="preserve"> mai aproape de cet</w:t>
            </w:r>
            <w:r w:rsidR="00BA7827" w:rsidRPr="008C5F1C">
              <w:rPr>
                <w:rFonts w:ascii="Times New Roman" w:hAnsi="Times New Roman" w:cs="Times New Roman"/>
                <w:b/>
                <w:bCs/>
                <w:noProof/>
              </w:rPr>
              <w:t>ă</w:t>
            </w:r>
            <w:r w:rsidR="00E22FF2" w:rsidRPr="008C5F1C">
              <w:rPr>
                <w:rFonts w:ascii="Times New Roman" w:hAnsi="Times New Roman" w:cs="Times New Roman"/>
                <w:b/>
                <w:bCs/>
                <w:noProof/>
              </w:rPr>
              <w:t>ț</w:t>
            </w:r>
            <w:r w:rsidRPr="008C5F1C">
              <w:rPr>
                <w:rFonts w:ascii="Times New Roman" w:hAnsi="Times New Roman" w:cs="Times New Roman"/>
                <w:b/>
                <w:bCs/>
                <w:noProof/>
              </w:rPr>
              <w:t>eni prin promovarea dezvolt</w:t>
            </w:r>
            <w:r w:rsidR="00BA7827" w:rsidRPr="008C5F1C">
              <w:rPr>
                <w:rFonts w:ascii="Times New Roman" w:hAnsi="Times New Roman" w:cs="Times New Roman"/>
                <w:b/>
                <w:bCs/>
                <w:noProof/>
              </w:rPr>
              <w:t>ă</w:t>
            </w:r>
            <w:r w:rsidRPr="008C5F1C">
              <w:rPr>
                <w:rFonts w:ascii="Times New Roman" w:hAnsi="Times New Roman" w:cs="Times New Roman"/>
                <w:b/>
                <w:bCs/>
                <w:noProof/>
              </w:rPr>
              <w:t xml:space="preserve">rii durabile </w:t>
            </w:r>
            <w:r w:rsidR="00106240" w:rsidRPr="008C5F1C">
              <w:rPr>
                <w:rFonts w:ascii="Times New Roman" w:hAnsi="Times New Roman" w:cs="Times New Roman"/>
                <w:b/>
                <w:bCs/>
                <w:noProof/>
              </w:rPr>
              <w:t>ș</w:t>
            </w:r>
            <w:r w:rsidRPr="008C5F1C">
              <w:rPr>
                <w:rFonts w:ascii="Times New Roman" w:hAnsi="Times New Roman" w:cs="Times New Roman"/>
                <w:b/>
                <w:bCs/>
                <w:noProof/>
              </w:rPr>
              <w:t xml:space="preserve">i integrate a zonelor urbane, rurale </w:t>
            </w:r>
            <w:r w:rsidR="00106240" w:rsidRPr="008C5F1C">
              <w:rPr>
                <w:rFonts w:ascii="Times New Roman" w:hAnsi="Times New Roman" w:cs="Times New Roman"/>
                <w:b/>
                <w:bCs/>
                <w:noProof/>
              </w:rPr>
              <w:t>ș</w:t>
            </w:r>
            <w:r w:rsidRPr="008C5F1C">
              <w:rPr>
                <w:rFonts w:ascii="Times New Roman" w:hAnsi="Times New Roman" w:cs="Times New Roman"/>
                <w:b/>
                <w:bCs/>
                <w:noProof/>
              </w:rPr>
              <w:t>i de coast</w:t>
            </w:r>
            <w:r w:rsidR="00BA7827" w:rsidRPr="008C5F1C">
              <w:rPr>
                <w:rFonts w:ascii="Times New Roman" w:hAnsi="Times New Roman" w:cs="Times New Roman"/>
                <w:b/>
                <w:bCs/>
                <w:noProof/>
              </w:rPr>
              <w:t>ă</w:t>
            </w:r>
            <w:r w:rsidRPr="008C5F1C">
              <w:rPr>
                <w:rFonts w:ascii="Times New Roman" w:hAnsi="Times New Roman" w:cs="Times New Roman"/>
                <w:b/>
                <w:bCs/>
                <w:noProof/>
              </w:rPr>
              <w:t xml:space="preserve"> </w:t>
            </w:r>
            <w:r w:rsidR="00106240" w:rsidRPr="008C5F1C">
              <w:rPr>
                <w:rFonts w:ascii="Times New Roman" w:hAnsi="Times New Roman" w:cs="Times New Roman"/>
                <w:b/>
                <w:bCs/>
                <w:noProof/>
              </w:rPr>
              <w:t>ș</w:t>
            </w:r>
            <w:r w:rsidRPr="008C5F1C">
              <w:rPr>
                <w:rFonts w:ascii="Times New Roman" w:hAnsi="Times New Roman" w:cs="Times New Roman"/>
                <w:b/>
                <w:bCs/>
                <w:noProof/>
              </w:rPr>
              <w:t>i a ini</w:t>
            </w:r>
            <w:r w:rsidR="00E22FF2" w:rsidRPr="008C5F1C">
              <w:rPr>
                <w:rFonts w:ascii="Times New Roman" w:hAnsi="Times New Roman" w:cs="Times New Roman"/>
                <w:b/>
                <w:bCs/>
                <w:noProof/>
              </w:rPr>
              <w:t>ț</w:t>
            </w:r>
            <w:r w:rsidRPr="008C5F1C">
              <w:rPr>
                <w:rFonts w:ascii="Times New Roman" w:hAnsi="Times New Roman" w:cs="Times New Roman"/>
                <w:b/>
                <w:bCs/>
                <w:noProof/>
              </w:rPr>
              <w:t>iativelor locale”</w:t>
            </w:r>
          </w:p>
        </w:tc>
        <w:tc>
          <w:tcPr>
            <w:tcW w:w="1197" w:type="pct"/>
            <w:tcBorders>
              <w:top w:val="single" w:sz="4" w:space="0" w:color="auto"/>
              <w:left w:val="single" w:sz="4" w:space="0" w:color="auto"/>
              <w:bottom w:val="single" w:sz="4" w:space="0" w:color="auto"/>
              <w:right w:val="single" w:sz="4" w:space="0" w:color="auto"/>
            </w:tcBorders>
          </w:tcPr>
          <w:p w14:paraId="639BC517" w14:textId="77777777" w:rsidR="00653571" w:rsidRPr="008C5F1C" w:rsidRDefault="00653571" w:rsidP="00534127">
            <w:pPr>
              <w:spacing w:before="120" w:after="120"/>
              <w:rPr>
                <w:rFonts w:ascii="Times New Roman" w:hAnsi="Times New Roman" w:cs="Times New Roman"/>
                <w:b/>
                <w:bCs/>
              </w:rPr>
            </w:pPr>
            <w:r w:rsidRPr="008C5F1C">
              <w:rPr>
                <w:rFonts w:ascii="Times New Roman" w:hAnsi="Times New Roman" w:cs="Times New Roman"/>
                <w:b/>
                <w:bCs/>
              </w:rPr>
              <w:t>e (i) Favorizarea dezvolt</w:t>
            </w:r>
            <w:r w:rsidR="00BA7827" w:rsidRPr="008C5F1C">
              <w:rPr>
                <w:rFonts w:ascii="Times New Roman" w:hAnsi="Times New Roman" w:cs="Times New Roman"/>
                <w:b/>
                <w:bCs/>
              </w:rPr>
              <w:t>ă</w:t>
            </w:r>
            <w:r w:rsidRPr="008C5F1C">
              <w:rPr>
                <w:rFonts w:ascii="Times New Roman" w:hAnsi="Times New Roman" w:cs="Times New Roman"/>
                <w:b/>
                <w:bCs/>
              </w:rPr>
              <w:t xml:space="preserve">rii integrate sociale, economice </w:t>
            </w:r>
            <w:r w:rsidR="00106240" w:rsidRPr="008C5F1C">
              <w:rPr>
                <w:rFonts w:ascii="Times New Roman" w:hAnsi="Times New Roman" w:cs="Times New Roman"/>
                <w:b/>
                <w:bCs/>
              </w:rPr>
              <w:t>ș</w:t>
            </w:r>
            <w:r w:rsidRPr="008C5F1C">
              <w:rPr>
                <w:rFonts w:ascii="Times New Roman" w:hAnsi="Times New Roman" w:cs="Times New Roman"/>
                <w:b/>
                <w:bCs/>
              </w:rPr>
              <w:t xml:space="preserve">i de mediu la nivel local </w:t>
            </w:r>
            <w:r w:rsidR="00106240" w:rsidRPr="008C5F1C">
              <w:rPr>
                <w:rFonts w:ascii="Times New Roman" w:hAnsi="Times New Roman" w:cs="Times New Roman"/>
                <w:b/>
                <w:bCs/>
              </w:rPr>
              <w:t>ș</w:t>
            </w:r>
            <w:r w:rsidRPr="008C5F1C">
              <w:rPr>
                <w:rFonts w:ascii="Times New Roman" w:hAnsi="Times New Roman" w:cs="Times New Roman"/>
                <w:b/>
                <w:bCs/>
              </w:rPr>
              <w:t xml:space="preserve">i a patrimoniului cultural, turismului </w:t>
            </w:r>
            <w:r w:rsidR="00106240" w:rsidRPr="008C5F1C">
              <w:rPr>
                <w:rFonts w:ascii="Times New Roman" w:hAnsi="Times New Roman" w:cs="Times New Roman"/>
                <w:b/>
                <w:bCs/>
              </w:rPr>
              <w:t>ș</w:t>
            </w:r>
            <w:r w:rsidRPr="008C5F1C">
              <w:rPr>
                <w:rFonts w:ascii="Times New Roman" w:hAnsi="Times New Roman" w:cs="Times New Roman"/>
                <w:b/>
                <w:bCs/>
              </w:rPr>
              <w:t>i securit</w:t>
            </w:r>
            <w:r w:rsidR="00BA7827" w:rsidRPr="008C5F1C">
              <w:rPr>
                <w:rFonts w:ascii="Times New Roman" w:hAnsi="Times New Roman" w:cs="Times New Roman"/>
                <w:b/>
                <w:bCs/>
              </w:rPr>
              <w:t>ă</w:t>
            </w:r>
            <w:r w:rsidR="00E22FF2" w:rsidRPr="008C5F1C">
              <w:rPr>
                <w:rFonts w:ascii="Times New Roman" w:hAnsi="Times New Roman" w:cs="Times New Roman"/>
                <w:b/>
                <w:bCs/>
              </w:rPr>
              <w:t>ț</w:t>
            </w:r>
            <w:r w:rsidRPr="008C5F1C">
              <w:rPr>
                <w:rFonts w:ascii="Times New Roman" w:hAnsi="Times New Roman" w:cs="Times New Roman"/>
                <w:b/>
                <w:bCs/>
              </w:rPr>
              <w:t>ii în zonele urbane</w:t>
            </w:r>
          </w:p>
        </w:tc>
        <w:tc>
          <w:tcPr>
            <w:tcW w:w="2993" w:type="pct"/>
            <w:tcBorders>
              <w:top w:val="single" w:sz="4" w:space="0" w:color="auto"/>
              <w:left w:val="single" w:sz="4" w:space="0" w:color="auto"/>
              <w:bottom w:val="single" w:sz="4" w:space="0" w:color="auto"/>
              <w:right w:val="single" w:sz="4" w:space="0" w:color="auto"/>
            </w:tcBorders>
          </w:tcPr>
          <w:p w14:paraId="69E4EB3E" w14:textId="50FBF67B" w:rsidR="003C5FF8" w:rsidRPr="008C5F1C" w:rsidRDefault="00AD20FA" w:rsidP="00742B97">
            <w:pPr>
              <w:spacing w:after="120" w:line="240" w:lineRule="auto"/>
              <w:contextualSpacing/>
              <w:jc w:val="both"/>
              <w:rPr>
                <w:rFonts w:ascii="Times New Roman" w:hAnsi="Times New Roman" w:cs="Times New Roman"/>
              </w:rPr>
            </w:pPr>
            <w:r w:rsidRPr="008C5F1C">
              <w:rPr>
                <w:rFonts w:ascii="Times New Roman" w:hAnsi="Times New Roman" w:cs="Times New Roman"/>
              </w:rPr>
              <w:t>Investițiile pentru dezvoltarea urbană vor continua eforturile realizate în perioadele anterioare de programare, consolidând însă dimensiunea teritorială funcțională, care depășește granițele administrative ale teritoriului</w:t>
            </w:r>
            <w:r w:rsidR="00835E2D">
              <w:rPr>
                <w:rFonts w:ascii="Times New Roman" w:hAnsi="Times New Roman" w:cs="Times New Roman"/>
              </w:rPr>
              <w:t>,</w:t>
            </w:r>
            <w:r w:rsidRPr="008C5F1C">
              <w:rPr>
                <w:rFonts w:ascii="Times New Roman" w:hAnsi="Times New Roman" w:cs="Times New Roman"/>
              </w:rPr>
              <w:t xml:space="preserve"> încurajând implementarea de proiecte în parteneriat, </w:t>
            </w:r>
            <w:r w:rsidR="00A75948">
              <w:rPr>
                <w:rFonts w:ascii="Times New Roman" w:hAnsi="Times New Roman" w:cs="Times New Roman"/>
              </w:rPr>
              <w:t xml:space="preserve">dacă </w:t>
            </w:r>
            <w:r w:rsidRPr="008C5F1C">
              <w:rPr>
                <w:rFonts w:ascii="Times New Roman" w:hAnsi="Times New Roman" w:cs="Times New Roman"/>
              </w:rPr>
              <w:t xml:space="preserve">această abordare este mai eficace decât cea individuală. </w:t>
            </w:r>
          </w:p>
          <w:p w14:paraId="34DFE84F" w14:textId="77777777" w:rsidR="00354534" w:rsidRPr="008C5F1C" w:rsidRDefault="00354534" w:rsidP="00742B97">
            <w:pPr>
              <w:spacing w:after="120" w:line="240" w:lineRule="auto"/>
              <w:contextualSpacing/>
              <w:jc w:val="both"/>
              <w:rPr>
                <w:rFonts w:ascii="Times New Roman" w:hAnsi="Times New Roman" w:cs="Times New Roman"/>
              </w:rPr>
            </w:pPr>
            <w:r w:rsidRPr="008C5F1C">
              <w:rPr>
                <w:rFonts w:ascii="Times New Roman" w:hAnsi="Times New Roman" w:cs="Times New Roman"/>
              </w:rPr>
              <w:t>În particular, sectorul balnear este considerat unul dintre domeniile cu cel mai ridicat poten</w:t>
            </w:r>
            <w:r w:rsidR="00E22FF2" w:rsidRPr="008C5F1C">
              <w:rPr>
                <w:rFonts w:ascii="Times New Roman" w:hAnsi="Times New Roman" w:cs="Times New Roman"/>
              </w:rPr>
              <w:t>ț</w:t>
            </w:r>
            <w:r w:rsidRPr="008C5F1C">
              <w:rPr>
                <w:rFonts w:ascii="Times New Roman" w:hAnsi="Times New Roman" w:cs="Times New Roman"/>
              </w:rPr>
              <w:t>ial, atât din perspectiva exploat</w:t>
            </w:r>
            <w:r w:rsidR="00BA7827" w:rsidRPr="008C5F1C">
              <w:rPr>
                <w:rFonts w:ascii="Times New Roman" w:hAnsi="Times New Roman" w:cs="Times New Roman"/>
              </w:rPr>
              <w:t>ă</w:t>
            </w:r>
            <w:r w:rsidRPr="008C5F1C">
              <w:rPr>
                <w:rFonts w:ascii="Times New Roman" w:hAnsi="Times New Roman" w:cs="Times New Roman"/>
              </w:rPr>
              <w:t xml:space="preserve">rii resurselor, cât </w:t>
            </w:r>
            <w:r w:rsidR="00106240" w:rsidRPr="008C5F1C">
              <w:rPr>
                <w:rFonts w:ascii="Times New Roman" w:hAnsi="Times New Roman" w:cs="Times New Roman"/>
              </w:rPr>
              <w:t>ș</w:t>
            </w:r>
            <w:r w:rsidRPr="008C5F1C">
              <w:rPr>
                <w:rFonts w:ascii="Times New Roman" w:hAnsi="Times New Roman" w:cs="Times New Roman"/>
              </w:rPr>
              <w:t>i a tendin</w:t>
            </w:r>
            <w:r w:rsidR="00E22FF2" w:rsidRPr="008C5F1C">
              <w:rPr>
                <w:rFonts w:ascii="Times New Roman" w:hAnsi="Times New Roman" w:cs="Times New Roman"/>
              </w:rPr>
              <w:t>ț</w:t>
            </w:r>
            <w:r w:rsidRPr="008C5F1C">
              <w:rPr>
                <w:rFonts w:ascii="Times New Roman" w:hAnsi="Times New Roman" w:cs="Times New Roman"/>
              </w:rPr>
              <w:t>elor favorizante manifestate la nivel mondial, privind turismul de „</w:t>
            </w:r>
            <w:proofErr w:type="spellStart"/>
            <w:r w:rsidRPr="008C5F1C">
              <w:rPr>
                <w:rFonts w:ascii="Times New Roman" w:hAnsi="Times New Roman" w:cs="Times New Roman"/>
              </w:rPr>
              <w:t>wellness</w:t>
            </w:r>
            <w:proofErr w:type="spellEnd"/>
            <w:r w:rsidRPr="008C5F1C">
              <w:rPr>
                <w:rFonts w:ascii="Times New Roman" w:hAnsi="Times New Roman" w:cs="Times New Roman"/>
              </w:rPr>
              <w:t>”.</w:t>
            </w:r>
          </w:p>
          <w:p w14:paraId="0CDFE0F0" w14:textId="0CEC5F91" w:rsidR="00E22159" w:rsidRPr="008C5F1C" w:rsidRDefault="00354534" w:rsidP="00742B97">
            <w:pPr>
              <w:spacing w:after="120" w:line="240" w:lineRule="auto"/>
              <w:contextualSpacing/>
              <w:jc w:val="both"/>
              <w:rPr>
                <w:rFonts w:ascii="Times New Roman" w:hAnsi="Times New Roman" w:cs="Times New Roman"/>
              </w:rPr>
            </w:pPr>
            <w:r w:rsidRPr="008C5F1C">
              <w:rPr>
                <w:rFonts w:ascii="Times New Roman" w:hAnsi="Times New Roman" w:cs="Times New Roman"/>
              </w:rPr>
              <w:t>Patrimoniul cultural se confrunt</w:t>
            </w:r>
            <w:r w:rsidR="00BA7827" w:rsidRPr="008C5F1C">
              <w:rPr>
                <w:rFonts w:ascii="Times New Roman" w:hAnsi="Times New Roman" w:cs="Times New Roman"/>
              </w:rPr>
              <w:t>ă</w:t>
            </w:r>
            <w:r w:rsidRPr="008C5F1C">
              <w:rPr>
                <w:rFonts w:ascii="Times New Roman" w:hAnsi="Times New Roman" w:cs="Times New Roman"/>
              </w:rPr>
              <w:t xml:space="preserve"> cu provoc</w:t>
            </w:r>
            <w:r w:rsidR="00BA7827" w:rsidRPr="008C5F1C">
              <w:rPr>
                <w:rFonts w:ascii="Times New Roman" w:hAnsi="Times New Roman" w:cs="Times New Roman"/>
              </w:rPr>
              <w:t>ă</w:t>
            </w:r>
            <w:r w:rsidRPr="008C5F1C">
              <w:rPr>
                <w:rFonts w:ascii="Times New Roman" w:hAnsi="Times New Roman" w:cs="Times New Roman"/>
              </w:rPr>
              <w:t>ri importante</w:t>
            </w:r>
            <w:r w:rsidR="00835E2D">
              <w:rPr>
                <w:rFonts w:ascii="Times New Roman" w:hAnsi="Times New Roman" w:cs="Times New Roman"/>
              </w:rPr>
              <w:t>, s</w:t>
            </w:r>
            <w:r w:rsidRPr="008C5F1C">
              <w:rPr>
                <w:rFonts w:ascii="Times New Roman" w:hAnsi="Times New Roman" w:cs="Times New Roman"/>
              </w:rPr>
              <w:t>tarea majorit</w:t>
            </w:r>
            <w:r w:rsidR="00BA7827" w:rsidRPr="008C5F1C">
              <w:rPr>
                <w:rFonts w:ascii="Times New Roman" w:hAnsi="Times New Roman" w:cs="Times New Roman"/>
              </w:rPr>
              <w:t>ă</w:t>
            </w:r>
            <w:r w:rsidR="00E22FF2" w:rsidRPr="008C5F1C">
              <w:rPr>
                <w:rFonts w:ascii="Times New Roman" w:hAnsi="Times New Roman" w:cs="Times New Roman"/>
              </w:rPr>
              <w:t>ț</w:t>
            </w:r>
            <w:r w:rsidRPr="008C5F1C">
              <w:rPr>
                <w:rFonts w:ascii="Times New Roman" w:hAnsi="Times New Roman" w:cs="Times New Roman"/>
              </w:rPr>
              <w:t xml:space="preserve">ii monumentelor </w:t>
            </w:r>
            <w:r w:rsidR="00835E2D">
              <w:rPr>
                <w:rFonts w:ascii="Times New Roman" w:hAnsi="Times New Roman" w:cs="Times New Roman"/>
              </w:rPr>
              <w:t>fiind</w:t>
            </w:r>
            <w:r w:rsidRPr="008C5F1C">
              <w:rPr>
                <w:rFonts w:ascii="Times New Roman" w:hAnsi="Times New Roman" w:cs="Times New Roman"/>
              </w:rPr>
              <w:t xml:space="preserve"> precar</w:t>
            </w:r>
            <w:r w:rsidR="00BA7827" w:rsidRPr="008C5F1C">
              <w:rPr>
                <w:rFonts w:ascii="Times New Roman" w:hAnsi="Times New Roman" w:cs="Times New Roman"/>
              </w:rPr>
              <w:t>ă</w:t>
            </w:r>
            <w:r w:rsidRPr="008C5F1C">
              <w:rPr>
                <w:rFonts w:ascii="Times New Roman" w:hAnsi="Times New Roman" w:cs="Times New Roman"/>
              </w:rPr>
              <w:t>, iar calitatea  siturilor de patrimoniu cultural sau a activit</w:t>
            </w:r>
            <w:r w:rsidR="00BA7827" w:rsidRPr="008C5F1C">
              <w:rPr>
                <w:rFonts w:ascii="Times New Roman" w:hAnsi="Times New Roman" w:cs="Times New Roman"/>
              </w:rPr>
              <w:t>ă</w:t>
            </w:r>
            <w:r w:rsidR="00E22FF2" w:rsidRPr="008C5F1C">
              <w:rPr>
                <w:rFonts w:ascii="Times New Roman" w:hAnsi="Times New Roman" w:cs="Times New Roman"/>
              </w:rPr>
              <w:t>ț</w:t>
            </w:r>
            <w:r w:rsidRPr="008C5F1C">
              <w:rPr>
                <w:rFonts w:ascii="Times New Roman" w:hAnsi="Times New Roman" w:cs="Times New Roman"/>
              </w:rPr>
              <w:t>ilor legate de acesta este considerat</w:t>
            </w:r>
            <w:r w:rsidR="00BA7827" w:rsidRPr="008C5F1C">
              <w:rPr>
                <w:rFonts w:ascii="Times New Roman" w:hAnsi="Times New Roman" w:cs="Times New Roman"/>
              </w:rPr>
              <w:t>ă</w:t>
            </w:r>
            <w:r w:rsidRPr="008C5F1C">
              <w:rPr>
                <w:rFonts w:ascii="Times New Roman" w:hAnsi="Times New Roman" w:cs="Times New Roman"/>
              </w:rPr>
              <w:t xml:space="preserve"> slab</w:t>
            </w:r>
            <w:r w:rsidR="00BA7827" w:rsidRPr="008C5F1C">
              <w:rPr>
                <w:rFonts w:ascii="Times New Roman" w:hAnsi="Times New Roman" w:cs="Times New Roman"/>
              </w:rPr>
              <w:t>ă</w:t>
            </w:r>
            <w:r w:rsidRPr="008C5F1C">
              <w:rPr>
                <w:rFonts w:ascii="Times New Roman" w:hAnsi="Times New Roman" w:cs="Times New Roman"/>
              </w:rPr>
              <w:t xml:space="preserve"> de c</w:t>
            </w:r>
            <w:r w:rsidR="00BA7827" w:rsidRPr="008C5F1C">
              <w:rPr>
                <w:rFonts w:ascii="Times New Roman" w:hAnsi="Times New Roman" w:cs="Times New Roman"/>
              </w:rPr>
              <w:t>ă</w:t>
            </w:r>
            <w:r w:rsidRPr="008C5F1C">
              <w:rPr>
                <w:rFonts w:ascii="Times New Roman" w:hAnsi="Times New Roman" w:cs="Times New Roman"/>
              </w:rPr>
              <w:t xml:space="preserve">tre vizitatori. </w:t>
            </w:r>
          </w:p>
          <w:p w14:paraId="03C5208C" w14:textId="77777777" w:rsidR="000F17BB" w:rsidRPr="008C5F1C" w:rsidRDefault="000F17BB" w:rsidP="00742B97">
            <w:pPr>
              <w:pStyle w:val="Default"/>
              <w:spacing w:after="120"/>
              <w:contextualSpacing/>
              <w:jc w:val="both"/>
              <w:rPr>
                <w:rFonts w:ascii="Times New Roman" w:hAnsi="Times New Roman" w:cs="Times New Roman"/>
                <w:bCs/>
                <w:color w:val="auto"/>
                <w:sz w:val="22"/>
                <w:szCs w:val="22"/>
                <w:lang w:val="ro-RO"/>
              </w:rPr>
            </w:pPr>
            <w:r w:rsidRPr="008C5F1C">
              <w:rPr>
                <w:rFonts w:ascii="Times New Roman" w:hAnsi="Times New Roman" w:cs="Times New Roman"/>
                <w:bCs/>
                <w:color w:val="auto"/>
                <w:sz w:val="22"/>
                <w:szCs w:val="22"/>
                <w:lang w:val="ro-RO"/>
              </w:rPr>
              <w:t>Infrastructura publică de turism este în continuare  precară.</w:t>
            </w:r>
            <w:r w:rsidRPr="008C5F1C">
              <w:rPr>
                <w:rFonts w:ascii="Times New Roman" w:hAnsi="Times New Roman" w:cs="Times New Roman"/>
                <w:color w:val="auto"/>
                <w:sz w:val="22"/>
                <w:szCs w:val="22"/>
                <w:lang w:val="ro-RO"/>
              </w:rPr>
              <w:t xml:space="preserve"> </w:t>
            </w:r>
            <w:r w:rsidRPr="008C5F1C">
              <w:rPr>
                <w:rFonts w:ascii="Times New Roman" w:hAnsi="Times New Roman" w:cs="Times New Roman"/>
                <w:bCs/>
                <w:color w:val="auto"/>
                <w:sz w:val="22"/>
                <w:szCs w:val="22"/>
                <w:lang w:val="ro-RO"/>
              </w:rPr>
              <w:t>În ciuda investi</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iilor realizate în perioadele anterioare de programare, nevoile privind modernizarea capacită</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 xml:space="preserve">ilor de primire </w:t>
            </w:r>
            <w:r w:rsidR="00106240" w:rsidRPr="008C5F1C">
              <w:rPr>
                <w:rFonts w:ascii="Times New Roman" w:hAnsi="Times New Roman" w:cs="Times New Roman"/>
                <w:bCs/>
                <w:color w:val="auto"/>
                <w:sz w:val="22"/>
                <w:szCs w:val="22"/>
                <w:lang w:val="ro-RO"/>
              </w:rPr>
              <w:t>ș</w:t>
            </w:r>
            <w:r w:rsidRPr="008C5F1C">
              <w:rPr>
                <w:rFonts w:ascii="Times New Roman" w:hAnsi="Times New Roman" w:cs="Times New Roman"/>
                <w:bCs/>
                <w:color w:val="auto"/>
                <w:sz w:val="22"/>
                <w:szCs w:val="22"/>
                <w:lang w:val="ro-RO"/>
              </w:rPr>
              <w:t xml:space="preserve">i a bazelor de agrement rămân ridicate. </w:t>
            </w:r>
          </w:p>
          <w:p w14:paraId="3C7E47AB" w14:textId="77777777" w:rsidR="000F17BB" w:rsidRPr="008C5F1C" w:rsidRDefault="000F17BB" w:rsidP="00742B97">
            <w:pPr>
              <w:pStyle w:val="Default"/>
              <w:spacing w:after="120"/>
              <w:contextualSpacing/>
              <w:jc w:val="both"/>
              <w:rPr>
                <w:rFonts w:ascii="Times New Roman" w:hAnsi="Times New Roman" w:cs="Times New Roman"/>
                <w:bCs/>
                <w:color w:val="auto"/>
                <w:sz w:val="22"/>
                <w:szCs w:val="22"/>
                <w:lang w:val="ro-RO"/>
              </w:rPr>
            </w:pPr>
            <w:r w:rsidRPr="008C5F1C">
              <w:rPr>
                <w:rFonts w:ascii="Times New Roman" w:hAnsi="Times New Roman" w:cs="Times New Roman"/>
                <w:bCs/>
                <w:color w:val="auto"/>
                <w:sz w:val="22"/>
                <w:szCs w:val="22"/>
                <w:lang w:val="ro-RO"/>
              </w:rPr>
              <w:t>Infrastructura edilitară a sta</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iunilor este într-o stare avansată de degradare: căile de circula</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ie, parcările, spa</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 xml:space="preserve">iile verzi </w:t>
            </w:r>
            <w:r w:rsidR="00106240" w:rsidRPr="008C5F1C">
              <w:rPr>
                <w:rFonts w:ascii="Times New Roman" w:hAnsi="Times New Roman" w:cs="Times New Roman"/>
                <w:bCs/>
                <w:color w:val="auto"/>
                <w:sz w:val="22"/>
                <w:szCs w:val="22"/>
                <w:lang w:val="ro-RO"/>
              </w:rPr>
              <w:t>ș</w:t>
            </w:r>
            <w:r w:rsidRPr="008C5F1C">
              <w:rPr>
                <w:rFonts w:ascii="Times New Roman" w:hAnsi="Times New Roman" w:cs="Times New Roman"/>
                <w:bCs/>
                <w:color w:val="auto"/>
                <w:sz w:val="22"/>
                <w:szCs w:val="22"/>
                <w:lang w:val="ro-RO"/>
              </w:rPr>
              <w:t>i recreative, fa</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 xml:space="preserve">adele clădirilor. </w:t>
            </w:r>
          </w:p>
          <w:p w14:paraId="5E84BC20" w14:textId="14C2EEC0" w:rsidR="00941A04" w:rsidRPr="008C5F1C" w:rsidRDefault="00E41128" w:rsidP="00742B97">
            <w:pPr>
              <w:pStyle w:val="Default"/>
              <w:spacing w:after="120"/>
              <w:contextualSpacing/>
              <w:jc w:val="both"/>
              <w:rPr>
                <w:rFonts w:ascii="Times New Roman" w:hAnsi="Times New Roman" w:cs="Times New Roman"/>
                <w:bCs/>
                <w:color w:val="auto"/>
                <w:sz w:val="22"/>
                <w:szCs w:val="22"/>
                <w:lang w:val="ro-RO"/>
              </w:rPr>
            </w:pPr>
            <w:r w:rsidRPr="008C5F1C">
              <w:rPr>
                <w:rFonts w:ascii="Times New Roman" w:hAnsi="Times New Roman" w:cs="Times New Roman"/>
                <w:color w:val="auto"/>
                <w:sz w:val="22"/>
                <w:szCs w:val="22"/>
                <w:lang w:val="ro-RO"/>
              </w:rPr>
              <w:t xml:space="preserve">În </w:t>
            </w:r>
            <w:r w:rsidRPr="008C5F1C">
              <w:rPr>
                <w:rFonts w:ascii="Times New Roman" w:hAnsi="Times New Roman" w:cs="Times New Roman"/>
                <w:bCs/>
                <w:color w:val="auto"/>
                <w:sz w:val="22"/>
                <w:szCs w:val="22"/>
                <w:lang w:val="ro-RO"/>
              </w:rPr>
              <w:t>conformitate cu prioritățile strategice regionale</w:t>
            </w:r>
            <w:r w:rsidR="005D67D9" w:rsidRPr="008C5F1C">
              <w:rPr>
                <w:rStyle w:val="FootnoteReference"/>
                <w:rFonts w:ascii="Times New Roman" w:hAnsi="Times New Roman" w:cs="Times New Roman"/>
                <w:bCs/>
                <w:color w:val="auto"/>
                <w:sz w:val="22"/>
                <w:szCs w:val="22"/>
                <w:lang w:val="ro-RO"/>
              </w:rPr>
              <w:footnoteReference w:id="30"/>
            </w:r>
            <w:r w:rsidRPr="008C5F1C">
              <w:rPr>
                <w:rFonts w:ascii="Times New Roman" w:hAnsi="Times New Roman" w:cs="Times New Roman"/>
                <w:bCs/>
                <w:color w:val="auto"/>
                <w:sz w:val="22"/>
                <w:szCs w:val="22"/>
                <w:lang w:val="ro-RO"/>
              </w:rPr>
              <w:t xml:space="preserve">, sunt necesare investiții pentru </w:t>
            </w:r>
            <w:r w:rsidR="00941A04" w:rsidRPr="008C5F1C">
              <w:rPr>
                <w:rFonts w:ascii="Times New Roman" w:hAnsi="Times New Roman" w:cs="Times New Roman"/>
                <w:bCs/>
                <w:color w:val="auto"/>
                <w:sz w:val="22"/>
                <w:szCs w:val="22"/>
                <w:lang w:val="ro-RO"/>
              </w:rPr>
              <w:t xml:space="preserve">promovarea patrimoniului cultural </w:t>
            </w:r>
            <w:r w:rsidR="00106240" w:rsidRPr="008C5F1C">
              <w:rPr>
                <w:rFonts w:ascii="Times New Roman" w:hAnsi="Times New Roman" w:cs="Times New Roman"/>
                <w:bCs/>
                <w:color w:val="auto"/>
                <w:sz w:val="22"/>
                <w:szCs w:val="22"/>
                <w:lang w:val="ro-RO"/>
              </w:rPr>
              <w:t>ș</w:t>
            </w:r>
            <w:r w:rsidR="00941A04" w:rsidRPr="008C5F1C">
              <w:rPr>
                <w:rFonts w:ascii="Times New Roman" w:hAnsi="Times New Roman" w:cs="Times New Roman"/>
                <w:bCs/>
                <w:color w:val="auto"/>
                <w:sz w:val="22"/>
                <w:szCs w:val="22"/>
                <w:lang w:val="ro-RO"/>
              </w:rPr>
              <w:t>i natural</w:t>
            </w:r>
            <w:r w:rsidRPr="008C5F1C">
              <w:rPr>
                <w:rFonts w:ascii="Times New Roman" w:hAnsi="Times New Roman" w:cs="Times New Roman"/>
                <w:bCs/>
                <w:color w:val="auto"/>
                <w:sz w:val="22"/>
                <w:szCs w:val="22"/>
                <w:lang w:val="ro-RO"/>
              </w:rPr>
              <w:t xml:space="preserve"> </w:t>
            </w:r>
            <w:r w:rsidR="000D01D4" w:rsidRPr="008C5F1C">
              <w:rPr>
                <w:rFonts w:ascii="Times New Roman" w:hAnsi="Times New Roman" w:cs="Times New Roman"/>
                <w:bCs/>
                <w:color w:val="auto"/>
                <w:sz w:val="22"/>
                <w:szCs w:val="22"/>
                <w:lang w:val="ro-RO"/>
              </w:rPr>
              <w:t>ș</w:t>
            </w:r>
            <w:r w:rsidR="00941A04" w:rsidRPr="008C5F1C">
              <w:rPr>
                <w:rFonts w:ascii="Times New Roman" w:hAnsi="Times New Roman" w:cs="Times New Roman"/>
                <w:bCs/>
                <w:color w:val="auto"/>
                <w:sz w:val="22"/>
                <w:szCs w:val="22"/>
                <w:lang w:val="ro-RO"/>
              </w:rPr>
              <w:t>i pentru integrarea poten</w:t>
            </w:r>
            <w:r w:rsidR="00E22FF2" w:rsidRPr="008C5F1C">
              <w:rPr>
                <w:rFonts w:ascii="Times New Roman" w:hAnsi="Times New Roman" w:cs="Times New Roman"/>
                <w:bCs/>
                <w:color w:val="auto"/>
                <w:sz w:val="22"/>
                <w:szCs w:val="22"/>
                <w:lang w:val="ro-RO"/>
              </w:rPr>
              <w:t>ț</w:t>
            </w:r>
            <w:r w:rsidR="00941A04" w:rsidRPr="008C5F1C">
              <w:rPr>
                <w:rFonts w:ascii="Times New Roman" w:hAnsi="Times New Roman" w:cs="Times New Roman"/>
                <w:bCs/>
                <w:color w:val="auto"/>
                <w:sz w:val="22"/>
                <w:szCs w:val="22"/>
                <w:lang w:val="ro-RO"/>
              </w:rPr>
              <w:t>ialului turistic al regiunii în re</w:t>
            </w:r>
            <w:r w:rsidR="00E22FF2" w:rsidRPr="008C5F1C">
              <w:rPr>
                <w:rFonts w:ascii="Times New Roman" w:hAnsi="Times New Roman" w:cs="Times New Roman"/>
                <w:bCs/>
                <w:color w:val="auto"/>
                <w:sz w:val="22"/>
                <w:szCs w:val="22"/>
                <w:lang w:val="ro-RO"/>
              </w:rPr>
              <w:t>ț</w:t>
            </w:r>
            <w:r w:rsidR="00941A04" w:rsidRPr="008C5F1C">
              <w:rPr>
                <w:rFonts w:ascii="Times New Roman" w:hAnsi="Times New Roman" w:cs="Times New Roman"/>
                <w:bCs/>
                <w:color w:val="auto"/>
                <w:sz w:val="22"/>
                <w:szCs w:val="22"/>
                <w:lang w:val="ro-RO"/>
              </w:rPr>
              <w:t>elele de trasee turistice de mai mare anvergură</w:t>
            </w:r>
            <w:r w:rsidR="00835E2D">
              <w:rPr>
                <w:rFonts w:ascii="Times New Roman" w:hAnsi="Times New Roman" w:cs="Times New Roman"/>
                <w:bCs/>
                <w:color w:val="auto"/>
                <w:sz w:val="22"/>
                <w:szCs w:val="22"/>
                <w:lang w:val="ro-RO"/>
              </w:rPr>
              <w:t>.</w:t>
            </w:r>
          </w:p>
          <w:p w14:paraId="2532113C" w14:textId="676C2FF7" w:rsidR="00941A04" w:rsidRPr="008C5F1C" w:rsidRDefault="00941A04" w:rsidP="00742B97">
            <w:pPr>
              <w:pStyle w:val="Default"/>
              <w:spacing w:after="120"/>
              <w:contextualSpacing/>
              <w:jc w:val="both"/>
              <w:rPr>
                <w:rFonts w:ascii="Times New Roman" w:hAnsi="Times New Roman" w:cs="Times New Roman"/>
                <w:bCs/>
                <w:color w:val="auto"/>
                <w:sz w:val="22"/>
                <w:szCs w:val="22"/>
                <w:lang w:val="ro-RO"/>
              </w:rPr>
            </w:pPr>
            <w:r w:rsidRPr="008C5F1C">
              <w:rPr>
                <w:rFonts w:ascii="Times New Roman" w:hAnsi="Times New Roman" w:cs="Times New Roman"/>
                <w:bCs/>
                <w:color w:val="auto"/>
                <w:sz w:val="22"/>
                <w:szCs w:val="22"/>
                <w:lang w:val="ro-RO"/>
              </w:rPr>
              <w:t>Master Planul pentru Dezvoltarea Turismului Balnear sus</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ine dezvoltarea  ”turismului balnear verde”, respectiv dezvoltarea</w:t>
            </w:r>
            <w:r w:rsidRPr="008C5F1C">
              <w:rPr>
                <w:rFonts w:ascii="Times New Roman" w:hAnsi="Times New Roman" w:cs="Times New Roman"/>
                <w:color w:val="auto"/>
                <w:sz w:val="22"/>
                <w:szCs w:val="22"/>
                <w:lang w:val="ro-RO"/>
              </w:rPr>
              <w:t xml:space="preserve"> sectorului </w:t>
            </w:r>
            <w:r w:rsidRPr="008C5F1C">
              <w:rPr>
                <w:rFonts w:ascii="Times New Roman" w:hAnsi="Times New Roman" w:cs="Times New Roman"/>
                <w:bCs/>
                <w:color w:val="auto"/>
                <w:sz w:val="22"/>
                <w:szCs w:val="22"/>
                <w:lang w:val="ro-RO"/>
              </w:rPr>
              <w:t>balnear împreună cu ce</w:t>
            </w:r>
            <w:r w:rsidR="00835E2D">
              <w:rPr>
                <w:rFonts w:ascii="Times New Roman" w:hAnsi="Times New Roman" w:cs="Times New Roman"/>
                <w:bCs/>
                <w:color w:val="auto"/>
                <w:sz w:val="22"/>
                <w:szCs w:val="22"/>
                <w:lang w:val="ro-RO"/>
              </w:rPr>
              <w:t>l</w:t>
            </w:r>
            <w:r w:rsidRPr="008C5F1C">
              <w:rPr>
                <w:rFonts w:ascii="Times New Roman" w:hAnsi="Times New Roman" w:cs="Times New Roman"/>
                <w:bCs/>
                <w:color w:val="auto"/>
                <w:sz w:val="22"/>
                <w:szCs w:val="22"/>
                <w:lang w:val="ro-RO"/>
              </w:rPr>
              <w:t xml:space="preserve"> a</w:t>
            </w:r>
            <w:r w:rsidR="00835E2D">
              <w:rPr>
                <w:rFonts w:ascii="Times New Roman" w:hAnsi="Times New Roman" w:cs="Times New Roman"/>
                <w:bCs/>
                <w:color w:val="auto"/>
                <w:sz w:val="22"/>
                <w:szCs w:val="22"/>
                <w:lang w:val="ro-RO"/>
              </w:rPr>
              <w:t>l</w:t>
            </w:r>
            <w:r w:rsidRPr="008C5F1C">
              <w:rPr>
                <w:rFonts w:ascii="Times New Roman" w:hAnsi="Times New Roman" w:cs="Times New Roman"/>
                <w:bCs/>
                <w:color w:val="auto"/>
                <w:sz w:val="22"/>
                <w:szCs w:val="22"/>
                <w:lang w:val="ro-RO"/>
              </w:rPr>
              <w:t xml:space="preserve"> ecoturismului, prin crearea de produse comune care să utilizeze elementul natural pentru cură </w:t>
            </w:r>
            <w:r w:rsidR="00106240" w:rsidRPr="008C5F1C">
              <w:rPr>
                <w:rFonts w:ascii="Times New Roman" w:hAnsi="Times New Roman" w:cs="Times New Roman"/>
                <w:bCs/>
                <w:color w:val="auto"/>
                <w:sz w:val="22"/>
                <w:szCs w:val="22"/>
                <w:lang w:val="ro-RO"/>
              </w:rPr>
              <w:t>ș</w:t>
            </w:r>
            <w:r w:rsidRPr="008C5F1C">
              <w:rPr>
                <w:rFonts w:ascii="Times New Roman" w:hAnsi="Times New Roman" w:cs="Times New Roman"/>
                <w:bCs/>
                <w:color w:val="auto"/>
                <w:sz w:val="22"/>
                <w:szCs w:val="22"/>
                <w:lang w:val="ro-RO"/>
              </w:rPr>
              <w:t xml:space="preserve">i relaxare </w:t>
            </w:r>
            <w:r w:rsidR="00106240" w:rsidRPr="008C5F1C">
              <w:rPr>
                <w:rFonts w:ascii="Times New Roman" w:hAnsi="Times New Roman" w:cs="Times New Roman"/>
                <w:bCs/>
                <w:color w:val="auto"/>
                <w:sz w:val="22"/>
                <w:szCs w:val="22"/>
                <w:lang w:val="ro-RO"/>
              </w:rPr>
              <w:t>ș</w:t>
            </w:r>
            <w:r w:rsidRPr="008C5F1C">
              <w:rPr>
                <w:rFonts w:ascii="Times New Roman" w:hAnsi="Times New Roman" w:cs="Times New Roman"/>
                <w:bCs/>
                <w:color w:val="auto"/>
                <w:sz w:val="22"/>
                <w:szCs w:val="22"/>
                <w:lang w:val="ro-RO"/>
              </w:rPr>
              <w:t xml:space="preserve">i elementele de cură </w:t>
            </w:r>
            <w:r w:rsidR="00106240" w:rsidRPr="008C5F1C">
              <w:rPr>
                <w:rFonts w:ascii="Times New Roman" w:hAnsi="Times New Roman" w:cs="Times New Roman"/>
                <w:bCs/>
                <w:color w:val="auto"/>
                <w:sz w:val="22"/>
                <w:szCs w:val="22"/>
                <w:lang w:val="ro-RO"/>
              </w:rPr>
              <w:t>ș</w:t>
            </w:r>
            <w:r w:rsidRPr="008C5F1C">
              <w:rPr>
                <w:rFonts w:ascii="Times New Roman" w:hAnsi="Times New Roman" w:cs="Times New Roman"/>
                <w:bCs/>
                <w:color w:val="auto"/>
                <w:sz w:val="22"/>
                <w:szCs w:val="22"/>
                <w:lang w:val="ro-RO"/>
              </w:rPr>
              <w:t>i terapiile asociate pentru a poten</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 xml:space="preserve">a oferta </w:t>
            </w:r>
            <w:proofErr w:type="spellStart"/>
            <w:r w:rsidRPr="008C5F1C">
              <w:rPr>
                <w:rFonts w:ascii="Times New Roman" w:hAnsi="Times New Roman" w:cs="Times New Roman"/>
                <w:bCs/>
                <w:color w:val="auto"/>
                <w:sz w:val="22"/>
                <w:szCs w:val="22"/>
                <w:lang w:val="ro-RO"/>
              </w:rPr>
              <w:t>eco</w:t>
            </w:r>
            <w:proofErr w:type="spellEnd"/>
            <w:r w:rsidRPr="008C5F1C">
              <w:rPr>
                <w:rFonts w:ascii="Times New Roman" w:hAnsi="Times New Roman" w:cs="Times New Roman"/>
                <w:bCs/>
                <w:color w:val="auto"/>
                <w:sz w:val="22"/>
                <w:szCs w:val="22"/>
                <w:lang w:val="ro-RO"/>
              </w:rPr>
              <w:t>-turistică.</w:t>
            </w:r>
          </w:p>
          <w:p w14:paraId="0CCBFD12" w14:textId="15ACD5DB" w:rsidR="00CF6CF7" w:rsidRPr="008C5F1C" w:rsidRDefault="00E41128" w:rsidP="00742B97">
            <w:pPr>
              <w:spacing w:after="120" w:line="240" w:lineRule="auto"/>
              <w:contextualSpacing/>
              <w:jc w:val="both"/>
              <w:rPr>
                <w:rFonts w:ascii="Times New Roman" w:hAnsi="Times New Roman" w:cs="Times New Roman"/>
              </w:rPr>
            </w:pPr>
            <w:r w:rsidRPr="008C5F1C">
              <w:rPr>
                <w:rFonts w:ascii="Times New Roman" w:hAnsi="Times New Roman" w:cs="Times New Roman"/>
                <w:bCs/>
              </w:rPr>
              <w:t xml:space="preserve">Nu în ultimul rând, </w:t>
            </w:r>
            <w:r w:rsidR="00941A04" w:rsidRPr="008C5F1C">
              <w:rPr>
                <w:rFonts w:ascii="Times New Roman" w:hAnsi="Times New Roman" w:cs="Times New Roman"/>
                <w:b/>
                <w:bCs/>
                <w:iCs/>
                <w:noProof/>
              </w:rPr>
              <w:t xml:space="preserve">Strategia pentru cultură </w:t>
            </w:r>
            <w:r w:rsidR="00106240" w:rsidRPr="008C5F1C">
              <w:rPr>
                <w:rFonts w:ascii="Times New Roman" w:hAnsi="Times New Roman" w:cs="Times New Roman"/>
                <w:b/>
                <w:bCs/>
                <w:iCs/>
                <w:noProof/>
              </w:rPr>
              <w:t>ș</w:t>
            </w:r>
            <w:r w:rsidR="00941A04" w:rsidRPr="008C5F1C">
              <w:rPr>
                <w:rFonts w:ascii="Times New Roman" w:hAnsi="Times New Roman" w:cs="Times New Roman"/>
                <w:b/>
                <w:bCs/>
                <w:iCs/>
                <w:noProof/>
              </w:rPr>
              <w:t>i patrimoniu na</w:t>
            </w:r>
            <w:r w:rsidR="00E22FF2" w:rsidRPr="008C5F1C">
              <w:rPr>
                <w:rFonts w:ascii="Times New Roman" w:hAnsi="Times New Roman" w:cs="Times New Roman"/>
                <w:b/>
                <w:bCs/>
                <w:iCs/>
                <w:noProof/>
              </w:rPr>
              <w:t>ț</w:t>
            </w:r>
            <w:r w:rsidR="00941A04" w:rsidRPr="008C5F1C">
              <w:rPr>
                <w:rFonts w:ascii="Times New Roman" w:hAnsi="Times New Roman" w:cs="Times New Roman"/>
                <w:b/>
                <w:bCs/>
                <w:iCs/>
                <w:noProof/>
              </w:rPr>
              <w:t xml:space="preserve">ional 2016-2022 </w:t>
            </w:r>
            <w:r w:rsidR="00941A04" w:rsidRPr="008C5F1C">
              <w:rPr>
                <w:rFonts w:ascii="Times New Roman" w:hAnsi="Times New Roman" w:cs="Times New Roman"/>
              </w:rPr>
              <w:t xml:space="preserve">reafirmă rolul culturii ca un al patrulea pilon al dezvoltării durabile, alături de sectorul economiei, sectorul social </w:t>
            </w:r>
            <w:r w:rsidR="00106240" w:rsidRPr="008C5F1C">
              <w:rPr>
                <w:rFonts w:ascii="Times New Roman" w:hAnsi="Times New Roman" w:cs="Times New Roman"/>
              </w:rPr>
              <w:t>ș</w:t>
            </w:r>
            <w:r w:rsidR="00941A04" w:rsidRPr="008C5F1C">
              <w:rPr>
                <w:rFonts w:ascii="Times New Roman" w:hAnsi="Times New Roman" w:cs="Times New Roman"/>
              </w:rPr>
              <w:t xml:space="preserve">i cel de mediu. </w:t>
            </w:r>
            <w:r w:rsidR="005D67D9" w:rsidRPr="008C5F1C">
              <w:rPr>
                <w:rFonts w:ascii="Times New Roman" w:hAnsi="Times New Roman" w:cs="Times New Roman"/>
              </w:rPr>
              <w:t>Refacerea clădirilor monument istoric, din punct de vedere arhitectural și estetic poate contribui la creșterea atractivității turistice și a calității mediului urban. Infrastructura culturală contribuie, de asemenea, la creșterea calității vieții, a ofertei de servicii de culturale.</w:t>
            </w:r>
            <w:r w:rsidR="005D67D9" w:rsidRPr="008C5F1C">
              <w:rPr>
                <w:rFonts w:ascii="Times New Roman" w:hAnsi="Times New Roman" w:cs="Times New Roman"/>
              </w:rPr>
              <w:tab/>
            </w:r>
            <w:r w:rsidR="00037F74" w:rsidRPr="008C5F1C">
              <w:rPr>
                <w:rFonts w:ascii="Times New Roman" w:hAnsi="Times New Roman" w:cs="Times New Roman"/>
              </w:rPr>
              <w:t xml:space="preserve"> </w:t>
            </w:r>
          </w:p>
        </w:tc>
      </w:tr>
      <w:tr w:rsidR="00354534" w:rsidRPr="008C5F1C" w14:paraId="6D031C90" w14:textId="77777777" w:rsidTr="00F24910">
        <w:tc>
          <w:tcPr>
            <w:tcW w:w="811" w:type="pct"/>
            <w:vMerge/>
            <w:tcBorders>
              <w:left w:val="single" w:sz="4" w:space="0" w:color="auto"/>
              <w:bottom w:val="single" w:sz="4" w:space="0" w:color="auto"/>
              <w:right w:val="single" w:sz="4" w:space="0" w:color="auto"/>
            </w:tcBorders>
          </w:tcPr>
          <w:p w14:paraId="2445C0E6" w14:textId="77777777" w:rsidR="00354534" w:rsidRPr="008C5F1C" w:rsidRDefault="00354534" w:rsidP="00354534">
            <w:pPr>
              <w:spacing w:before="120" w:after="120"/>
              <w:rPr>
                <w:rFonts w:ascii="Times New Roman" w:eastAsia="Times New Roman" w:hAnsi="Times New Roman" w:cs="Times New Roman"/>
                <w:b/>
                <w:iCs/>
                <w:noProof/>
              </w:rPr>
            </w:pPr>
          </w:p>
        </w:tc>
        <w:tc>
          <w:tcPr>
            <w:tcW w:w="1197" w:type="pct"/>
            <w:tcBorders>
              <w:top w:val="single" w:sz="4" w:space="0" w:color="auto"/>
              <w:left w:val="single" w:sz="4" w:space="0" w:color="auto"/>
              <w:bottom w:val="single" w:sz="4" w:space="0" w:color="auto"/>
              <w:right w:val="single" w:sz="4" w:space="0" w:color="auto"/>
            </w:tcBorders>
          </w:tcPr>
          <w:p w14:paraId="2306064E" w14:textId="77777777" w:rsidR="00354534" w:rsidRPr="008C5F1C" w:rsidRDefault="00354534" w:rsidP="00354534">
            <w:pPr>
              <w:spacing w:before="120" w:after="120"/>
              <w:rPr>
                <w:rFonts w:ascii="Times New Roman" w:eastAsia="Times New Roman" w:hAnsi="Times New Roman" w:cs="Times New Roman"/>
                <w:i/>
                <w:iCs/>
                <w:noProof/>
              </w:rPr>
            </w:pPr>
            <w:r w:rsidRPr="008C5F1C">
              <w:rPr>
                <w:rFonts w:ascii="Times New Roman" w:hAnsi="Times New Roman" w:cs="Times New Roman"/>
                <w:b/>
                <w:bCs/>
              </w:rPr>
              <w:t>e (ii) Favorizarea dezvolt</w:t>
            </w:r>
            <w:r w:rsidR="00BA7827" w:rsidRPr="008C5F1C">
              <w:rPr>
                <w:rFonts w:ascii="Times New Roman" w:hAnsi="Times New Roman" w:cs="Times New Roman"/>
                <w:b/>
                <w:bCs/>
              </w:rPr>
              <w:t>ă</w:t>
            </w:r>
            <w:r w:rsidRPr="008C5F1C">
              <w:rPr>
                <w:rFonts w:ascii="Times New Roman" w:hAnsi="Times New Roman" w:cs="Times New Roman"/>
                <w:b/>
                <w:bCs/>
              </w:rPr>
              <w:t xml:space="preserve">rii integrate sociale, economice </w:t>
            </w:r>
            <w:r w:rsidR="00106240" w:rsidRPr="008C5F1C">
              <w:rPr>
                <w:rFonts w:ascii="Times New Roman" w:hAnsi="Times New Roman" w:cs="Times New Roman"/>
                <w:b/>
                <w:bCs/>
              </w:rPr>
              <w:t>ș</w:t>
            </w:r>
            <w:r w:rsidRPr="008C5F1C">
              <w:rPr>
                <w:rFonts w:ascii="Times New Roman" w:hAnsi="Times New Roman" w:cs="Times New Roman"/>
                <w:b/>
                <w:bCs/>
              </w:rPr>
              <w:t xml:space="preserve">i de mediu la nivel local </w:t>
            </w:r>
            <w:r w:rsidR="00106240" w:rsidRPr="008C5F1C">
              <w:rPr>
                <w:rFonts w:ascii="Times New Roman" w:hAnsi="Times New Roman" w:cs="Times New Roman"/>
                <w:b/>
                <w:bCs/>
              </w:rPr>
              <w:t>ș</w:t>
            </w:r>
            <w:r w:rsidRPr="008C5F1C">
              <w:rPr>
                <w:rFonts w:ascii="Times New Roman" w:hAnsi="Times New Roman" w:cs="Times New Roman"/>
                <w:b/>
                <w:bCs/>
              </w:rPr>
              <w:t xml:space="preserve">i a patrimoniului cultural, turismului </w:t>
            </w:r>
            <w:r w:rsidR="00106240" w:rsidRPr="008C5F1C">
              <w:rPr>
                <w:rFonts w:ascii="Times New Roman" w:hAnsi="Times New Roman" w:cs="Times New Roman"/>
                <w:b/>
                <w:bCs/>
              </w:rPr>
              <w:t>ș</w:t>
            </w:r>
            <w:r w:rsidRPr="008C5F1C">
              <w:rPr>
                <w:rFonts w:ascii="Times New Roman" w:hAnsi="Times New Roman" w:cs="Times New Roman"/>
                <w:b/>
                <w:bCs/>
              </w:rPr>
              <w:t>i securit</w:t>
            </w:r>
            <w:r w:rsidR="00BA7827" w:rsidRPr="008C5F1C">
              <w:rPr>
                <w:rFonts w:ascii="Times New Roman" w:hAnsi="Times New Roman" w:cs="Times New Roman"/>
                <w:b/>
                <w:bCs/>
              </w:rPr>
              <w:t>ă</w:t>
            </w:r>
            <w:r w:rsidR="00E22FF2" w:rsidRPr="008C5F1C">
              <w:rPr>
                <w:rFonts w:ascii="Times New Roman" w:hAnsi="Times New Roman" w:cs="Times New Roman"/>
                <w:b/>
                <w:bCs/>
              </w:rPr>
              <w:t>ț</w:t>
            </w:r>
            <w:r w:rsidRPr="008C5F1C">
              <w:rPr>
                <w:rFonts w:ascii="Times New Roman" w:hAnsi="Times New Roman" w:cs="Times New Roman"/>
                <w:b/>
                <w:bCs/>
              </w:rPr>
              <w:t>ii înafara zonelor urbane</w:t>
            </w:r>
          </w:p>
        </w:tc>
        <w:tc>
          <w:tcPr>
            <w:tcW w:w="2993" w:type="pct"/>
            <w:tcBorders>
              <w:top w:val="single" w:sz="4" w:space="0" w:color="auto"/>
              <w:left w:val="single" w:sz="4" w:space="0" w:color="auto"/>
              <w:bottom w:val="single" w:sz="4" w:space="0" w:color="auto"/>
              <w:right w:val="single" w:sz="4" w:space="0" w:color="auto"/>
            </w:tcBorders>
          </w:tcPr>
          <w:p w14:paraId="392CB481" w14:textId="5131EC98" w:rsidR="006017E4" w:rsidRPr="008C5F1C" w:rsidRDefault="005D67D9" w:rsidP="00742B97">
            <w:pPr>
              <w:spacing w:after="120" w:line="240" w:lineRule="auto"/>
              <w:contextualSpacing/>
              <w:jc w:val="both"/>
              <w:rPr>
                <w:rFonts w:ascii="Times New Roman" w:hAnsi="Times New Roman" w:cs="Times New Roman"/>
              </w:rPr>
            </w:pPr>
            <w:r w:rsidRPr="008C5F1C">
              <w:rPr>
                <w:rFonts w:ascii="Times New Roman" w:hAnsi="Times New Roman" w:cs="Times New Roman"/>
              </w:rPr>
              <w:t>În prezent, m</w:t>
            </w:r>
            <w:r w:rsidR="00F41BC7" w:rsidRPr="008C5F1C">
              <w:rPr>
                <w:rFonts w:ascii="Times New Roman" w:hAnsi="Times New Roman" w:cs="Times New Roman"/>
              </w:rPr>
              <w:t xml:space="preserve">ediul rural din regiune </w:t>
            </w:r>
            <w:r w:rsidRPr="008C5F1C">
              <w:rPr>
                <w:rFonts w:ascii="Times New Roman" w:hAnsi="Times New Roman" w:cs="Times New Roman"/>
              </w:rPr>
              <w:t>se plasează</w:t>
            </w:r>
            <w:r w:rsidR="00AE6312" w:rsidRPr="008C5F1C">
              <w:rPr>
                <w:rFonts w:ascii="Times New Roman" w:hAnsi="Times New Roman" w:cs="Times New Roman"/>
              </w:rPr>
              <w:t>,</w:t>
            </w:r>
            <w:r w:rsidR="00F41BC7" w:rsidRPr="008C5F1C">
              <w:rPr>
                <w:rFonts w:ascii="Times New Roman" w:hAnsi="Times New Roman" w:cs="Times New Roman"/>
              </w:rPr>
              <w:t xml:space="preserve"> </w:t>
            </w:r>
            <w:r w:rsidR="00AE6312" w:rsidRPr="008C5F1C">
              <w:rPr>
                <w:rFonts w:ascii="Times New Roman" w:hAnsi="Times New Roman" w:cs="Times New Roman"/>
              </w:rPr>
              <w:t xml:space="preserve">în mare măsură, </w:t>
            </w:r>
            <w:r w:rsidR="00F41BC7" w:rsidRPr="008C5F1C">
              <w:rPr>
                <w:rFonts w:ascii="Times New Roman" w:hAnsi="Times New Roman" w:cs="Times New Roman"/>
              </w:rPr>
              <w:t>în afara</w:t>
            </w:r>
            <w:r w:rsidR="00AE6312" w:rsidRPr="008C5F1C">
              <w:rPr>
                <w:rFonts w:ascii="Times New Roman" w:hAnsi="Times New Roman" w:cs="Times New Roman"/>
              </w:rPr>
              <w:t xml:space="preserve"> circuitelor economice, decalajele de dezvoltare fiind evidente.</w:t>
            </w:r>
            <w:r w:rsidR="003B06C3" w:rsidRPr="008C5F1C">
              <w:rPr>
                <w:rFonts w:ascii="Times New Roman" w:hAnsi="Times New Roman" w:cs="Times New Roman"/>
              </w:rPr>
              <w:t xml:space="preserve"> </w:t>
            </w:r>
            <w:r w:rsidR="006017E4" w:rsidRPr="008C5F1C">
              <w:rPr>
                <w:rFonts w:ascii="Times New Roman" w:hAnsi="Times New Roman" w:cs="Times New Roman"/>
              </w:rPr>
              <w:t xml:space="preserve">Pornind de la nevoile identificate, se are în vedere o abordare echitabilă a dezvoltării teritoriale, prin susținerea diversificării activității economice și a oportunităților în zonele rurale, în special prin susținerea turismului și valorificarea patrimoniului cultural și natural. </w:t>
            </w:r>
          </w:p>
          <w:p w14:paraId="15EE603A" w14:textId="77777777" w:rsidR="00A75948" w:rsidRDefault="003F73E4" w:rsidP="00742B97">
            <w:pPr>
              <w:spacing w:after="120" w:line="240" w:lineRule="auto"/>
              <w:contextualSpacing/>
              <w:jc w:val="both"/>
              <w:rPr>
                <w:rFonts w:ascii="Times New Roman" w:hAnsi="Times New Roman" w:cs="Times New Roman"/>
              </w:rPr>
            </w:pPr>
            <w:r w:rsidRPr="008C5F1C">
              <w:rPr>
                <w:rFonts w:ascii="Times New Roman" w:hAnsi="Times New Roman" w:cs="Times New Roman"/>
              </w:rPr>
              <w:t xml:space="preserve">Din cauza accesibilității și conectivității reduse, numeroase obiective cu potențial turistic din mediul rural nu sunt valorificate economic. </w:t>
            </w:r>
            <w:r w:rsidR="00037F74" w:rsidRPr="008C5F1C">
              <w:rPr>
                <w:rFonts w:ascii="Times New Roman" w:hAnsi="Times New Roman" w:cs="Times New Roman"/>
              </w:rPr>
              <w:t xml:space="preserve">Un număr însemnat de resurse turistice au potențial </w:t>
            </w:r>
            <w:r w:rsidR="00037F74" w:rsidRPr="008C5F1C">
              <w:rPr>
                <w:rFonts w:ascii="Times New Roman" w:hAnsi="Times New Roman" w:cs="Times New Roman"/>
              </w:rPr>
              <w:lastRenderedPageBreak/>
              <w:t>ridicat în a fi (mai bine) valorificate, însă rămân în umbră în lipsa unor amenajări minime care să permită vizitarea lor în condiții optime. În ciuda potențialului ridicat, activitatea turistică este concentrată în câteva centre, restul obiectivelor rămânând în mare măsură nevalorificate.</w:t>
            </w:r>
            <w:r w:rsidR="00A75948" w:rsidRPr="008C5F1C">
              <w:rPr>
                <w:rFonts w:ascii="Times New Roman" w:hAnsi="Times New Roman" w:cs="Times New Roman"/>
              </w:rPr>
              <w:t xml:space="preserve"> </w:t>
            </w:r>
          </w:p>
          <w:p w14:paraId="03158E5C" w14:textId="4479F665" w:rsidR="00CF6CF7" w:rsidRPr="008C5F1C" w:rsidRDefault="00A75948" w:rsidP="00742B97">
            <w:pPr>
              <w:spacing w:after="120" w:line="240" w:lineRule="auto"/>
              <w:contextualSpacing/>
              <w:jc w:val="both"/>
              <w:rPr>
                <w:rFonts w:ascii="Times New Roman" w:eastAsia="Times New Roman" w:hAnsi="Times New Roman" w:cs="Times New Roman"/>
                <w:b/>
                <w:bCs/>
                <w:iCs/>
                <w:noProof/>
              </w:rPr>
            </w:pPr>
            <w:r w:rsidRPr="008C5F1C">
              <w:rPr>
                <w:rFonts w:ascii="Times New Roman" w:hAnsi="Times New Roman" w:cs="Times New Roman"/>
              </w:rPr>
              <w:t>Totodată, expansiunea urbană necontrolată a afectat comunitățile rurale în jurul marilor orașe, din punct de vedere al serviciilor publice, costurilor și impactului asupra propriilor cetățeni</w:t>
            </w:r>
          </w:p>
        </w:tc>
      </w:tr>
    </w:tbl>
    <w:p w14:paraId="2B6BA28C" w14:textId="77777777" w:rsidR="00653571" w:rsidRPr="008C5F1C" w:rsidRDefault="00653571" w:rsidP="00653571">
      <w:pPr>
        <w:spacing w:before="120" w:after="120" w:line="360" w:lineRule="auto"/>
        <w:rPr>
          <w:rFonts w:ascii="Times New Roman" w:hAnsi="Times New Roman" w:cs="Times New Roman"/>
          <w:b/>
          <w:bCs/>
          <w:noProof/>
          <w:sz w:val="24"/>
        </w:rPr>
      </w:pPr>
      <w:r w:rsidRPr="008C5F1C">
        <w:rPr>
          <w:rFonts w:ascii="Times New Roman" w:eastAsia="Times New Roman" w:hAnsi="Times New Roman" w:cs="Times New Roman"/>
          <w:i/>
          <w:noProof/>
          <w:sz w:val="24"/>
          <w:szCs w:val="24"/>
        </w:rPr>
        <w:lastRenderedPageBreak/>
        <w:br w:type="page"/>
      </w:r>
    </w:p>
    <w:p w14:paraId="5B47A45B" w14:textId="77777777" w:rsidR="00653571" w:rsidRPr="008C5F1C" w:rsidRDefault="00653571" w:rsidP="00653571">
      <w:pPr>
        <w:pStyle w:val="Heading1"/>
        <w:numPr>
          <w:ilvl w:val="0"/>
          <w:numId w:val="0"/>
        </w:numPr>
        <w:rPr>
          <w:rFonts w:cs="Times New Roman"/>
          <w:noProof/>
          <w:lang w:val="ro-RO"/>
        </w:rPr>
      </w:pPr>
      <w:bookmarkStart w:id="3" w:name="_Toc39840925"/>
      <w:r w:rsidRPr="008C5F1C">
        <w:rPr>
          <w:rFonts w:cs="Times New Roman"/>
          <w:noProof/>
          <w:lang w:val="ro-RO"/>
        </w:rPr>
        <w:lastRenderedPageBreak/>
        <w:t>1bis.</w:t>
      </w:r>
      <w:r w:rsidRPr="008C5F1C">
        <w:rPr>
          <w:rFonts w:cs="Times New Roman"/>
          <w:noProof/>
          <w:lang w:val="ro-RO"/>
        </w:rPr>
        <w:tab/>
        <w:t>Coordination, demarcation, complementarities between the Funds, and complementarities between the Funds and other Union instruments and funds (where a Partnership Agreement is not prepared)</w:t>
      </w:r>
      <w:bookmarkEnd w:id="3"/>
    </w:p>
    <w:p w14:paraId="66792C8B" w14:textId="77777777" w:rsidR="00653571" w:rsidRPr="008C5F1C" w:rsidRDefault="00653571" w:rsidP="00653571">
      <w:pPr>
        <w:spacing w:before="120" w:after="120" w:line="360" w:lineRule="auto"/>
        <w:rPr>
          <w:rFonts w:ascii="Times New Roman" w:eastAsia="Times New Roman" w:hAnsi="Times New Roman" w:cs="Times New Roman"/>
          <w:bCs/>
          <w:i/>
          <w:iCs/>
          <w:noProof/>
          <w:sz w:val="20"/>
          <w:szCs w:val="20"/>
        </w:rPr>
      </w:pPr>
      <w:r w:rsidRPr="008C5F1C">
        <w:rPr>
          <w:rFonts w:ascii="Times New Roman" w:eastAsia="Times New Roman" w:hAnsi="Times New Roman" w:cs="Times New Roman"/>
          <w:bCs/>
          <w:i/>
          <w:iCs/>
          <w:noProof/>
          <w:sz w:val="20"/>
          <w:szCs w:val="20"/>
        </w:rPr>
        <w:t>Reference: Article 17(3) fifth subparagraph, CPR; Article 8(1)(b)(ii)-(iii), CPR</w:t>
      </w:r>
    </w:p>
    <w:p w14:paraId="4AB62A80" w14:textId="77777777" w:rsidR="00C51332" w:rsidRPr="008C5F1C" w:rsidRDefault="00C51332" w:rsidP="003D64F1">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Times New Roman" w:hAnsi="Times New Roman" w:cs="Times New Roman"/>
          <w:iCs/>
          <w:noProof/>
        </w:rPr>
      </w:pPr>
      <w:r w:rsidRPr="008C5F1C">
        <w:rPr>
          <w:rFonts w:ascii="Times New Roman" w:eastAsia="Times New Roman" w:hAnsi="Times New Roman" w:cs="Times New Roman"/>
          <w:iCs/>
          <w:noProof/>
        </w:rPr>
        <w:t>Intervențiile finanțate prin Programul Operațional Regional vor fi sincronizate cu cele realizate prin celelalte programe operaționale, precum și prin alte surse de finanțare naționale și europene.</w:t>
      </w:r>
    </w:p>
    <w:p w14:paraId="49894B8A" w14:textId="77777777" w:rsidR="00C51332" w:rsidRPr="008C5F1C" w:rsidRDefault="00C51332" w:rsidP="003D64F1">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Times New Roman" w:hAnsi="Times New Roman" w:cs="Times New Roman"/>
          <w:i/>
          <w:noProof/>
        </w:rPr>
      </w:pPr>
      <w:r w:rsidRPr="008C5F1C">
        <w:rPr>
          <w:rFonts w:ascii="Times New Roman" w:eastAsia="Times New Roman" w:hAnsi="Times New Roman" w:cs="Times New Roman"/>
          <w:i/>
          <w:noProof/>
        </w:rPr>
        <w:t xml:space="preserve">Obiectivul de Politică 1 </w:t>
      </w:r>
    </w:p>
    <w:p w14:paraId="3323BB36" w14:textId="387066BF" w:rsidR="00C51332" w:rsidRPr="008C5F1C" w:rsidRDefault="00C51332" w:rsidP="003D64F1">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Times New Roman" w:hAnsi="Times New Roman" w:cs="Times New Roman"/>
          <w:iCs/>
          <w:noProof/>
        </w:rPr>
      </w:pPr>
      <w:r w:rsidRPr="008C5F1C">
        <w:rPr>
          <w:rFonts w:ascii="Times New Roman" w:eastAsia="Times New Roman" w:hAnsi="Times New Roman" w:cs="Times New Roman"/>
          <w:iCs/>
          <w:noProof/>
        </w:rPr>
        <w:t xml:space="preserve">În domeniul dezvoltării capacităților de cercetare și inovare și adoptarea tehnologiilor avansate, intervențiile prevăzute prin POR NV sunt complementare celor realizate prin </w:t>
      </w:r>
      <w:r w:rsidRPr="008C5F1C">
        <w:rPr>
          <w:rFonts w:ascii="Times New Roman" w:eastAsia="Times New Roman" w:hAnsi="Times New Roman" w:cs="Times New Roman"/>
          <w:b/>
          <w:bCs/>
          <w:iCs/>
          <w:noProof/>
        </w:rPr>
        <w:t>Programul Operațional Creștere Inteligentă şi Digitalizare</w:t>
      </w:r>
      <w:r w:rsidR="00220DDD" w:rsidRPr="008C5F1C">
        <w:rPr>
          <w:rFonts w:ascii="Times New Roman" w:eastAsia="Times New Roman" w:hAnsi="Times New Roman" w:cs="Times New Roman"/>
          <w:b/>
          <w:bCs/>
          <w:iCs/>
          <w:noProof/>
        </w:rPr>
        <w:t xml:space="preserve"> si Istrumente Financiare</w:t>
      </w:r>
      <w:r w:rsidRPr="008C5F1C">
        <w:rPr>
          <w:rFonts w:ascii="Times New Roman" w:eastAsia="Times New Roman" w:hAnsi="Times New Roman" w:cs="Times New Roman"/>
          <w:b/>
          <w:bCs/>
          <w:iCs/>
          <w:noProof/>
        </w:rPr>
        <w:t xml:space="preserve"> (POCID</w:t>
      </w:r>
      <w:r w:rsidR="00220DDD" w:rsidRPr="008C5F1C">
        <w:rPr>
          <w:rFonts w:ascii="Times New Roman" w:eastAsia="Times New Roman" w:hAnsi="Times New Roman" w:cs="Times New Roman"/>
          <w:b/>
          <w:bCs/>
          <w:iCs/>
          <w:noProof/>
        </w:rPr>
        <w:t>IF</w:t>
      </w:r>
      <w:r w:rsidRPr="008C5F1C">
        <w:rPr>
          <w:rFonts w:ascii="Times New Roman" w:eastAsia="Times New Roman" w:hAnsi="Times New Roman" w:cs="Times New Roman"/>
          <w:b/>
          <w:bCs/>
          <w:iCs/>
          <w:noProof/>
        </w:rPr>
        <w:t>) 2021-2027</w:t>
      </w:r>
      <w:r w:rsidRPr="008C5F1C">
        <w:rPr>
          <w:rFonts w:ascii="Times New Roman" w:eastAsia="Times New Roman" w:hAnsi="Times New Roman" w:cs="Times New Roman"/>
          <w:iCs/>
          <w:noProof/>
        </w:rPr>
        <w:t>. Demarcația între cele două programe este asigurată, în primul rând, prin dimensiunea teritorială. Prin POCID</w:t>
      </w:r>
      <w:r w:rsidR="00220DDD" w:rsidRPr="008C5F1C">
        <w:rPr>
          <w:rFonts w:ascii="Times New Roman" w:eastAsia="Times New Roman" w:hAnsi="Times New Roman" w:cs="Times New Roman"/>
          <w:iCs/>
          <w:noProof/>
        </w:rPr>
        <w:t>IF</w:t>
      </w:r>
      <w:r w:rsidRPr="008C5F1C">
        <w:rPr>
          <w:rFonts w:ascii="Times New Roman" w:eastAsia="Times New Roman" w:hAnsi="Times New Roman" w:cs="Times New Roman"/>
          <w:iCs/>
          <w:noProof/>
        </w:rPr>
        <w:t xml:space="preserve"> vor fi finanțate proiecte de importanță națională și inter-regională, inclusiv asigurarea sinergiilor cu programele europene, sprijin pentru participarea la proiectele de cercetare internaționale, susținerea marilor infrastructuri CDI prioritizate prin Roadmap-ul infrastructurilor de cercetare din RO. De asemenea, POCID</w:t>
      </w:r>
      <w:r w:rsidR="00220DDD" w:rsidRPr="008C5F1C">
        <w:rPr>
          <w:rFonts w:ascii="Times New Roman" w:eastAsia="Times New Roman" w:hAnsi="Times New Roman" w:cs="Times New Roman"/>
          <w:iCs/>
          <w:noProof/>
        </w:rPr>
        <w:t>IF</w:t>
      </w:r>
      <w:r w:rsidRPr="008C5F1C">
        <w:rPr>
          <w:rFonts w:ascii="Times New Roman" w:eastAsia="Times New Roman" w:hAnsi="Times New Roman" w:cs="Times New Roman"/>
          <w:iCs/>
          <w:noProof/>
        </w:rPr>
        <w:t xml:space="preserve"> va finanța proiectele de parteneriate pentru transferul de cunoștințe (PTI și KTP) POR NV va asigura finanțare pentru inițiative cu relevanță la nivelul Regiunii de Dezvoltare Nord-Vest, în linie cu prioritățile de și potențialul de dezvoltare identificate la nivel regional, inclusiv activități de inovare în IMM-uri, inclusiv brevetare, investitii in infrastructurile  proprii de CDI ale organizațiilor de CDI/ întreprinderilor din regiune, proiecte CDI aferente specializării inteligente la nivel regional, proiecte de transfer tehnologic. De asemenea, POR NV va susține dezvoltarea unui ecosistem antreprenorial regional, precum și dezvoltarea serviciilor aferente infrastructurilor de sprijin a afacerilor (incubatoare, acceleratoare etc.).</w:t>
      </w:r>
    </w:p>
    <w:p w14:paraId="7CD1C46E" w14:textId="77777777" w:rsidR="00C51332" w:rsidRPr="008C5F1C" w:rsidRDefault="00C51332" w:rsidP="003D64F1">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Times New Roman" w:hAnsi="Times New Roman" w:cs="Times New Roman"/>
          <w:iCs/>
          <w:noProof/>
        </w:rPr>
      </w:pPr>
      <w:r w:rsidRPr="008C5F1C">
        <w:rPr>
          <w:rFonts w:ascii="Times New Roman" w:eastAsia="Times New Roman" w:hAnsi="Times New Roman" w:cs="Times New Roman"/>
          <w:iCs/>
          <w:noProof/>
        </w:rPr>
        <w:t xml:space="preserve">Intervențiile în domeniul susținerii cercetării și inovării sunt complementare și Programului </w:t>
      </w:r>
      <w:r w:rsidRPr="008C5F1C">
        <w:rPr>
          <w:rFonts w:ascii="Times New Roman" w:eastAsia="Times New Roman" w:hAnsi="Times New Roman" w:cs="Times New Roman"/>
          <w:b/>
          <w:bCs/>
          <w:iCs/>
          <w:noProof/>
        </w:rPr>
        <w:t>Orizont Europa</w:t>
      </w:r>
      <w:r w:rsidRPr="008C5F1C">
        <w:rPr>
          <w:rFonts w:ascii="Times New Roman" w:eastAsia="Times New Roman" w:hAnsi="Times New Roman" w:cs="Times New Roman"/>
          <w:iCs/>
          <w:noProof/>
        </w:rPr>
        <w:t xml:space="preserve"> pentru perioada 2021-2027, în ceea ce privește susținerea investițiilor în CDI pentru a crește capacitatea de răspuns la provocările societale globale, a susține competitivitatea industrială și a valorifica mai bine potențialul inovator existent la nivelul Regiunii de Dezvoltare Nord-Vest. Demarcația între cele două surse de finanțate constă, în principal, în dimensiunea teritorială și anvergura diferită a proiectelor: și  în timp ce Programul Orizont Europa finanțează proiecte transnaționale, fără a avea în mod necesar o obordare teritorială, POR NV 2021-2027 finanțează proiecte cu relevanță regională, cu un caracter profund aplicat. </w:t>
      </w:r>
    </w:p>
    <w:p w14:paraId="1669AA8C" w14:textId="1B30B554" w:rsidR="00C51332" w:rsidRPr="008C5F1C" w:rsidRDefault="00C51332" w:rsidP="003D64F1">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Times New Roman" w:hAnsi="Times New Roman" w:cs="Times New Roman"/>
          <w:iCs/>
          <w:noProof/>
        </w:rPr>
      </w:pPr>
      <w:r w:rsidRPr="008C5F1C">
        <w:rPr>
          <w:rFonts w:ascii="Times New Roman" w:eastAsia="Times New Roman" w:hAnsi="Times New Roman" w:cs="Times New Roman"/>
          <w:iCs/>
          <w:noProof/>
        </w:rPr>
        <w:t>Acțiunile care vizează fructificarea avantajelor digitalizării, în beneficiul cetățenilor, al companiilor și al guvernelor se vor realiza în complementaritate cu POCID</w:t>
      </w:r>
      <w:r w:rsidR="00220DDD" w:rsidRPr="008C5F1C">
        <w:rPr>
          <w:rFonts w:ascii="Times New Roman" w:eastAsia="Times New Roman" w:hAnsi="Times New Roman" w:cs="Times New Roman"/>
          <w:iCs/>
          <w:noProof/>
        </w:rPr>
        <w:t>IF</w:t>
      </w:r>
      <w:r w:rsidRPr="008C5F1C">
        <w:rPr>
          <w:rFonts w:ascii="Times New Roman" w:eastAsia="Times New Roman" w:hAnsi="Times New Roman" w:cs="Times New Roman"/>
          <w:iCs/>
          <w:noProof/>
        </w:rPr>
        <w:t>. Demarcația între cele două programe este asigurată prin tematica proiectelor avute în vedere. POCID</w:t>
      </w:r>
      <w:r w:rsidR="00220DDD" w:rsidRPr="008C5F1C">
        <w:rPr>
          <w:rFonts w:ascii="Times New Roman" w:eastAsia="Times New Roman" w:hAnsi="Times New Roman" w:cs="Times New Roman"/>
          <w:iCs/>
          <w:noProof/>
        </w:rPr>
        <w:t>IF</w:t>
      </w:r>
      <w:r w:rsidRPr="008C5F1C">
        <w:rPr>
          <w:rFonts w:ascii="Times New Roman" w:eastAsia="Times New Roman" w:hAnsi="Times New Roman" w:cs="Times New Roman"/>
          <w:iCs/>
          <w:noProof/>
        </w:rPr>
        <w:t xml:space="preserve"> prevede implementarea de proiecte pentru dezvoltarea serviciilor de e-guvernare (evenimente de viață), având ca beneficiari autorități și instituții de la nivel central, precum și susținerea digitalizării în administrația publică și competențe digitale avansate, în timp ce POR NV prevede intervenții pentru digitalizarea serviciilor publice la nivel județean și local.</w:t>
      </w:r>
    </w:p>
    <w:p w14:paraId="6EC076A0" w14:textId="77777777" w:rsidR="00C51332" w:rsidRPr="008C5F1C" w:rsidRDefault="00C51332" w:rsidP="003D64F1">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Times New Roman" w:hAnsi="Times New Roman" w:cs="Times New Roman"/>
          <w:iCs/>
          <w:noProof/>
        </w:rPr>
      </w:pPr>
      <w:r w:rsidRPr="008C5F1C">
        <w:rPr>
          <w:rFonts w:ascii="Times New Roman" w:eastAsia="Times New Roman" w:hAnsi="Times New Roman" w:cs="Times New Roman"/>
          <w:iCs/>
          <w:noProof/>
        </w:rPr>
        <w:t xml:space="preserve">În domeniul conectivității digitale, intervențiile sunt complementare </w:t>
      </w:r>
      <w:r w:rsidRPr="008C5F1C">
        <w:rPr>
          <w:rFonts w:ascii="Times New Roman" w:eastAsia="Times New Roman" w:hAnsi="Times New Roman" w:cs="Times New Roman"/>
          <w:b/>
          <w:bCs/>
          <w:iCs/>
          <w:noProof/>
        </w:rPr>
        <w:t xml:space="preserve">Programului pentru interconectarea Europei, </w:t>
      </w:r>
      <w:r w:rsidRPr="008C5F1C">
        <w:rPr>
          <w:rFonts w:ascii="Times New Roman" w:eastAsia="Times New Roman" w:hAnsi="Times New Roman" w:cs="Times New Roman"/>
          <w:iCs/>
          <w:noProof/>
        </w:rPr>
        <w:t>sfera de aplicare a acestuia fiind însă una de anvergură europeană, cu prioritate pentru  asigurarea unei arii mai mare de acoperire pentru gospodării, contribuie la piața unică digitală și la obiectivele de conectivitate ale UE.</w:t>
      </w:r>
    </w:p>
    <w:p w14:paraId="6893DA0C" w14:textId="2D9305D0" w:rsidR="00C51332" w:rsidRPr="008C5F1C" w:rsidRDefault="00C51332" w:rsidP="003D64F1">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Times New Roman" w:hAnsi="Times New Roman" w:cs="Times New Roman"/>
          <w:iCs/>
          <w:noProof/>
        </w:rPr>
      </w:pPr>
      <w:r w:rsidRPr="008C5F1C">
        <w:rPr>
          <w:rFonts w:ascii="Times New Roman" w:eastAsia="Times New Roman" w:hAnsi="Times New Roman" w:cs="Times New Roman"/>
          <w:iCs/>
          <w:noProof/>
        </w:rPr>
        <w:t>Investițiile care privesc impulsionarea creșterii și competitivității IMM-urilor se vor realiza exclusiv prin POR NV și vor avea în vedere: facilitarea investițiilor tehnologice, sprijin pentru internaționalizare, susținerea adoptării tehnologiilor IT&amp;C de către întreprinderi, sprijinirea clusterelor  în vederea integrării acestora în  lanțuri de valoare europene, susținerea implementării mecanismelor economiei circulare în cadrul întreprinderilor, sprijin pentru crearea de noi întreprinderi. POCID</w:t>
      </w:r>
      <w:r w:rsidR="00220DDD" w:rsidRPr="008C5F1C">
        <w:rPr>
          <w:rFonts w:ascii="Times New Roman" w:eastAsia="Times New Roman" w:hAnsi="Times New Roman" w:cs="Times New Roman"/>
          <w:iCs/>
          <w:noProof/>
        </w:rPr>
        <w:t>IF</w:t>
      </w:r>
      <w:r w:rsidRPr="008C5F1C">
        <w:rPr>
          <w:rFonts w:ascii="Times New Roman" w:eastAsia="Times New Roman" w:hAnsi="Times New Roman" w:cs="Times New Roman"/>
          <w:iCs/>
          <w:noProof/>
        </w:rPr>
        <w:t xml:space="preserve"> va asigura finanțare pentru dezvoltarea capacității administrative a actorilor implicați în elaborarea, implementarea,  monitorizarea, evaluarea și revizuirea strategiilor de specializare inteligentă și a Mecanismului de Descoperire Antreprenorială (MDA).</w:t>
      </w:r>
    </w:p>
    <w:p w14:paraId="37CF0710" w14:textId="1CCDA1B5" w:rsidR="00C51332" w:rsidRPr="008C5F1C" w:rsidRDefault="00C51332" w:rsidP="003D64F1">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Times New Roman" w:hAnsi="Times New Roman" w:cs="Times New Roman"/>
          <w:iCs/>
          <w:noProof/>
        </w:rPr>
      </w:pPr>
      <w:r w:rsidRPr="008C5F1C">
        <w:rPr>
          <w:rFonts w:ascii="Times New Roman" w:eastAsia="Times New Roman" w:hAnsi="Times New Roman" w:cs="Times New Roman"/>
          <w:iCs/>
          <w:noProof/>
        </w:rPr>
        <w:t>Ambele programe prevăd finanțarea prin instrumente financiare pentru întreprinderi inovative, linia de demarcație constând în tipurile de instrumente și de beneficiari.</w:t>
      </w:r>
    </w:p>
    <w:p w14:paraId="0BA4AE0F" w14:textId="3C2D7ADB" w:rsidR="00C51332" w:rsidRPr="008C5F1C" w:rsidRDefault="00C51332" w:rsidP="003D64F1">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Times New Roman" w:hAnsi="Times New Roman" w:cs="Times New Roman"/>
          <w:iCs/>
          <w:noProof/>
        </w:rPr>
      </w:pPr>
      <w:r w:rsidRPr="008C5F1C">
        <w:rPr>
          <w:rFonts w:ascii="Times New Roman" w:eastAsia="Times New Roman" w:hAnsi="Times New Roman" w:cs="Times New Roman"/>
          <w:iCs/>
          <w:noProof/>
        </w:rPr>
        <w:t>Intervențiile privind sprijinirea IMM sunt complementare și cu următoarele programe UE:</w:t>
      </w:r>
    </w:p>
    <w:p w14:paraId="47B61DB0" w14:textId="77777777" w:rsidR="00C51332" w:rsidRPr="008C5F1C" w:rsidRDefault="00C51332" w:rsidP="003D64F1">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Times New Roman" w:hAnsi="Times New Roman" w:cs="Times New Roman"/>
          <w:b/>
          <w:bCs/>
          <w:iCs/>
          <w:noProof/>
        </w:rPr>
      </w:pPr>
      <w:r w:rsidRPr="008C5F1C">
        <w:rPr>
          <w:rFonts w:ascii="Times New Roman" w:eastAsia="Times New Roman" w:hAnsi="Times New Roman" w:cs="Times New Roman"/>
          <w:b/>
          <w:bCs/>
          <w:iCs/>
          <w:noProof/>
        </w:rPr>
        <w:t xml:space="preserve">Competitivitatea Întreprinderilor Mici și Mijlocii  (COSME) </w:t>
      </w:r>
    </w:p>
    <w:p w14:paraId="309DB12B" w14:textId="77777777" w:rsidR="00C51332" w:rsidRPr="008C5F1C" w:rsidRDefault="00C51332" w:rsidP="003D64F1">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Times New Roman" w:hAnsi="Times New Roman" w:cs="Times New Roman"/>
          <w:b/>
          <w:bCs/>
          <w:iCs/>
          <w:noProof/>
        </w:rPr>
      </w:pPr>
      <w:r w:rsidRPr="008C5F1C">
        <w:rPr>
          <w:rFonts w:ascii="Times New Roman" w:eastAsia="Times New Roman" w:hAnsi="Times New Roman" w:cs="Times New Roman"/>
          <w:b/>
          <w:bCs/>
          <w:iCs/>
          <w:noProof/>
        </w:rPr>
        <w:lastRenderedPageBreak/>
        <w:t>Erasmus for Young Entrepreneurs (EASME)</w:t>
      </w:r>
    </w:p>
    <w:p w14:paraId="2CA29C5C" w14:textId="77777777" w:rsidR="00C51332" w:rsidRPr="008C5F1C" w:rsidRDefault="00C51332" w:rsidP="003D64F1">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Times New Roman" w:hAnsi="Times New Roman" w:cs="Times New Roman"/>
          <w:b/>
          <w:bCs/>
          <w:iCs/>
          <w:noProof/>
        </w:rPr>
      </w:pPr>
      <w:r w:rsidRPr="008C5F1C">
        <w:rPr>
          <w:rFonts w:ascii="Times New Roman" w:eastAsia="Times New Roman" w:hAnsi="Times New Roman" w:cs="Times New Roman"/>
          <w:b/>
          <w:bCs/>
          <w:iCs/>
          <w:noProof/>
        </w:rPr>
        <w:t>InvestEU</w:t>
      </w:r>
    </w:p>
    <w:p w14:paraId="755531D0" w14:textId="77777777" w:rsidR="00C51332" w:rsidRPr="008C5F1C" w:rsidRDefault="00C51332" w:rsidP="003D64F1">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Times New Roman" w:hAnsi="Times New Roman" w:cs="Times New Roman"/>
          <w:b/>
          <w:bCs/>
          <w:iCs/>
          <w:noProof/>
        </w:rPr>
      </w:pPr>
      <w:r w:rsidRPr="008C5F1C">
        <w:rPr>
          <w:rFonts w:ascii="Times New Roman" w:eastAsia="Times New Roman" w:hAnsi="Times New Roman" w:cs="Times New Roman"/>
          <w:b/>
          <w:bCs/>
          <w:iCs/>
          <w:noProof/>
        </w:rPr>
        <w:t>Digital Innovation and Scale-up Initiative</w:t>
      </w:r>
    </w:p>
    <w:p w14:paraId="1938B087" w14:textId="77777777" w:rsidR="00C51332" w:rsidRPr="008C5F1C" w:rsidRDefault="00C51332" w:rsidP="003D64F1">
      <w:pPr>
        <w:keepNext/>
        <w:pBdr>
          <w:top w:val="single" w:sz="4" w:space="1" w:color="auto"/>
          <w:left w:val="single" w:sz="4" w:space="4" w:color="auto"/>
          <w:bottom w:val="single" w:sz="4" w:space="0" w:color="auto"/>
          <w:right w:val="single" w:sz="4" w:space="4" w:color="auto"/>
        </w:pBdr>
        <w:spacing w:after="120" w:line="240" w:lineRule="auto"/>
        <w:jc w:val="both"/>
        <w:rPr>
          <w:rFonts w:ascii="Times New Roman" w:eastAsia="Times New Roman" w:hAnsi="Times New Roman" w:cs="Times New Roman"/>
          <w:i/>
          <w:noProof/>
        </w:rPr>
      </w:pPr>
      <w:r w:rsidRPr="008C5F1C">
        <w:rPr>
          <w:rFonts w:ascii="Times New Roman" w:eastAsia="Times New Roman" w:hAnsi="Times New Roman" w:cs="Times New Roman"/>
          <w:i/>
          <w:noProof/>
        </w:rPr>
        <w:t xml:space="preserve">Obiectivul de Politică 2 </w:t>
      </w:r>
    </w:p>
    <w:p w14:paraId="2ED8E018" w14:textId="77777777" w:rsidR="00C51332" w:rsidRPr="008C5F1C" w:rsidRDefault="00C51332" w:rsidP="003D64F1">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Times New Roman" w:hAnsi="Times New Roman" w:cs="Times New Roman"/>
          <w:iCs/>
          <w:noProof/>
        </w:rPr>
      </w:pPr>
      <w:r w:rsidRPr="008C5F1C">
        <w:rPr>
          <w:rFonts w:ascii="Times New Roman" w:eastAsia="Times New Roman" w:hAnsi="Times New Roman" w:cs="Times New Roman"/>
          <w:iCs/>
          <w:noProof/>
        </w:rPr>
        <w:t xml:space="preserve">În cadrul Obiectivului de Politică 2 ”O Europă mai verde, cu emisii scăzute de carbon”, intervențiile prevăzute sunt complementare cu cele realizate prin Programul Operational Dezvoltare Durabilă (PODD) 2021-2027. </w:t>
      </w:r>
    </w:p>
    <w:p w14:paraId="5119C346" w14:textId="77777777" w:rsidR="00C51332" w:rsidRPr="008C5F1C" w:rsidRDefault="00C51332" w:rsidP="003D64F1">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Times New Roman" w:hAnsi="Times New Roman" w:cs="Times New Roman"/>
          <w:iCs/>
          <w:noProof/>
        </w:rPr>
      </w:pPr>
      <w:r w:rsidRPr="008C5F1C">
        <w:rPr>
          <w:rFonts w:ascii="Times New Roman" w:eastAsia="Times New Roman" w:hAnsi="Times New Roman" w:cs="Times New Roman"/>
          <w:iCs/>
          <w:noProof/>
        </w:rPr>
        <w:t xml:space="preserve">În ceea ce privește promovarea eficienței energetice și reducerea emisiilor de gaze cu efect de seră, PODD finanțează proiecte demonstrative și de eficientă energetică în IMM-uri și în intreprinderile mari și măsuri de sprijin adiacente. POR NV susține măsuri de eficiență energetică a clădirilor rezidențiale și publice, având ca scop reabilitarea energetică profundă (deep renovation), inclusiv izolarea termică, reabilitarea și modernizarea sistemelor de încălzire și a rețelelor și instalațiilor, iluminat și sistemul de management energetic al clădirii, inclusiv clădiri publice de patrimoniu (măsuri de eficiență energetică tipice). </w:t>
      </w:r>
    </w:p>
    <w:p w14:paraId="64652400" w14:textId="77777777" w:rsidR="00C51332" w:rsidRPr="008C5F1C" w:rsidRDefault="00C51332" w:rsidP="003D64F1">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Times New Roman" w:hAnsi="Times New Roman" w:cs="Times New Roman"/>
          <w:iCs/>
          <w:noProof/>
        </w:rPr>
      </w:pPr>
      <w:r w:rsidRPr="008C5F1C">
        <w:rPr>
          <w:rFonts w:ascii="Times New Roman" w:eastAsia="Times New Roman" w:hAnsi="Times New Roman" w:cs="Times New Roman"/>
          <w:iCs/>
          <w:noProof/>
        </w:rPr>
        <w:t>Intervențiile privind îmbunătățirea protecției naturii și a biodiversității, a infrastructurii verzi în special în mediul urban și reducerea poluării sunt complementare celor din PODD. POR NV susține adoptarea unor soluții care să permită reducerea amprentei ecologice a componentei antropice, inclusiv reducerea impactului asupra ariilor protejate şi menținerea / refacerea conectivității coridoarelor ecologice; extinderea coridoarelor ecologice în mediul urban, îmbunătățirea condițiilor de habitat pentru speciile de faună sălbatică din mediul urban, regenerarea fizică a spațiului urban, conectarea la rețele inteligente, monitorizarea calității mediului urban etc. PODD finanțează investiții în rețeaua Natura 2000, îmbunătățirea calității aerului și decontaminarea si ecologizarea siturilor contaminate si potential contaminate, inclusiv refacerea ecosistemelor naturale si asigurarea calitatii fatorilor de mediu, în vederea protejării sănătății umane.</w:t>
      </w:r>
    </w:p>
    <w:p w14:paraId="17231075" w14:textId="77777777" w:rsidR="00C51332" w:rsidRPr="008C5F1C" w:rsidRDefault="00C51332" w:rsidP="003D64F1">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Times New Roman" w:hAnsi="Times New Roman" w:cs="Times New Roman"/>
          <w:iCs/>
          <w:noProof/>
        </w:rPr>
      </w:pPr>
      <w:r w:rsidRPr="008C5F1C">
        <w:rPr>
          <w:rFonts w:ascii="Times New Roman" w:eastAsia="Times New Roman" w:hAnsi="Times New Roman" w:cs="Times New Roman"/>
          <w:iCs/>
          <w:noProof/>
        </w:rPr>
        <w:t>Intervențiile privind promovarea mobilității urbane sunt complementare Programul Operațional Transport (POT) 2021-2027), care finanțează investiții în dezvoltarea trenurilor metropolitane.</w:t>
      </w:r>
    </w:p>
    <w:p w14:paraId="373B2708" w14:textId="77777777" w:rsidR="00C51332" w:rsidRPr="008C5F1C" w:rsidRDefault="00C51332" w:rsidP="003D64F1">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Times New Roman" w:hAnsi="Times New Roman" w:cs="Times New Roman"/>
          <w:b/>
          <w:bCs/>
          <w:iCs/>
          <w:noProof/>
        </w:rPr>
      </w:pPr>
      <w:r w:rsidRPr="008C5F1C">
        <w:rPr>
          <w:rFonts w:ascii="Times New Roman" w:eastAsia="Times New Roman" w:hAnsi="Times New Roman" w:cs="Times New Roman"/>
          <w:iCs/>
          <w:noProof/>
        </w:rPr>
        <w:t xml:space="preserve">În domeniul transportului și protecției mediului, intervențiile sunt complementare  </w:t>
      </w:r>
      <w:r w:rsidRPr="008C5F1C">
        <w:rPr>
          <w:rFonts w:ascii="Times New Roman" w:eastAsia="Times New Roman" w:hAnsi="Times New Roman" w:cs="Times New Roman"/>
          <w:b/>
          <w:bCs/>
          <w:iCs/>
          <w:noProof/>
        </w:rPr>
        <w:t>Programului pentru interconectarea Europei</w:t>
      </w:r>
    </w:p>
    <w:p w14:paraId="73551F2A" w14:textId="77777777" w:rsidR="00C51332" w:rsidRPr="008C5F1C" w:rsidRDefault="00C51332" w:rsidP="003D64F1">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Times New Roman" w:hAnsi="Times New Roman" w:cs="Times New Roman"/>
          <w:b/>
          <w:bCs/>
          <w:iCs/>
          <w:noProof/>
        </w:rPr>
      </w:pPr>
      <w:r w:rsidRPr="008C5F1C">
        <w:rPr>
          <w:rFonts w:ascii="Times New Roman" w:eastAsia="Times New Roman" w:hAnsi="Times New Roman" w:cs="Times New Roman"/>
          <w:iCs/>
          <w:noProof/>
        </w:rPr>
        <w:t xml:space="preserve">Alte programe: </w:t>
      </w:r>
      <w:r w:rsidRPr="008C5F1C">
        <w:rPr>
          <w:rFonts w:ascii="Times New Roman" w:eastAsia="Times New Roman" w:hAnsi="Times New Roman" w:cs="Times New Roman"/>
          <w:b/>
          <w:bCs/>
          <w:iCs/>
          <w:noProof/>
        </w:rPr>
        <w:t>Digital Europe Programme</w:t>
      </w:r>
    </w:p>
    <w:p w14:paraId="562EA8DA" w14:textId="77777777" w:rsidR="00C51332" w:rsidRPr="008C5F1C" w:rsidRDefault="00C51332" w:rsidP="003D64F1">
      <w:pPr>
        <w:keepNext/>
        <w:pBdr>
          <w:top w:val="single" w:sz="4" w:space="1" w:color="auto"/>
          <w:left w:val="single" w:sz="4" w:space="4" w:color="auto"/>
          <w:bottom w:val="single" w:sz="4" w:space="0" w:color="auto"/>
          <w:right w:val="single" w:sz="4" w:space="4" w:color="auto"/>
        </w:pBdr>
        <w:spacing w:after="120" w:line="240" w:lineRule="auto"/>
        <w:jc w:val="both"/>
        <w:rPr>
          <w:rFonts w:ascii="Times New Roman" w:eastAsia="Times New Roman" w:hAnsi="Times New Roman" w:cs="Times New Roman"/>
          <w:i/>
          <w:noProof/>
        </w:rPr>
      </w:pPr>
      <w:r w:rsidRPr="008C5F1C">
        <w:rPr>
          <w:rFonts w:ascii="Times New Roman" w:eastAsia="Times New Roman" w:hAnsi="Times New Roman" w:cs="Times New Roman"/>
          <w:i/>
          <w:noProof/>
        </w:rPr>
        <w:t xml:space="preserve">Obiectivul de Politică 3 </w:t>
      </w:r>
    </w:p>
    <w:p w14:paraId="57108790" w14:textId="77777777" w:rsidR="00C51332" w:rsidRPr="008C5F1C" w:rsidRDefault="00C51332" w:rsidP="003D64F1">
      <w:pPr>
        <w:keepNext/>
        <w:pBdr>
          <w:top w:val="single" w:sz="4" w:space="1" w:color="auto"/>
          <w:left w:val="single" w:sz="4" w:space="4" w:color="auto"/>
          <w:bottom w:val="single" w:sz="4" w:space="0" w:color="auto"/>
          <w:right w:val="single" w:sz="4" w:space="4" w:color="auto"/>
        </w:pBdr>
        <w:spacing w:after="120" w:line="240" w:lineRule="auto"/>
        <w:jc w:val="both"/>
        <w:rPr>
          <w:rFonts w:ascii="Times New Roman" w:eastAsia="Times New Roman" w:hAnsi="Times New Roman" w:cs="Times New Roman"/>
          <w:iCs/>
          <w:noProof/>
        </w:rPr>
      </w:pPr>
      <w:r w:rsidRPr="008C5F1C">
        <w:rPr>
          <w:rFonts w:ascii="Times New Roman" w:eastAsia="Times New Roman" w:hAnsi="Times New Roman" w:cs="Times New Roman"/>
          <w:iCs/>
          <w:noProof/>
        </w:rPr>
        <w:t xml:space="preserve">În cadrul Obiectivului de Politică 3. „O Europă mai conectată prin dezvoltarea mobilității și a conectivității TIC regionale” intervențiile prevăzute sunt complementare cu cele realizate prin POT. Linia de demarcație dintre acestea este trasată prin anvergura proiectelor finanțate. Astfel, POT finanțează intervenții cu relevanță la nivel național, care vizează dezvoltarea rețelei TEN-T de transport rutier și feroviar, dezvoltarea infrastructurii rutiere pentru accesibilitate teritorială, îmbunătățirea mobilității naționale și urbane prin creșterea calității serviciilor de transport pe calea ferată, dezvoltarea unui sistem de transport multimodal, dezvoltarea căilor navigabile și a porturilor, precum și îmbunătățirea gradului de siguranță și securitate pe rețeaua rutieră de transport. </w:t>
      </w:r>
    </w:p>
    <w:p w14:paraId="302D8D62" w14:textId="77777777" w:rsidR="00C51332" w:rsidRPr="008C5F1C" w:rsidRDefault="00C51332" w:rsidP="003D64F1">
      <w:pPr>
        <w:keepNext/>
        <w:pBdr>
          <w:top w:val="single" w:sz="4" w:space="1" w:color="auto"/>
          <w:left w:val="single" w:sz="4" w:space="4" w:color="auto"/>
          <w:bottom w:val="single" w:sz="4" w:space="0" w:color="auto"/>
          <w:right w:val="single" w:sz="4" w:space="4" w:color="auto"/>
        </w:pBdr>
        <w:spacing w:after="120" w:line="240" w:lineRule="auto"/>
        <w:jc w:val="both"/>
        <w:rPr>
          <w:rFonts w:ascii="Times New Roman" w:eastAsia="Times New Roman" w:hAnsi="Times New Roman" w:cs="Times New Roman"/>
          <w:iCs/>
          <w:noProof/>
        </w:rPr>
      </w:pPr>
      <w:r w:rsidRPr="008C5F1C">
        <w:rPr>
          <w:rFonts w:ascii="Times New Roman" w:eastAsia="Times New Roman" w:hAnsi="Times New Roman" w:cs="Times New Roman"/>
          <w:iCs/>
          <w:noProof/>
        </w:rPr>
        <w:t>POR NV finanțează intervenții pentru dezvoltarea de legături rutiere secundare reabilitate si nou construite către rețeaua rutieră și nodurile TEN-T  (drumuri județene, descărcări autostrada, conectivitatea la rețeaua de baza – CORE TEN-T), precum și solutii pentru decongestionarea / fluidizarea traficului (pasaje, extinderi la 4 benzi, masuri de siguranta) având ca beneficiari UAT municipii resedinta de judet, Consilii Judetene sau parteneriate între acestea.</w:t>
      </w:r>
    </w:p>
    <w:p w14:paraId="5E95BBEC" w14:textId="77777777" w:rsidR="00C51332" w:rsidRPr="008C5F1C" w:rsidRDefault="00C51332" w:rsidP="003D64F1">
      <w:pPr>
        <w:keepNext/>
        <w:pBdr>
          <w:top w:val="single" w:sz="4" w:space="1" w:color="auto"/>
          <w:left w:val="single" w:sz="4" w:space="4" w:color="auto"/>
          <w:bottom w:val="single" w:sz="4" w:space="0" w:color="auto"/>
          <w:right w:val="single" w:sz="4" w:space="4" w:color="auto"/>
        </w:pBdr>
        <w:spacing w:after="120" w:line="240" w:lineRule="auto"/>
        <w:jc w:val="both"/>
        <w:rPr>
          <w:rFonts w:ascii="Times New Roman" w:eastAsia="Times New Roman" w:hAnsi="Times New Roman" w:cs="Times New Roman"/>
          <w:i/>
          <w:noProof/>
        </w:rPr>
      </w:pPr>
      <w:r w:rsidRPr="008C5F1C">
        <w:rPr>
          <w:rFonts w:ascii="Times New Roman" w:eastAsia="Times New Roman" w:hAnsi="Times New Roman" w:cs="Times New Roman"/>
          <w:i/>
          <w:noProof/>
        </w:rPr>
        <w:t>Obiectivul de Politică 4</w:t>
      </w:r>
    </w:p>
    <w:p w14:paraId="315725FA" w14:textId="1797BE36" w:rsidR="00C51332" w:rsidRPr="008C5F1C" w:rsidRDefault="00C51332" w:rsidP="003D64F1">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Times New Roman" w:hAnsi="Times New Roman" w:cs="Times New Roman"/>
          <w:iCs/>
          <w:noProof/>
        </w:rPr>
      </w:pPr>
      <w:r w:rsidRPr="008C5F1C">
        <w:rPr>
          <w:rFonts w:ascii="Times New Roman" w:eastAsia="Times New Roman" w:hAnsi="Times New Roman" w:cs="Times New Roman"/>
          <w:iCs/>
          <w:noProof/>
        </w:rPr>
        <w:t xml:space="preserve">În cadrul Obiectivului de Politică 4 „O Europă mai socială prin implementarea Pilonului european al drepturilor sociale”, intervențiile privind îmbunătățirea accesului la servicii de calitate și favorabile incluziunii în educație, formare și învățarea pe tot parcursul vieții prin dezvoltarea infrastructurii sunt complementare celor realizate prin Programul Operațional </w:t>
      </w:r>
      <w:r w:rsidR="00220DDD" w:rsidRPr="008C5F1C">
        <w:rPr>
          <w:rFonts w:ascii="Times New Roman" w:eastAsia="Times New Roman" w:hAnsi="Times New Roman" w:cs="Times New Roman"/>
          <w:iCs/>
          <w:noProof/>
        </w:rPr>
        <w:t>Educatie si Ocupare</w:t>
      </w:r>
      <w:r w:rsidRPr="008C5F1C">
        <w:rPr>
          <w:rFonts w:ascii="Times New Roman" w:eastAsia="Times New Roman" w:hAnsi="Times New Roman" w:cs="Times New Roman"/>
          <w:iCs/>
          <w:noProof/>
        </w:rPr>
        <w:t>(PO</w:t>
      </w:r>
      <w:r w:rsidR="00220DDD" w:rsidRPr="008C5F1C">
        <w:rPr>
          <w:rFonts w:ascii="Times New Roman" w:eastAsia="Times New Roman" w:hAnsi="Times New Roman" w:cs="Times New Roman"/>
          <w:iCs/>
          <w:noProof/>
        </w:rPr>
        <w:t>EO</w:t>
      </w:r>
      <w:r w:rsidRPr="008C5F1C">
        <w:rPr>
          <w:rFonts w:ascii="Times New Roman" w:eastAsia="Times New Roman" w:hAnsi="Times New Roman" w:cs="Times New Roman"/>
          <w:iCs/>
          <w:noProof/>
        </w:rPr>
        <w:t>) 2021-2027. POR NV finanțează dezvoltarea infrastructurii educaționale la nivelul educației timpurii și învățământului obligatoriu (învățământ ante-preșcolar, preșcolar, primar, secundar), dezvoltarea infrastructurii educaționale în domeniul învățământului profesional și tehnic și în învățământul terțiar. PO</w:t>
      </w:r>
      <w:r w:rsidR="00220DDD" w:rsidRPr="008C5F1C">
        <w:rPr>
          <w:rFonts w:ascii="Times New Roman" w:eastAsia="Times New Roman" w:hAnsi="Times New Roman" w:cs="Times New Roman"/>
          <w:iCs/>
          <w:noProof/>
        </w:rPr>
        <w:t>EO</w:t>
      </w:r>
      <w:r w:rsidRPr="008C5F1C">
        <w:rPr>
          <w:rFonts w:ascii="Times New Roman" w:eastAsia="Times New Roman" w:hAnsi="Times New Roman" w:cs="Times New Roman"/>
          <w:iCs/>
          <w:noProof/>
        </w:rPr>
        <w:t xml:space="preserve"> finanțează intervenții complementare vizând prevenirea părăsirii timpurii a școlii și creșterea accesului și a participării grupurilor dezavantajate la </w:t>
      </w:r>
      <w:r w:rsidRPr="008C5F1C">
        <w:rPr>
          <w:rFonts w:ascii="Times New Roman" w:eastAsia="Times New Roman" w:hAnsi="Times New Roman" w:cs="Times New Roman"/>
          <w:iCs/>
          <w:noProof/>
        </w:rPr>
        <w:lastRenderedPageBreak/>
        <w:t>educație și formare profesională, creșterea calității și asigurarea echității în sistemul de educație și formare profesională, adaptarea ofertei de educație și formare profesională la dinamica pieței muncii și la provocările inovării și progresului tehnologic, creșterea accesibilității, atractivității și calității învățământului profesional și tehnic.</w:t>
      </w:r>
    </w:p>
    <w:p w14:paraId="7758A81B" w14:textId="77777777" w:rsidR="00C51332" w:rsidRPr="008C5F1C" w:rsidRDefault="00C51332" w:rsidP="003D64F1">
      <w:pPr>
        <w:keepNext/>
        <w:pBdr>
          <w:top w:val="single" w:sz="4" w:space="1" w:color="auto"/>
          <w:left w:val="single" w:sz="4" w:space="4" w:color="auto"/>
          <w:bottom w:val="single" w:sz="4" w:space="0" w:color="auto"/>
          <w:right w:val="single" w:sz="4" w:space="4" w:color="auto"/>
        </w:pBdr>
        <w:spacing w:after="120" w:line="240" w:lineRule="auto"/>
        <w:jc w:val="both"/>
        <w:rPr>
          <w:rFonts w:ascii="Times New Roman" w:eastAsia="Times New Roman" w:hAnsi="Times New Roman" w:cs="Times New Roman"/>
          <w:i/>
          <w:noProof/>
        </w:rPr>
      </w:pPr>
      <w:r w:rsidRPr="008C5F1C">
        <w:rPr>
          <w:rFonts w:ascii="Times New Roman" w:eastAsia="Times New Roman" w:hAnsi="Times New Roman" w:cs="Times New Roman"/>
          <w:i/>
          <w:noProof/>
        </w:rPr>
        <w:t>Obiectivul de Politică 5</w:t>
      </w:r>
    </w:p>
    <w:p w14:paraId="1F360E2B" w14:textId="10151B67" w:rsidR="00C51332" w:rsidRPr="008C5F1C" w:rsidRDefault="00C51332" w:rsidP="003D64F1">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Times New Roman" w:hAnsi="Times New Roman" w:cs="Times New Roman"/>
          <w:iCs/>
          <w:noProof/>
        </w:rPr>
      </w:pPr>
      <w:r w:rsidRPr="008C5F1C">
        <w:rPr>
          <w:rFonts w:ascii="Times New Roman" w:eastAsia="Times New Roman" w:hAnsi="Times New Roman" w:cs="Times New Roman"/>
          <w:iCs/>
          <w:noProof/>
        </w:rPr>
        <w:t xml:space="preserve">În cadrul Obiectivului de Politică 5 „O Europă mai aproape de cetățeni prin promovarea dezvoltării durabile și integrate a zonelor urbane, rurale și de coastă și a inițiativelor locale”, intervențiile privind favorizarea dezvoltării integrate sociale, economice și de mediu la nivel local și a patrimoniului cultural, turismului și securității în zonele urbane și în afara zonelor urbane sunt complementare celor finanțate prin Programul Operațional pentru </w:t>
      </w:r>
      <w:r w:rsidR="00220DDD" w:rsidRPr="008C5F1C">
        <w:rPr>
          <w:rFonts w:ascii="Times New Roman" w:eastAsia="Times New Roman" w:hAnsi="Times New Roman" w:cs="Times New Roman"/>
          <w:iCs/>
          <w:noProof/>
        </w:rPr>
        <w:t>Incluziune si Demnitate Sociala</w:t>
      </w:r>
      <w:r w:rsidRPr="008C5F1C">
        <w:rPr>
          <w:rFonts w:ascii="Times New Roman" w:eastAsia="Times New Roman" w:hAnsi="Times New Roman" w:cs="Times New Roman"/>
          <w:iCs/>
          <w:noProof/>
        </w:rPr>
        <w:t xml:space="preserve"> (PO</w:t>
      </w:r>
      <w:r w:rsidR="00220DDD" w:rsidRPr="008C5F1C">
        <w:rPr>
          <w:rFonts w:ascii="Times New Roman" w:eastAsia="Times New Roman" w:hAnsi="Times New Roman" w:cs="Times New Roman"/>
          <w:iCs/>
          <w:noProof/>
        </w:rPr>
        <w:t>IDS</w:t>
      </w:r>
      <w:r w:rsidRPr="008C5F1C">
        <w:rPr>
          <w:rFonts w:ascii="Times New Roman" w:eastAsia="Times New Roman" w:hAnsi="Times New Roman" w:cs="Times New Roman"/>
          <w:iCs/>
          <w:noProof/>
        </w:rPr>
        <w:t>) 2021-2027. Acesta finanțează intervenții integrate la nivel local, prin mecanismul strategiilor de dezvoltare locală plasate sub responsabilitatea comunităţii (DLRC), inclusiv dezvoltarea de servicii sociale, educationale, de sanatate, de ocupare, favorizarea incluziunii sociale a grupurilor dezavantajate, dezvoltarea infrastructurii sociala sau sportive, educationala, de agrement sau turistice.</w:t>
      </w:r>
    </w:p>
    <w:p w14:paraId="77CA52EC" w14:textId="77777777" w:rsidR="00C51332" w:rsidRPr="008C5F1C" w:rsidRDefault="00C51332" w:rsidP="003D64F1">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Times New Roman" w:hAnsi="Times New Roman" w:cs="Times New Roman"/>
          <w:iCs/>
          <w:noProof/>
        </w:rPr>
      </w:pPr>
      <w:r w:rsidRPr="008C5F1C">
        <w:rPr>
          <w:rFonts w:ascii="Times New Roman" w:eastAsia="Times New Roman" w:hAnsi="Times New Roman" w:cs="Times New Roman"/>
          <w:iCs/>
          <w:noProof/>
        </w:rPr>
        <w:t>POR NV urmărește finanțarea de investiții pentru conservarea, protecția și valorificarea durabilă a patrimoniului cultural și natural și dezvoltarea serviciilor culturale,  îmbunătățirea  infrastructurii de turism, în special turism balnear, balneo-climateric si de agrement, dar și nișe turistice inovative, îmbunătățirea accesului către resursele și obiectivele turistice (ca activitate complementară celorlalte), dezvoltarea taberelor școlare / centre multidisciplinare de tineret.</w:t>
      </w:r>
    </w:p>
    <w:p w14:paraId="415CF1BC" w14:textId="7A6CB041" w:rsidR="00C51332" w:rsidRPr="008C5F1C" w:rsidRDefault="00C51332" w:rsidP="003D64F1">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Times New Roman" w:hAnsi="Times New Roman" w:cs="Times New Roman"/>
          <w:b/>
          <w:bCs/>
          <w:iCs/>
          <w:noProof/>
        </w:rPr>
      </w:pPr>
      <w:r w:rsidRPr="008C5F1C">
        <w:rPr>
          <w:rFonts w:ascii="Times New Roman" w:eastAsia="Times New Roman" w:hAnsi="Times New Roman" w:cs="Times New Roman"/>
          <w:iCs/>
          <w:noProof/>
        </w:rPr>
        <w:t xml:space="preserve">Intervențiile POR NV sunt complementare cu cele realizate prin </w:t>
      </w:r>
      <w:r w:rsidRPr="008C5F1C">
        <w:rPr>
          <w:rFonts w:ascii="Times New Roman" w:eastAsia="Times New Roman" w:hAnsi="Times New Roman" w:cs="Times New Roman"/>
          <w:b/>
          <w:bCs/>
          <w:iCs/>
          <w:noProof/>
        </w:rPr>
        <w:t>Programul Operațional de Cooperare Transfrontalieră România-Ungaria 2021-2027 și Programul Operațional de Cooperare Transfrontalieră România-Ucraina 2021-2027</w:t>
      </w:r>
      <w:r w:rsidR="00220DDD" w:rsidRPr="008C5F1C">
        <w:rPr>
          <w:rFonts w:ascii="Times New Roman" w:eastAsia="Times New Roman" w:hAnsi="Times New Roman" w:cs="Times New Roman"/>
          <w:b/>
          <w:bCs/>
          <w:iCs/>
          <w:noProof/>
        </w:rPr>
        <w:t>.</w:t>
      </w:r>
    </w:p>
    <w:p w14:paraId="25B28B92" w14:textId="77777777" w:rsidR="00C51332" w:rsidRPr="008C5F1C" w:rsidRDefault="00C51332" w:rsidP="00C51332">
      <w:pPr>
        <w:rPr>
          <w:rFonts w:ascii="Times New Roman" w:hAnsi="Times New Roman" w:cs="Times New Roman"/>
        </w:rPr>
      </w:pPr>
    </w:p>
    <w:p w14:paraId="51AEC981" w14:textId="77777777" w:rsidR="00474817" w:rsidRPr="008C5F1C" w:rsidRDefault="00474817">
      <w:pPr>
        <w:spacing w:after="160" w:line="259" w:lineRule="auto"/>
        <w:rPr>
          <w:rFonts w:ascii="Times New Roman" w:eastAsia="Times New Roman" w:hAnsi="Times New Roman" w:cs="Times New Roman"/>
          <w:i/>
          <w:noProof/>
          <w:sz w:val="24"/>
          <w:szCs w:val="24"/>
        </w:rPr>
      </w:pPr>
      <w:r w:rsidRPr="008C5F1C">
        <w:rPr>
          <w:rFonts w:ascii="Times New Roman" w:eastAsia="Times New Roman" w:hAnsi="Times New Roman" w:cs="Times New Roman"/>
          <w:i/>
          <w:noProof/>
          <w:sz w:val="24"/>
          <w:szCs w:val="24"/>
        </w:rPr>
        <w:br w:type="page"/>
      </w:r>
    </w:p>
    <w:p w14:paraId="3A76BC2F" w14:textId="3DBEB7E7" w:rsidR="006456BC" w:rsidRDefault="006456BC" w:rsidP="00653571">
      <w:pPr>
        <w:spacing w:before="240" w:after="240" w:line="360" w:lineRule="auto"/>
        <w:rPr>
          <w:rFonts w:ascii="Times New Roman" w:eastAsia="Times New Roman" w:hAnsi="Times New Roman" w:cs="Times New Roman"/>
          <w:i/>
          <w:noProof/>
          <w:sz w:val="24"/>
          <w:szCs w:val="24"/>
        </w:rPr>
      </w:pPr>
      <w:r w:rsidRPr="00F000AD">
        <w:rPr>
          <w:rFonts w:ascii="Times New Roman" w:hAnsi="Times New Roman" w:cs="Times New Roman"/>
          <w:b/>
          <w:bCs/>
          <w:noProof/>
          <w:sz w:val="24"/>
          <w:lang w:val="en-GB"/>
        </w:rPr>
        <w:lastRenderedPageBreak/>
        <w:t>2.</w:t>
      </w:r>
      <w:r w:rsidRPr="00F000AD">
        <w:rPr>
          <w:rFonts w:ascii="Times New Roman" w:hAnsi="Times New Roman" w:cs="Times New Roman"/>
          <w:b/>
          <w:bCs/>
          <w:noProof/>
          <w:sz w:val="24"/>
          <w:lang w:val="en-GB"/>
        </w:rPr>
        <w:tab/>
        <w:t>Priorities</w:t>
      </w:r>
    </w:p>
    <w:p w14:paraId="3975411D" w14:textId="3523D387" w:rsidR="00653571" w:rsidRPr="008C5F1C" w:rsidRDefault="00653571" w:rsidP="00653571">
      <w:pPr>
        <w:spacing w:before="240" w:after="240" w:line="360" w:lineRule="auto"/>
        <w:rPr>
          <w:rFonts w:ascii="Times New Roman" w:eastAsia="Times New Roman" w:hAnsi="Times New Roman" w:cs="Times New Roman"/>
          <w:i/>
          <w:noProof/>
          <w:sz w:val="24"/>
          <w:szCs w:val="24"/>
        </w:rPr>
      </w:pPr>
      <w:r w:rsidRPr="008C5F1C">
        <w:rPr>
          <w:rFonts w:ascii="Times New Roman" w:eastAsia="Times New Roman" w:hAnsi="Times New Roman" w:cs="Times New Roman"/>
          <w:i/>
          <w:noProof/>
          <w:sz w:val="24"/>
          <w:szCs w:val="24"/>
        </w:rPr>
        <w:t>Reference: Article 17(2) and 17(3)(c) CPR</w:t>
      </w:r>
    </w:p>
    <w:tbl>
      <w:tblPr>
        <w:tblW w:w="952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
        <w:gridCol w:w="1302"/>
        <w:gridCol w:w="528"/>
        <w:gridCol w:w="1094"/>
        <w:gridCol w:w="900"/>
        <w:gridCol w:w="1350"/>
        <w:gridCol w:w="3924"/>
      </w:tblGrid>
      <w:tr w:rsidR="00653571" w:rsidRPr="008C5F1C" w14:paraId="42E8D670" w14:textId="77777777" w:rsidTr="00534127">
        <w:trPr>
          <w:trHeight w:val="600"/>
        </w:trPr>
        <w:tc>
          <w:tcPr>
            <w:tcW w:w="428" w:type="dxa"/>
            <w:shd w:val="clear" w:color="auto" w:fill="auto"/>
            <w:hideMark/>
          </w:tcPr>
          <w:p w14:paraId="624FDAE9" w14:textId="77777777" w:rsidR="00653571" w:rsidRPr="008C5F1C" w:rsidRDefault="00653571" w:rsidP="00534127">
            <w:pPr>
              <w:spacing w:after="0"/>
              <w:jc w:val="center"/>
              <w:rPr>
                <w:rFonts w:ascii="Times New Roman" w:hAnsi="Times New Roman" w:cs="Times New Roman"/>
                <w:noProof/>
                <w:sz w:val="20"/>
                <w:szCs w:val="20"/>
              </w:rPr>
            </w:pPr>
            <w:bookmarkStart w:id="4" w:name="_Hlk39312691"/>
            <w:r w:rsidRPr="008C5F1C">
              <w:rPr>
                <w:rFonts w:ascii="Times New Roman" w:hAnsi="Times New Roman" w:cs="Times New Roman"/>
                <w:noProof/>
                <w:sz w:val="20"/>
                <w:szCs w:val="20"/>
              </w:rPr>
              <w:t>ID</w:t>
            </w:r>
          </w:p>
        </w:tc>
        <w:tc>
          <w:tcPr>
            <w:tcW w:w="1302" w:type="dxa"/>
            <w:shd w:val="clear" w:color="auto" w:fill="auto"/>
            <w:hideMark/>
          </w:tcPr>
          <w:p w14:paraId="2C8E13A2" w14:textId="77777777" w:rsidR="00653571" w:rsidRPr="008C5F1C" w:rsidRDefault="00653571" w:rsidP="00534127">
            <w:pPr>
              <w:spacing w:after="0"/>
              <w:jc w:val="center"/>
              <w:rPr>
                <w:rFonts w:ascii="Times New Roman" w:hAnsi="Times New Roman" w:cs="Times New Roman"/>
                <w:noProof/>
                <w:sz w:val="20"/>
                <w:szCs w:val="20"/>
              </w:rPr>
            </w:pPr>
            <w:r w:rsidRPr="008C5F1C">
              <w:rPr>
                <w:rFonts w:ascii="Times New Roman" w:hAnsi="Times New Roman" w:cs="Times New Roman"/>
                <w:noProof/>
                <w:sz w:val="20"/>
                <w:szCs w:val="20"/>
              </w:rPr>
              <w:t>Title [300]</w:t>
            </w:r>
          </w:p>
        </w:tc>
        <w:tc>
          <w:tcPr>
            <w:tcW w:w="528" w:type="dxa"/>
            <w:shd w:val="clear" w:color="auto" w:fill="auto"/>
            <w:hideMark/>
          </w:tcPr>
          <w:p w14:paraId="6193F269" w14:textId="77777777" w:rsidR="00653571" w:rsidRPr="008C5F1C" w:rsidRDefault="00653571" w:rsidP="00534127">
            <w:pPr>
              <w:spacing w:after="0"/>
              <w:jc w:val="center"/>
              <w:rPr>
                <w:rFonts w:ascii="Times New Roman" w:hAnsi="Times New Roman" w:cs="Times New Roman"/>
                <w:noProof/>
                <w:sz w:val="20"/>
                <w:szCs w:val="20"/>
              </w:rPr>
            </w:pPr>
            <w:r w:rsidRPr="008C5F1C">
              <w:rPr>
                <w:rFonts w:ascii="Times New Roman" w:hAnsi="Times New Roman" w:cs="Times New Roman"/>
                <w:noProof/>
                <w:sz w:val="20"/>
                <w:szCs w:val="20"/>
              </w:rPr>
              <w:t>TA</w:t>
            </w:r>
          </w:p>
        </w:tc>
        <w:tc>
          <w:tcPr>
            <w:tcW w:w="1094" w:type="dxa"/>
            <w:shd w:val="clear" w:color="auto" w:fill="auto"/>
          </w:tcPr>
          <w:p w14:paraId="03C787B5" w14:textId="77777777" w:rsidR="00653571" w:rsidRPr="008C5F1C" w:rsidRDefault="00653571" w:rsidP="00534127">
            <w:pPr>
              <w:spacing w:after="0"/>
              <w:jc w:val="center"/>
              <w:rPr>
                <w:rFonts w:ascii="Times New Roman" w:hAnsi="Times New Roman" w:cs="Times New Roman"/>
                <w:noProof/>
                <w:sz w:val="20"/>
                <w:szCs w:val="20"/>
              </w:rPr>
            </w:pPr>
            <w:r w:rsidRPr="008C5F1C">
              <w:rPr>
                <w:rFonts w:ascii="Times New Roman" w:hAnsi="Times New Roman" w:cs="Times New Roman"/>
                <w:noProof/>
                <w:sz w:val="20"/>
                <w:szCs w:val="20"/>
              </w:rPr>
              <w:t>Basis for calculation</w:t>
            </w:r>
          </w:p>
        </w:tc>
        <w:tc>
          <w:tcPr>
            <w:tcW w:w="900" w:type="dxa"/>
            <w:shd w:val="clear" w:color="auto" w:fill="auto"/>
            <w:hideMark/>
          </w:tcPr>
          <w:p w14:paraId="18ADCAE7" w14:textId="77777777" w:rsidR="00653571" w:rsidRPr="008C5F1C" w:rsidRDefault="00653571" w:rsidP="00534127">
            <w:pPr>
              <w:spacing w:after="0"/>
              <w:jc w:val="center"/>
              <w:rPr>
                <w:rFonts w:ascii="Times New Roman" w:hAnsi="Times New Roman" w:cs="Times New Roman"/>
                <w:noProof/>
                <w:sz w:val="20"/>
                <w:szCs w:val="20"/>
              </w:rPr>
            </w:pPr>
            <w:r w:rsidRPr="008C5F1C">
              <w:rPr>
                <w:rFonts w:ascii="Times New Roman" w:hAnsi="Times New Roman" w:cs="Times New Roman"/>
                <w:noProof/>
                <w:sz w:val="20"/>
                <w:szCs w:val="20"/>
              </w:rPr>
              <w:t>Fund</w:t>
            </w:r>
          </w:p>
        </w:tc>
        <w:tc>
          <w:tcPr>
            <w:tcW w:w="1350" w:type="dxa"/>
            <w:shd w:val="clear" w:color="auto" w:fill="auto"/>
            <w:hideMark/>
          </w:tcPr>
          <w:p w14:paraId="5E4DB078" w14:textId="77777777" w:rsidR="00653571" w:rsidRPr="008C5F1C" w:rsidRDefault="00653571" w:rsidP="00534127">
            <w:pPr>
              <w:spacing w:after="0"/>
              <w:jc w:val="center"/>
              <w:rPr>
                <w:rFonts w:ascii="Times New Roman" w:hAnsi="Times New Roman" w:cs="Times New Roman"/>
                <w:noProof/>
                <w:sz w:val="20"/>
                <w:szCs w:val="20"/>
              </w:rPr>
            </w:pPr>
            <w:r w:rsidRPr="008C5F1C">
              <w:rPr>
                <w:rFonts w:ascii="Times New Roman" w:hAnsi="Times New Roman" w:cs="Times New Roman"/>
                <w:noProof/>
                <w:sz w:val="20"/>
                <w:szCs w:val="20"/>
              </w:rPr>
              <w:t>Category of region supported</w:t>
            </w:r>
          </w:p>
        </w:tc>
        <w:tc>
          <w:tcPr>
            <w:tcW w:w="3924" w:type="dxa"/>
          </w:tcPr>
          <w:p w14:paraId="6577E068" w14:textId="77777777" w:rsidR="00653571" w:rsidRPr="008C5F1C" w:rsidRDefault="00653571" w:rsidP="00534127">
            <w:pPr>
              <w:spacing w:after="0"/>
              <w:jc w:val="center"/>
              <w:rPr>
                <w:rFonts w:ascii="Times New Roman" w:hAnsi="Times New Roman" w:cs="Times New Roman"/>
                <w:noProof/>
                <w:sz w:val="20"/>
                <w:szCs w:val="20"/>
              </w:rPr>
            </w:pPr>
            <w:r w:rsidRPr="008C5F1C">
              <w:rPr>
                <w:rFonts w:ascii="Times New Roman" w:hAnsi="Times New Roman" w:cs="Times New Roman"/>
                <w:noProof/>
                <w:sz w:val="20"/>
                <w:szCs w:val="20"/>
              </w:rPr>
              <w:t>Specific Objective selected</w:t>
            </w:r>
            <w:r w:rsidRPr="008C5F1C">
              <w:rPr>
                <w:rStyle w:val="FootnoteReference"/>
                <w:rFonts w:ascii="Times New Roman" w:hAnsi="Times New Roman" w:cs="Times New Roman"/>
                <w:noProof/>
                <w:sz w:val="20"/>
                <w:szCs w:val="20"/>
              </w:rPr>
              <w:footnoteReference w:id="31"/>
            </w:r>
          </w:p>
        </w:tc>
      </w:tr>
      <w:tr w:rsidR="00577A7C" w:rsidRPr="008C5F1C" w14:paraId="6D1DE5AC" w14:textId="77777777" w:rsidTr="0076387B">
        <w:trPr>
          <w:trHeight w:val="584"/>
        </w:trPr>
        <w:tc>
          <w:tcPr>
            <w:tcW w:w="428" w:type="dxa"/>
            <w:vMerge w:val="restart"/>
            <w:shd w:val="clear" w:color="auto" w:fill="auto"/>
            <w:noWrap/>
            <w:hideMark/>
          </w:tcPr>
          <w:p w14:paraId="79776CA9" w14:textId="77777777" w:rsidR="00577A7C" w:rsidRPr="008C5F1C" w:rsidRDefault="00577A7C" w:rsidP="00534127">
            <w:pPr>
              <w:spacing w:after="0"/>
              <w:jc w:val="center"/>
              <w:rPr>
                <w:rFonts w:ascii="Times New Roman" w:hAnsi="Times New Roman" w:cs="Times New Roman"/>
                <w:noProof/>
                <w:sz w:val="20"/>
                <w:szCs w:val="20"/>
              </w:rPr>
            </w:pPr>
            <w:r w:rsidRPr="008C5F1C">
              <w:rPr>
                <w:rFonts w:ascii="Times New Roman" w:hAnsi="Times New Roman" w:cs="Times New Roman"/>
                <w:noProof/>
                <w:sz w:val="20"/>
                <w:szCs w:val="20"/>
              </w:rPr>
              <w:t>1</w:t>
            </w:r>
          </w:p>
        </w:tc>
        <w:tc>
          <w:tcPr>
            <w:tcW w:w="1302" w:type="dxa"/>
            <w:vMerge w:val="restart"/>
            <w:shd w:val="clear" w:color="auto" w:fill="auto"/>
            <w:noWrap/>
            <w:hideMark/>
          </w:tcPr>
          <w:p w14:paraId="759097C3" w14:textId="77777777" w:rsidR="00577A7C" w:rsidRPr="008C5F1C" w:rsidRDefault="00577A7C" w:rsidP="00534127">
            <w:pPr>
              <w:spacing w:after="0"/>
              <w:rPr>
                <w:rFonts w:ascii="Times New Roman" w:hAnsi="Times New Roman" w:cs="Times New Roman"/>
                <w:noProof/>
                <w:sz w:val="20"/>
                <w:szCs w:val="20"/>
              </w:rPr>
            </w:pPr>
            <w:r w:rsidRPr="008C5F1C">
              <w:rPr>
                <w:rFonts w:ascii="Times New Roman" w:hAnsi="Times New Roman" w:cs="Times New Roman"/>
                <w:noProof/>
                <w:sz w:val="20"/>
                <w:szCs w:val="20"/>
              </w:rPr>
              <w:t>O regiune competitiv</w:t>
            </w:r>
            <w:r w:rsidR="00BA7827" w:rsidRPr="008C5F1C">
              <w:rPr>
                <w:rFonts w:ascii="Times New Roman" w:hAnsi="Times New Roman" w:cs="Times New Roman"/>
                <w:noProof/>
                <w:sz w:val="20"/>
                <w:szCs w:val="20"/>
              </w:rPr>
              <w:t>ă</w:t>
            </w:r>
            <w:r w:rsidRPr="008C5F1C">
              <w:rPr>
                <w:rFonts w:ascii="Times New Roman" w:hAnsi="Times New Roman" w:cs="Times New Roman"/>
                <w:noProof/>
                <w:sz w:val="20"/>
                <w:szCs w:val="20"/>
              </w:rPr>
              <w:t xml:space="preserve"> prin inovare, digitalizare </w:t>
            </w:r>
            <w:r w:rsidR="00106240" w:rsidRPr="008C5F1C">
              <w:rPr>
                <w:rFonts w:ascii="Times New Roman" w:hAnsi="Times New Roman" w:cs="Times New Roman"/>
                <w:noProof/>
                <w:sz w:val="20"/>
                <w:szCs w:val="20"/>
              </w:rPr>
              <w:t>ș</w:t>
            </w:r>
            <w:r w:rsidRPr="008C5F1C">
              <w:rPr>
                <w:rFonts w:ascii="Times New Roman" w:hAnsi="Times New Roman" w:cs="Times New Roman"/>
                <w:noProof/>
                <w:sz w:val="20"/>
                <w:szCs w:val="20"/>
              </w:rPr>
              <w:t>i întreprinderi dinamice</w:t>
            </w:r>
          </w:p>
        </w:tc>
        <w:tc>
          <w:tcPr>
            <w:tcW w:w="528" w:type="dxa"/>
            <w:vMerge w:val="restart"/>
            <w:shd w:val="clear" w:color="auto" w:fill="auto"/>
            <w:noWrap/>
            <w:hideMark/>
          </w:tcPr>
          <w:p w14:paraId="471B0428" w14:textId="77777777" w:rsidR="00577A7C" w:rsidRPr="008C5F1C" w:rsidRDefault="00577A7C" w:rsidP="00534127">
            <w:pPr>
              <w:spacing w:after="0"/>
              <w:jc w:val="center"/>
              <w:rPr>
                <w:rFonts w:ascii="Times New Roman" w:hAnsi="Times New Roman" w:cs="Times New Roman"/>
                <w:noProof/>
                <w:sz w:val="20"/>
                <w:szCs w:val="20"/>
              </w:rPr>
            </w:pPr>
            <w:r w:rsidRPr="008C5F1C">
              <w:rPr>
                <w:rFonts w:ascii="Times New Roman" w:hAnsi="Times New Roman" w:cs="Times New Roman"/>
                <w:noProof/>
                <w:sz w:val="20"/>
                <w:szCs w:val="20"/>
              </w:rPr>
              <w:t>No</w:t>
            </w:r>
          </w:p>
        </w:tc>
        <w:tc>
          <w:tcPr>
            <w:tcW w:w="1094" w:type="dxa"/>
            <w:vMerge w:val="restart"/>
            <w:shd w:val="clear" w:color="auto" w:fill="auto"/>
            <w:noWrap/>
          </w:tcPr>
          <w:p w14:paraId="727B5728" w14:textId="77777777" w:rsidR="00577A7C" w:rsidRPr="008C5F1C" w:rsidRDefault="00577A7C" w:rsidP="00534127">
            <w:pPr>
              <w:spacing w:after="0"/>
              <w:jc w:val="center"/>
              <w:rPr>
                <w:rFonts w:ascii="Times New Roman" w:hAnsi="Times New Roman" w:cs="Times New Roman"/>
                <w:noProof/>
                <w:sz w:val="20"/>
                <w:szCs w:val="20"/>
              </w:rPr>
            </w:pPr>
          </w:p>
        </w:tc>
        <w:tc>
          <w:tcPr>
            <w:tcW w:w="900" w:type="dxa"/>
            <w:vMerge w:val="restart"/>
            <w:shd w:val="clear" w:color="auto" w:fill="auto"/>
            <w:noWrap/>
            <w:hideMark/>
          </w:tcPr>
          <w:p w14:paraId="00CB9791" w14:textId="77777777" w:rsidR="00577A7C" w:rsidRPr="008C5F1C" w:rsidRDefault="00577A7C" w:rsidP="00534127">
            <w:pPr>
              <w:spacing w:after="0"/>
              <w:jc w:val="center"/>
              <w:rPr>
                <w:rFonts w:ascii="Times New Roman" w:hAnsi="Times New Roman" w:cs="Times New Roman"/>
                <w:noProof/>
                <w:sz w:val="20"/>
                <w:szCs w:val="20"/>
              </w:rPr>
            </w:pPr>
            <w:r w:rsidRPr="008C5F1C">
              <w:rPr>
                <w:rFonts w:ascii="Times New Roman" w:hAnsi="Times New Roman" w:cs="Times New Roman"/>
                <w:noProof/>
                <w:sz w:val="20"/>
                <w:szCs w:val="20"/>
              </w:rPr>
              <w:t>ERDF</w:t>
            </w:r>
          </w:p>
        </w:tc>
        <w:tc>
          <w:tcPr>
            <w:tcW w:w="1350" w:type="dxa"/>
            <w:vMerge w:val="restart"/>
            <w:shd w:val="clear" w:color="auto" w:fill="auto"/>
            <w:noWrap/>
          </w:tcPr>
          <w:p w14:paraId="1D8236DF" w14:textId="77777777" w:rsidR="00577A7C" w:rsidRPr="008C5F1C" w:rsidRDefault="00577A7C" w:rsidP="00534127">
            <w:pPr>
              <w:spacing w:after="0"/>
              <w:jc w:val="center"/>
              <w:rPr>
                <w:rFonts w:ascii="Times New Roman" w:hAnsi="Times New Roman" w:cs="Times New Roman"/>
                <w:noProof/>
                <w:sz w:val="20"/>
                <w:szCs w:val="20"/>
              </w:rPr>
            </w:pPr>
            <w:r w:rsidRPr="008C5F1C">
              <w:rPr>
                <w:rFonts w:ascii="Times New Roman" w:hAnsi="Times New Roman" w:cs="Times New Roman"/>
                <w:noProof/>
                <w:sz w:val="20"/>
                <w:szCs w:val="20"/>
              </w:rPr>
              <w:t>Less developed</w:t>
            </w:r>
          </w:p>
        </w:tc>
        <w:tc>
          <w:tcPr>
            <w:tcW w:w="3924" w:type="dxa"/>
          </w:tcPr>
          <w:p w14:paraId="277FCE66" w14:textId="77777777" w:rsidR="00577A7C" w:rsidRPr="008C5F1C" w:rsidRDefault="00577A7C">
            <w:pPr>
              <w:spacing w:after="0"/>
              <w:rPr>
                <w:rFonts w:ascii="Times New Roman" w:hAnsi="Times New Roman" w:cs="Times New Roman"/>
                <w:noProof/>
                <w:sz w:val="20"/>
                <w:szCs w:val="20"/>
              </w:rPr>
            </w:pPr>
            <w:r w:rsidRPr="008C5F1C">
              <w:rPr>
                <w:rFonts w:ascii="Times New Roman" w:hAnsi="Times New Roman" w:cs="Times New Roman"/>
                <w:noProof/>
                <w:sz w:val="20"/>
                <w:szCs w:val="20"/>
              </w:rPr>
              <w:t>a (i) Dezvoltarea capacit</w:t>
            </w:r>
            <w:r w:rsidR="00BA7827" w:rsidRPr="008C5F1C">
              <w:rPr>
                <w:rFonts w:ascii="Times New Roman" w:hAnsi="Times New Roman" w:cs="Times New Roman"/>
                <w:noProof/>
                <w:sz w:val="20"/>
                <w:szCs w:val="20"/>
              </w:rPr>
              <w:t>ă</w:t>
            </w:r>
            <w:r w:rsidR="00E22FF2" w:rsidRPr="008C5F1C">
              <w:rPr>
                <w:rFonts w:ascii="Times New Roman" w:hAnsi="Times New Roman" w:cs="Times New Roman"/>
                <w:noProof/>
                <w:sz w:val="20"/>
                <w:szCs w:val="20"/>
              </w:rPr>
              <w:t>ț</w:t>
            </w:r>
            <w:r w:rsidRPr="008C5F1C">
              <w:rPr>
                <w:rFonts w:ascii="Times New Roman" w:hAnsi="Times New Roman" w:cs="Times New Roman"/>
                <w:noProof/>
                <w:sz w:val="20"/>
                <w:szCs w:val="20"/>
              </w:rPr>
              <w:t xml:space="preserve">ilor de cercetare </w:t>
            </w:r>
            <w:r w:rsidR="00106240" w:rsidRPr="008C5F1C">
              <w:rPr>
                <w:rFonts w:ascii="Times New Roman" w:hAnsi="Times New Roman" w:cs="Times New Roman"/>
                <w:noProof/>
                <w:sz w:val="20"/>
                <w:szCs w:val="20"/>
              </w:rPr>
              <w:t>ș</w:t>
            </w:r>
            <w:r w:rsidRPr="008C5F1C">
              <w:rPr>
                <w:rFonts w:ascii="Times New Roman" w:hAnsi="Times New Roman" w:cs="Times New Roman"/>
                <w:noProof/>
                <w:sz w:val="20"/>
                <w:szCs w:val="20"/>
              </w:rPr>
              <w:t xml:space="preserve">i inovare </w:t>
            </w:r>
            <w:r w:rsidR="00106240" w:rsidRPr="008C5F1C">
              <w:rPr>
                <w:rFonts w:ascii="Times New Roman" w:hAnsi="Times New Roman" w:cs="Times New Roman"/>
                <w:noProof/>
                <w:sz w:val="20"/>
                <w:szCs w:val="20"/>
              </w:rPr>
              <w:t>ș</w:t>
            </w:r>
            <w:r w:rsidRPr="008C5F1C">
              <w:rPr>
                <w:rFonts w:ascii="Times New Roman" w:hAnsi="Times New Roman" w:cs="Times New Roman"/>
                <w:noProof/>
                <w:sz w:val="20"/>
                <w:szCs w:val="20"/>
              </w:rPr>
              <w:t>i adoptarea tehnologiilor avansate</w:t>
            </w:r>
          </w:p>
        </w:tc>
      </w:tr>
      <w:tr w:rsidR="00653571" w:rsidRPr="008C5F1C" w14:paraId="4233B4E7" w14:textId="77777777" w:rsidTr="00534127">
        <w:trPr>
          <w:trHeight w:val="323"/>
        </w:trPr>
        <w:tc>
          <w:tcPr>
            <w:tcW w:w="428" w:type="dxa"/>
            <w:vMerge/>
          </w:tcPr>
          <w:p w14:paraId="2F00EC09" w14:textId="77777777" w:rsidR="00653571" w:rsidRPr="008C5F1C" w:rsidRDefault="00653571" w:rsidP="00534127">
            <w:pPr>
              <w:spacing w:after="0"/>
              <w:jc w:val="center"/>
              <w:rPr>
                <w:rFonts w:ascii="Times New Roman" w:hAnsi="Times New Roman" w:cs="Times New Roman"/>
                <w:noProof/>
                <w:sz w:val="20"/>
                <w:szCs w:val="20"/>
              </w:rPr>
            </w:pPr>
          </w:p>
        </w:tc>
        <w:tc>
          <w:tcPr>
            <w:tcW w:w="1302" w:type="dxa"/>
            <w:vMerge/>
          </w:tcPr>
          <w:p w14:paraId="516BF0C2" w14:textId="77777777" w:rsidR="00653571" w:rsidRPr="008C5F1C" w:rsidRDefault="00653571" w:rsidP="00534127">
            <w:pPr>
              <w:spacing w:after="0"/>
              <w:jc w:val="center"/>
              <w:rPr>
                <w:rFonts w:ascii="Times New Roman" w:hAnsi="Times New Roman" w:cs="Times New Roman"/>
                <w:noProof/>
                <w:sz w:val="20"/>
                <w:szCs w:val="20"/>
              </w:rPr>
            </w:pPr>
          </w:p>
        </w:tc>
        <w:tc>
          <w:tcPr>
            <w:tcW w:w="528" w:type="dxa"/>
            <w:vMerge/>
          </w:tcPr>
          <w:p w14:paraId="35001400" w14:textId="77777777" w:rsidR="00653571" w:rsidRPr="008C5F1C" w:rsidRDefault="00653571" w:rsidP="00534127">
            <w:pPr>
              <w:spacing w:after="0"/>
              <w:jc w:val="center"/>
              <w:rPr>
                <w:rFonts w:ascii="Times New Roman" w:hAnsi="Times New Roman" w:cs="Times New Roman"/>
                <w:noProof/>
                <w:sz w:val="20"/>
                <w:szCs w:val="20"/>
              </w:rPr>
            </w:pPr>
          </w:p>
        </w:tc>
        <w:tc>
          <w:tcPr>
            <w:tcW w:w="1094" w:type="dxa"/>
            <w:vMerge/>
            <w:shd w:val="clear" w:color="auto" w:fill="auto"/>
            <w:noWrap/>
          </w:tcPr>
          <w:p w14:paraId="5F0C0F74" w14:textId="77777777" w:rsidR="00653571" w:rsidRPr="008C5F1C" w:rsidRDefault="00653571" w:rsidP="00534127">
            <w:pPr>
              <w:spacing w:after="0"/>
              <w:jc w:val="center"/>
              <w:rPr>
                <w:rFonts w:ascii="Times New Roman" w:hAnsi="Times New Roman" w:cs="Times New Roman"/>
                <w:noProof/>
                <w:sz w:val="20"/>
                <w:szCs w:val="20"/>
              </w:rPr>
            </w:pPr>
          </w:p>
        </w:tc>
        <w:tc>
          <w:tcPr>
            <w:tcW w:w="900" w:type="dxa"/>
            <w:vMerge/>
            <w:shd w:val="clear" w:color="auto" w:fill="auto"/>
            <w:noWrap/>
          </w:tcPr>
          <w:p w14:paraId="6CB9AB9B" w14:textId="77777777" w:rsidR="00653571" w:rsidRPr="008C5F1C" w:rsidRDefault="00653571" w:rsidP="00534127">
            <w:pPr>
              <w:spacing w:after="0"/>
              <w:jc w:val="center"/>
              <w:rPr>
                <w:rFonts w:ascii="Times New Roman" w:hAnsi="Times New Roman" w:cs="Times New Roman"/>
                <w:noProof/>
                <w:sz w:val="20"/>
                <w:szCs w:val="20"/>
              </w:rPr>
            </w:pPr>
          </w:p>
        </w:tc>
        <w:tc>
          <w:tcPr>
            <w:tcW w:w="1350" w:type="dxa"/>
            <w:vMerge/>
            <w:shd w:val="clear" w:color="auto" w:fill="auto"/>
            <w:noWrap/>
          </w:tcPr>
          <w:p w14:paraId="29F94AAD" w14:textId="77777777" w:rsidR="00653571" w:rsidRPr="008C5F1C" w:rsidRDefault="00653571" w:rsidP="00534127">
            <w:pPr>
              <w:spacing w:after="0"/>
              <w:jc w:val="center"/>
              <w:rPr>
                <w:rFonts w:ascii="Times New Roman" w:hAnsi="Times New Roman" w:cs="Times New Roman"/>
                <w:noProof/>
                <w:sz w:val="20"/>
                <w:szCs w:val="20"/>
              </w:rPr>
            </w:pPr>
          </w:p>
        </w:tc>
        <w:tc>
          <w:tcPr>
            <w:tcW w:w="3924" w:type="dxa"/>
          </w:tcPr>
          <w:p w14:paraId="6EFB853F" w14:textId="6FB648BF" w:rsidR="00653571" w:rsidRPr="008C5F1C" w:rsidRDefault="00653571" w:rsidP="00534127">
            <w:pPr>
              <w:spacing w:after="0" w:line="240" w:lineRule="auto"/>
              <w:rPr>
                <w:rFonts w:ascii="Times New Roman" w:hAnsi="Times New Roman" w:cs="Times New Roman"/>
                <w:noProof/>
                <w:sz w:val="20"/>
                <w:szCs w:val="20"/>
              </w:rPr>
            </w:pPr>
            <w:r w:rsidRPr="008C5F1C">
              <w:rPr>
                <w:rFonts w:ascii="Times New Roman" w:hAnsi="Times New Roman" w:cs="Times New Roman"/>
                <w:noProof/>
                <w:sz w:val="20"/>
                <w:szCs w:val="20"/>
              </w:rPr>
              <w:t>a (iii) Impulsionarea cre</w:t>
            </w:r>
            <w:r w:rsidR="00106240" w:rsidRPr="008C5F1C">
              <w:rPr>
                <w:rFonts w:ascii="Times New Roman" w:hAnsi="Times New Roman" w:cs="Times New Roman"/>
                <w:noProof/>
                <w:sz w:val="20"/>
                <w:szCs w:val="20"/>
              </w:rPr>
              <w:t>ș</w:t>
            </w:r>
            <w:r w:rsidRPr="008C5F1C">
              <w:rPr>
                <w:rFonts w:ascii="Times New Roman" w:hAnsi="Times New Roman" w:cs="Times New Roman"/>
                <w:noProof/>
                <w:sz w:val="20"/>
                <w:szCs w:val="20"/>
              </w:rPr>
              <w:t xml:space="preserve">terii </w:t>
            </w:r>
            <w:r w:rsidR="00106240" w:rsidRPr="008C5F1C">
              <w:rPr>
                <w:rFonts w:ascii="Times New Roman" w:hAnsi="Times New Roman" w:cs="Times New Roman"/>
                <w:noProof/>
                <w:sz w:val="20"/>
                <w:szCs w:val="20"/>
              </w:rPr>
              <w:t>ș</w:t>
            </w:r>
            <w:r w:rsidRPr="008C5F1C">
              <w:rPr>
                <w:rFonts w:ascii="Times New Roman" w:hAnsi="Times New Roman" w:cs="Times New Roman"/>
                <w:noProof/>
                <w:sz w:val="20"/>
                <w:szCs w:val="20"/>
              </w:rPr>
              <w:t>i competitivit</w:t>
            </w:r>
            <w:r w:rsidR="00BA7827" w:rsidRPr="008C5F1C">
              <w:rPr>
                <w:rFonts w:ascii="Times New Roman" w:hAnsi="Times New Roman" w:cs="Times New Roman"/>
                <w:noProof/>
                <w:sz w:val="20"/>
                <w:szCs w:val="20"/>
              </w:rPr>
              <w:t>ă</w:t>
            </w:r>
            <w:r w:rsidR="00E22FF2" w:rsidRPr="008C5F1C">
              <w:rPr>
                <w:rFonts w:ascii="Times New Roman" w:hAnsi="Times New Roman" w:cs="Times New Roman"/>
                <w:noProof/>
                <w:sz w:val="20"/>
                <w:szCs w:val="20"/>
              </w:rPr>
              <w:t>ț</w:t>
            </w:r>
            <w:r w:rsidRPr="008C5F1C">
              <w:rPr>
                <w:rFonts w:ascii="Times New Roman" w:hAnsi="Times New Roman" w:cs="Times New Roman"/>
                <w:noProof/>
                <w:sz w:val="20"/>
                <w:szCs w:val="20"/>
              </w:rPr>
              <w:t>ii IMM-urilor</w:t>
            </w:r>
          </w:p>
        </w:tc>
      </w:tr>
      <w:tr w:rsidR="00653571" w:rsidRPr="008C5F1C" w14:paraId="112CC4EB" w14:textId="77777777" w:rsidTr="00534127">
        <w:trPr>
          <w:trHeight w:val="485"/>
        </w:trPr>
        <w:tc>
          <w:tcPr>
            <w:tcW w:w="428" w:type="dxa"/>
            <w:tcBorders>
              <w:bottom w:val="single" w:sz="4" w:space="0" w:color="auto"/>
            </w:tcBorders>
            <w:shd w:val="clear" w:color="auto" w:fill="auto"/>
            <w:noWrap/>
            <w:hideMark/>
          </w:tcPr>
          <w:p w14:paraId="54AFD4DD" w14:textId="77777777" w:rsidR="00653571" w:rsidRPr="008C5F1C" w:rsidRDefault="00653571" w:rsidP="00534127">
            <w:pPr>
              <w:spacing w:after="0"/>
              <w:jc w:val="center"/>
              <w:rPr>
                <w:rFonts w:ascii="Times New Roman" w:hAnsi="Times New Roman" w:cs="Times New Roman"/>
                <w:noProof/>
                <w:sz w:val="20"/>
                <w:szCs w:val="20"/>
              </w:rPr>
            </w:pPr>
            <w:r w:rsidRPr="008C5F1C">
              <w:rPr>
                <w:rFonts w:ascii="Times New Roman" w:hAnsi="Times New Roman" w:cs="Times New Roman"/>
                <w:noProof/>
                <w:sz w:val="20"/>
                <w:szCs w:val="20"/>
              </w:rPr>
              <w:t>2</w:t>
            </w:r>
          </w:p>
        </w:tc>
        <w:tc>
          <w:tcPr>
            <w:tcW w:w="1302" w:type="dxa"/>
            <w:tcBorders>
              <w:bottom w:val="single" w:sz="4" w:space="0" w:color="auto"/>
            </w:tcBorders>
            <w:shd w:val="clear" w:color="auto" w:fill="auto"/>
            <w:noWrap/>
            <w:hideMark/>
          </w:tcPr>
          <w:p w14:paraId="7885FF0B" w14:textId="77777777" w:rsidR="00653571" w:rsidRPr="008C5F1C" w:rsidRDefault="00653571" w:rsidP="00534127">
            <w:pPr>
              <w:spacing w:after="0"/>
              <w:rPr>
                <w:rFonts w:ascii="Times New Roman" w:hAnsi="Times New Roman" w:cs="Times New Roman"/>
                <w:noProof/>
                <w:sz w:val="20"/>
                <w:szCs w:val="20"/>
              </w:rPr>
            </w:pPr>
            <w:r w:rsidRPr="008C5F1C">
              <w:rPr>
                <w:rFonts w:ascii="Times New Roman" w:hAnsi="Times New Roman" w:cs="Times New Roman"/>
                <w:noProof/>
                <w:sz w:val="20"/>
                <w:szCs w:val="20"/>
              </w:rPr>
              <w:t>O regiune cu ora</w:t>
            </w:r>
            <w:r w:rsidR="00106240" w:rsidRPr="008C5F1C">
              <w:rPr>
                <w:rFonts w:ascii="Times New Roman" w:hAnsi="Times New Roman" w:cs="Times New Roman"/>
                <w:noProof/>
                <w:sz w:val="20"/>
                <w:szCs w:val="20"/>
              </w:rPr>
              <w:t>ș</w:t>
            </w:r>
            <w:r w:rsidRPr="008C5F1C">
              <w:rPr>
                <w:rFonts w:ascii="Times New Roman" w:hAnsi="Times New Roman" w:cs="Times New Roman"/>
                <w:noProof/>
                <w:sz w:val="20"/>
                <w:szCs w:val="20"/>
              </w:rPr>
              <w:t>e SMART</w:t>
            </w:r>
          </w:p>
        </w:tc>
        <w:tc>
          <w:tcPr>
            <w:tcW w:w="528" w:type="dxa"/>
            <w:tcBorders>
              <w:bottom w:val="single" w:sz="4" w:space="0" w:color="auto"/>
            </w:tcBorders>
            <w:shd w:val="clear" w:color="auto" w:fill="auto"/>
            <w:noWrap/>
            <w:hideMark/>
          </w:tcPr>
          <w:p w14:paraId="47964441" w14:textId="77777777" w:rsidR="00653571" w:rsidRPr="008C5F1C" w:rsidRDefault="00653571" w:rsidP="00534127">
            <w:pPr>
              <w:spacing w:after="0"/>
              <w:jc w:val="center"/>
              <w:rPr>
                <w:rFonts w:ascii="Times New Roman" w:hAnsi="Times New Roman" w:cs="Times New Roman"/>
                <w:noProof/>
                <w:sz w:val="20"/>
                <w:szCs w:val="20"/>
              </w:rPr>
            </w:pPr>
            <w:r w:rsidRPr="008C5F1C">
              <w:rPr>
                <w:rFonts w:ascii="Times New Roman" w:hAnsi="Times New Roman" w:cs="Times New Roman"/>
                <w:noProof/>
                <w:sz w:val="20"/>
                <w:szCs w:val="20"/>
              </w:rPr>
              <w:t>No</w:t>
            </w:r>
          </w:p>
        </w:tc>
        <w:tc>
          <w:tcPr>
            <w:tcW w:w="1094" w:type="dxa"/>
            <w:tcBorders>
              <w:bottom w:val="single" w:sz="4" w:space="0" w:color="auto"/>
            </w:tcBorders>
            <w:shd w:val="clear" w:color="auto" w:fill="auto"/>
            <w:noWrap/>
          </w:tcPr>
          <w:p w14:paraId="6AC543CF" w14:textId="77777777" w:rsidR="00653571" w:rsidRPr="008C5F1C" w:rsidRDefault="00653571" w:rsidP="00534127">
            <w:pPr>
              <w:spacing w:after="0"/>
              <w:jc w:val="center"/>
              <w:rPr>
                <w:rFonts w:ascii="Times New Roman" w:hAnsi="Times New Roman" w:cs="Times New Roman"/>
                <w:noProof/>
                <w:sz w:val="20"/>
                <w:szCs w:val="20"/>
              </w:rPr>
            </w:pPr>
          </w:p>
        </w:tc>
        <w:tc>
          <w:tcPr>
            <w:tcW w:w="900" w:type="dxa"/>
            <w:tcBorders>
              <w:bottom w:val="single" w:sz="4" w:space="0" w:color="auto"/>
            </w:tcBorders>
            <w:shd w:val="clear" w:color="auto" w:fill="auto"/>
            <w:noWrap/>
            <w:hideMark/>
          </w:tcPr>
          <w:p w14:paraId="2CC74001" w14:textId="77777777" w:rsidR="00653571" w:rsidRPr="008C5F1C" w:rsidRDefault="00653571" w:rsidP="00534127">
            <w:pPr>
              <w:spacing w:after="0"/>
              <w:jc w:val="center"/>
              <w:rPr>
                <w:rFonts w:ascii="Times New Roman" w:hAnsi="Times New Roman" w:cs="Times New Roman"/>
                <w:noProof/>
                <w:sz w:val="20"/>
                <w:szCs w:val="20"/>
              </w:rPr>
            </w:pPr>
            <w:r w:rsidRPr="008C5F1C">
              <w:rPr>
                <w:rFonts w:ascii="Times New Roman" w:hAnsi="Times New Roman" w:cs="Times New Roman"/>
                <w:noProof/>
                <w:sz w:val="20"/>
                <w:szCs w:val="20"/>
              </w:rPr>
              <w:t xml:space="preserve">ERDF </w:t>
            </w:r>
          </w:p>
        </w:tc>
        <w:tc>
          <w:tcPr>
            <w:tcW w:w="1350" w:type="dxa"/>
            <w:tcBorders>
              <w:bottom w:val="single" w:sz="4" w:space="0" w:color="auto"/>
            </w:tcBorders>
            <w:shd w:val="clear" w:color="auto" w:fill="auto"/>
            <w:noWrap/>
            <w:hideMark/>
          </w:tcPr>
          <w:p w14:paraId="72EF3E1A" w14:textId="77777777" w:rsidR="00653571" w:rsidRPr="008C5F1C" w:rsidRDefault="00226D19" w:rsidP="00226D19">
            <w:pPr>
              <w:spacing w:after="0"/>
              <w:jc w:val="center"/>
              <w:rPr>
                <w:rFonts w:ascii="Times New Roman" w:hAnsi="Times New Roman" w:cs="Times New Roman"/>
                <w:noProof/>
                <w:sz w:val="20"/>
                <w:szCs w:val="20"/>
              </w:rPr>
            </w:pPr>
            <w:r w:rsidRPr="008C5F1C">
              <w:rPr>
                <w:rFonts w:ascii="Times New Roman" w:hAnsi="Times New Roman" w:cs="Times New Roman"/>
                <w:noProof/>
                <w:sz w:val="20"/>
                <w:szCs w:val="20"/>
              </w:rPr>
              <w:t>Less developed</w:t>
            </w:r>
          </w:p>
        </w:tc>
        <w:tc>
          <w:tcPr>
            <w:tcW w:w="3924" w:type="dxa"/>
          </w:tcPr>
          <w:p w14:paraId="5F2E602F" w14:textId="77777777" w:rsidR="00653571" w:rsidRPr="008C5F1C" w:rsidRDefault="00653571" w:rsidP="00534127">
            <w:pPr>
              <w:spacing w:after="0"/>
              <w:rPr>
                <w:rFonts w:ascii="Times New Roman" w:hAnsi="Times New Roman" w:cs="Times New Roman"/>
                <w:noProof/>
                <w:sz w:val="20"/>
                <w:szCs w:val="20"/>
              </w:rPr>
            </w:pPr>
            <w:r w:rsidRPr="008C5F1C">
              <w:rPr>
                <w:rFonts w:ascii="Times New Roman" w:hAnsi="Times New Roman" w:cs="Times New Roman"/>
                <w:noProof/>
                <w:sz w:val="20"/>
                <w:szCs w:val="20"/>
              </w:rPr>
              <w:t>a (ii) Fructificarea avantajelor digitaliz</w:t>
            </w:r>
            <w:r w:rsidR="00BA7827" w:rsidRPr="008C5F1C">
              <w:rPr>
                <w:rFonts w:ascii="Times New Roman" w:hAnsi="Times New Roman" w:cs="Times New Roman"/>
                <w:noProof/>
                <w:sz w:val="20"/>
                <w:szCs w:val="20"/>
              </w:rPr>
              <w:t>ă</w:t>
            </w:r>
            <w:r w:rsidRPr="008C5F1C">
              <w:rPr>
                <w:rFonts w:ascii="Times New Roman" w:hAnsi="Times New Roman" w:cs="Times New Roman"/>
                <w:noProof/>
                <w:sz w:val="20"/>
                <w:szCs w:val="20"/>
              </w:rPr>
              <w:t>rii, în beneficiul cet</w:t>
            </w:r>
            <w:r w:rsidR="00BA7827" w:rsidRPr="008C5F1C">
              <w:rPr>
                <w:rFonts w:ascii="Times New Roman" w:hAnsi="Times New Roman" w:cs="Times New Roman"/>
                <w:noProof/>
                <w:sz w:val="20"/>
                <w:szCs w:val="20"/>
              </w:rPr>
              <w:t>ă</w:t>
            </w:r>
            <w:r w:rsidR="00E22FF2" w:rsidRPr="008C5F1C">
              <w:rPr>
                <w:rFonts w:ascii="Times New Roman" w:hAnsi="Times New Roman" w:cs="Times New Roman"/>
                <w:noProof/>
                <w:sz w:val="20"/>
                <w:szCs w:val="20"/>
              </w:rPr>
              <w:t>ț</w:t>
            </w:r>
            <w:r w:rsidRPr="008C5F1C">
              <w:rPr>
                <w:rFonts w:ascii="Times New Roman" w:hAnsi="Times New Roman" w:cs="Times New Roman"/>
                <w:noProof/>
                <w:sz w:val="20"/>
                <w:szCs w:val="20"/>
              </w:rPr>
              <w:t xml:space="preserve">enilor, al companiilor </w:t>
            </w:r>
            <w:r w:rsidR="00106240" w:rsidRPr="008C5F1C">
              <w:rPr>
                <w:rFonts w:ascii="Times New Roman" w:hAnsi="Times New Roman" w:cs="Times New Roman"/>
                <w:noProof/>
                <w:sz w:val="20"/>
                <w:szCs w:val="20"/>
              </w:rPr>
              <w:t>ș</w:t>
            </w:r>
            <w:r w:rsidRPr="008C5F1C">
              <w:rPr>
                <w:rFonts w:ascii="Times New Roman" w:hAnsi="Times New Roman" w:cs="Times New Roman"/>
                <w:noProof/>
                <w:sz w:val="20"/>
                <w:szCs w:val="20"/>
              </w:rPr>
              <w:t>i al guvernelor</w:t>
            </w:r>
          </w:p>
        </w:tc>
      </w:tr>
      <w:tr w:rsidR="00CE2709" w:rsidRPr="008C5F1C" w14:paraId="7A3BC221" w14:textId="77777777" w:rsidTr="00CE2709">
        <w:trPr>
          <w:trHeight w:val="383"/>
        </w:trPr>
        <w:tc>
          <w:tcPr>
            <w:tcW w:w="428" w:type="dxa"/>
            <w:vMerge w:val="restart"/>
            <w:shd w:val="clear" w:color="auto" w:fill="auto"/>
            <w:noWrap/>
          </w:tcPr>
          <w:p w14:paraId="7D8B16AD" w14:textId="77777777" w:rsidR="00CE2709" w:rsidRPr="008C5F1C" w:rsidRDefault="00CE2709" w:rsidP="00C659F9">
            <w:pPr>
              <w:spacing w:after="0"/>
              <w:jc w:val="center"/>
              <w:rPr>
                <w:rFonts w:ascii="Times New Roman" w:hAnsi="Times New Roman" w:cs="Times New Roman"/>
                <w:noProof/>
                <w:sz w:val="20"/>
                <w:szCs w:val="20"/>
              </w:rPr>
            </w:pPr>
            <w:r w:rsidRPr="008C5F1C">
              <w:rPr>
                <w:rFonts w:ascii="Times New Roman" w:hAnsi="Times New Roman" w:cs="Times New Roman"/>
                <w:noProof/>
                <w:sz w:val="20"/>
                <w:szCs w:val="20"/>
              </w:rPr>
              <w:t>3</w:t>
            </w:r>
          </w:p>
        </w:tc>
        <w:tc>
          <w:tcPr>
            <w:tcW w:w="1302" w:type="dxa"/>
            <w:vMerge w:val="restart"/>
            <w:shd w:val="clear" w:color="auto" w:fill="auto"/>
            <w:noWrap/>
          </w:tcPr>
          <w:p w14:paraId="5BF1EA99" w14:textId="77777777" w:rsidR="00CE2709" w:rsidRPr="008C5F1C" w:rsidRDefault="00CE2709" w:rsidP="00534127">
            <w:pPr>
              <w:spacing w:after="0"/>
              <w:rPr>
                <w:rFonts w:ascii="Times New Roman" w:hAnsi="Times New Roman" w:cs="Times New Roman"/>
                <w:noProof/>
                <w:sz w:val="20"/>
                <w:szCs w:val="20"/>
              </w:rPr>
            </w:pPr>
            <w:r w:rsidRPr="008C5F1C">
              <w:rPr>
                <w:rFonts w:ascii="Times New Roman" w:hAnsi="Times New Roman" w:cs="Times New Roman"/>
                <w:noProof/>
                <w:sz w:val="20"/>
                <w:szCs w:val="20"/>
              </w:rPr>
              <w:t>O regiune cu ora</w:t>
            </w:r>
            <w:r w:rsidR="00106240" w:rsidRPr="008C5F1C">
              <w:rPr>
                <w:rFonts w:ascii="Times New Roman" w:hAnsi="Times New Roman" w:cs="Times New Roman"/>
                <w:noProof/>
                <w:sz w:val="20"/>
                <w:szCs w:val="20"/>
              </w:rPr>
              <w:t>ș</w:t>
            </w:r>
            <w:r w:rsidRPr="008C5F1C">
              <w:rPr>
                <w:rFonts w:ascii="Times New Roman" w:hAnsi="Times New Roman" w:cs="Times New Roman"/>
                <w:noProof/>
                <w:sz w:val="20"/>
                <w:szCs w:val="20"/>
              </w:rPr>
              <w:t>e prietenoase cu mediul</w:t>
            </w:r>
          </w:p>
          <w:p w14:paraId="6AC1E43E" w14:textId="77777777" w:rsidR="00CE2709" w:rsidRPr="008C5F1C" w:rsidRDefault="00CE2709" w:rsidP="00534127">
            <w:pPr>
              <w:spacing w:after="0"/>
              <w:rPr>
                <w:rFonts w:ascii="Times New Roman" w:hAnsi="Times New Roman" w:cs="Times New Roman"/>
                <w:noProof/>
                <w:sz w:val="20"/>
                <w:szCs w:val="20"/>
              </w:rPr>
            </w:pPr>
          </w:p>
        </w:tc>
        <w:tc>
          <w:tcPr>
            <w:tcW w:w="528" w:type="dxa"/>
            <w:vMerge w:val="restart"/>
            <w:shd w:val="clear" w:color="auto" w:fill="auto"/>
            <w:noWrap/>
          </w:tcPr>
          <w:p w14:paraId="2B5E179C" w14:textId="77777777" w:rsidR="00CE2709" w:rsidRPr="008C5F1C" w:rsidRDefault="00CE2709" w:rsidP="00534127">
            <w:pPr>
              <w:spacing w:after="0"/>
              <w:jc w:val="center"/>
              <w:rPr>
                <w:rFonts w:ascii="Times New Roman" w:hAnsi="Times New Roman" w:cs="Times New Roman"/>
                <w:noProof/>
                <w:sz w:val="20"/>
                <w:szCs w:val="20"/>
              </w:rPr>
            </w:pPr>
            <w:r w:rsidRPr="008C5F1C">
              <w:rPr>
                <w:rFonts w:ascii="Times New Roman" w:hAnsi="Times New Roman" w:cs="Times New Roman"/>
                <w:noProof/>
                <w:sz w:val="20"/>
                <w:szCs w:val="20"/>
              </w:rPr>
              <w:t>No</w:t>
            </w:r>
          </w:p>
          <w:p w14:paraId="53BC8387" w14:textId="77777777" w:rsidR="00CE2709" w:rsidRPr="008C5F1C" w:rsidRDefault="00CE2709" w:rsidP="00534127">
            <w:pPr>
              <w:spacing w:after="0"/>
              <w:jc w:val="center"/>
              <w:rPr>
                <w:rFonts w:ascii="Times New Roman" w:hAnsi="Times New Roman" w:cs="Times New Roman"/>
                <w:noProof/>
                <w:sz w:val="20"/>
                <w:szCs w:val="20"/>
              </w:rPr>
            </w:pPr>
          </w:p>
        </w:tc>
        <w:tc>
          <w:tcPr>
            <w:tcW w:w="1094" w:type="dxa"/>
            <w:vMerge w:val="restart"/>
            <w:shd w:val="clear" w:color="auto" w:fill="auto"/>
            <w:noWrap/>
          </w:tcPr>
          <w:p w14:paraId="020EB34E" w14:textId="77777777" w:rsidR="00CE2709" w:rsidRPr="008C5F1C" w:rsidRDefault="00CE2709" w:rsidP="00534127">
            <w:pPr>
              <w:spacing w:after="0"/>
              <w:jc w:val="center"/>
              <w:rPr>
                <w:rFonts w:ascii="Times New Roman" w:hAnsi="Times New Roman" w:cs="Times New Roman"/>
                <w:noProof/>
                <w:sz w:val="20"/>
                <w:szCs w:val="20"/>
              </w:rPr>
            </w:pPr>
          </w:p>
        </w:tc>
        <w:tc>
          <w:tcPr>
            <w:tcW w:w="900" w:type="dxa"/>
            <w:vMerge w:val="restart"/>
            <w:shd w:val="clear" w:color="auto" w:fill="auto"/>
            <w:noWrap/>
          </w:tcPr>
          <w:p w14:paraId="090161F9" w14:textId="77777777" w:rsidR="00CE2709" w:rsidRPr="008C5F1C" w:rsidRDefault="00CE2709" w:rsidP="00534127">
            <w:pPr>
              <w:spacing w:after="0"/>
              <w:jc w:val="center"/>
              <w:rPr>
                <w:rFonts w:ascii="Times New Roman" w:hAnsi="Times New Roman" w:cs="Times New Roman"/>
                <w:noProof/>
                <w:sz w:val="20"/>
                <w:szCs w:val="20"/>
              </w:rPr>
            </w:pPr>
            <w:r w:rsidRPr="008C5F1C">
              <w:rPr>
                <w:rFonts w:ascii="Times New Roman" w:hAnsi="Times New Roman" w:cs="Times New Roman"/>
                <w:noProof/>
                <w:sz w:val="20"/>
                <w:szCs w:val="20"/>
              </w:rPr>
              <w:t>ERDF</w:t>
            </w:r>
          </w:p>
          <w:p w14:paraId="15184E80" w14:textId="77777777" w:rsidR="00CE2709" w:rsidRPr="008C5F1C" w:rsidRDefault="00CE2709" w:rsidP="00534127">
            <w:pPr>
              <w:spacing w:after="0"/>
              <w:jc w:val="center"/>
              <w:rPr>
                <w:rFonts w:ascii="Times New Roman" w:hAnsi="Times New Roman" w:cs="Times New Roman"/>
                <w:noProof/>
                <w:sz w:val="20"/>
                <w:szCs w:val="20"/>
              </w:rPr>
            </w:pPr>
          </w:p>
        </w:tc>
        <w:tc>
          <w:tcPr>
            <w:tcW w:w="1350" w:type="dxa"/>
            <w:vMerge w:val="restart"/>
            <w:shd w:val="clear" w:color="auto" w:fill="auto"/>
            <w:noWrap/>
          </w:tcPr>
          <w:p w14:paraId="60884214" w14:textId="77777777" w:rsidR="00CE2709" w:rsidRPr="008C5F1C" w:rsidRDefault="00CE2709" w:rsidP="00534127">
            <w:pPr>
              <w:spacing w:after="0"/>
              <w:jc w:val="center"/>
              <w:rPr>
                <w:rFonts w:ascii="Times New Roman" w:hAnsi="Times New Roman" w:cs="Times New Roman"/>
                <w:noProof/>
                <w:sz w:val="20"/>
                <w:szCs w:val="20"/>
              </w:rPr>
            </w:pPr>
            <w:r w:rsidRPr="008C5F1C">
              <w:rPr>
                <w:rFonts w:ascii="Times New Roman" w:hAnsi="Times New Roman" w:cs="Times New Roman"/>
                <w:noProof/>
                <w:sz w:val="20"/>
                <w:szCs w:val="20"/>
              </w:rPr>
              <w:t>Less developed</w:t>
            </w:r>
          </w:p>
          <w:p w14:paraId="665BF60F" w14:textId="77777777" w:rsidR="00CE2709" w:rsidRPr="008C5F1C" w:rsidRDefault="00CE2709" w:rsidP="00534127">
            <w:pPr>
              <w:spacing w:after="0"/>
              <w:jc w:val="center"/>
              <w:rPr>
                <w:rFonts w:ascii="Times New Roman" w:hAnsi="Times New Roman" w:cs="Times New Roman"/>
                <w:noProof/>
                <w:sz w:val="20"/>
                <w:szCs w:val="20"/>
              </w:rPr>
            </w:pPr>
          </w:p>
        </w:tc>
        <w:tc>
          <w:tcPr>
            <w:tcW w:w="3924" w:type="dxa"/>
          </w:tcPr>
          <w:p w14:paraId="70FB781C" w14:textId="77777777" w:rsidR="00CE2709" w:rsidRPr="008C5F1C" w:rsidRDefault="00CE2709" w:rsidP="00534127">
            <w:pPr>
              <w:spacing w:after="0"/>
              <w:rPr>
                <w:rFonts w:ascii="Times New Roman" w:hAnsi="Times New Roman" w:cs="Times New Roman"/>
                <w:noProof/>
                <w:sz w:val="20"/>
                <w:szCs w:val="20"/>
              </w:rPr>
            </w:pPr>
            <w:r w:rsidRPr="008C5F1C">
              <w:rPr>
                <w:rFonts w:ascii="Times New Roman" w:hAnsi="Times New Roman" w:cs="Times New Roman"/>
                <w:noProof/>
                <w:sz w:val="20"/>
                <w:szCs w:val="20"/>
              </w:rPr>
              <w:t>b (i) Promovarea eficien</w:t>
            </w:r>
            <w:r w:rsidR="00E22FF2" w:rsidRPr="008C5F1C">
              <w:rPr>
                <w:rFonts w:ascii="Times New Roman" w:hAnsi="Times New Roman" w:cs="Times New Roman"/>
                <w:noProof/>
                <w:sz w:val="20"/>
                <w:szCs w:val="20"/>
              </w:rPr>
              <w:t>ț</w:t>
            </w:r>
            <w:r w:rsidRPr="008C5F1C">
              <w:rPr>
                <w:rFonts w:ascii="Times New Roman" w:hAnsi="Times New Roman" w:cs="Times New Roman"/>
                <w:noProof/>
                <w:sz w:val="20"/>
                <w:szCs w:val="20"/>
              </w:rPr>
              <w:t xml:space="preserve">ei energetice </w:t>
            </w:r>
            <w:r w:rsidR="00106240" w:rsidRPr="008C5F1C">
              <w:rPr>
                <w:rFonts w:ascii="Times New Roman" w:hAnsi="Times New Roman" w:cs="Times New Roman"/>
                <w:noProof/>
                <w:sz w:val="20"/>
                <w:szCs w:val="20"/>
              </w:rPr>
              <w:t>ș</w:t>
            </w:r>
            <w:r w:rsidRPr="008C5F1C">
              <w:rPr>
                <w:rFonts w:ascii="Times New Roman" w:hAnsi="Times New Roman" w:cs="Times New Roman"/>
                <w:noProof/>
                <w:sz w:val="20"/>
                <w:szCs w:val="20"/>
              </w:rPr>
              <w:t>i reducerea emisiilor de gaze cu efect de seră</w:t>
            </w:r>
          </w:p>
        </w:tc>
      </w:tr>
      <w:tr w:rsidR="00C20CCC" w:rsidRPr="008C5F1C" w14:paraId="7AA33D8C" w14:textId="77777777" w:rsidTr="00534127">
        <w:trPr>
          <w:trHeight w:val="300"/>
        </w:trPr>
        <w:tc>
          <w:tcPr>
            <w:tcW w:w="428" w:type="dxa"/>
            <w:vMerge/>
            <w:shd w:val="clear" w:color="auto" w:fill="auto"/>
            <w:noWrap/>
          </w:tcPr>
          <w:p w14:paraId="108F237A" w14:textId="77777777" w:rsidR="00C20CCC" w:rsidRPr="008C5F1C" w:rsidRDefault="00C20CCC" w:rsidP="00534127">
            <w:pPr>
              <w:spacing w:after="0"/>
              <w:jc w:val="center"/>
              <w:rPr>
                <w:rFonts w:ascii="Times New Roman" w:hAnsi="Times New Roman" w:cs="Times New Roman"/>
                <w:noProof/>
                <w:sz w:val="20"/>
                <w:szCs w:val="20"/>
              </w:rPr>
            </w:pPr>
          </w:p>
        </w:tc>
        <w:tc>
          <w:tcPr>
            <w:tcW w:w="1302" w:type="dxa"/>
            <w:vMerge/>
            <w:shd w:val="clear" w:color="auto" w:fill="auto"/>
            <w:noWrap/>
            <w:vAlign w:val="center"/>
          </w:tcPr>
          <w:p w14:paraId="5E50B27F" w14:textId="77777777" w:rsidR="00C20CCC" w:rsidRPr="008C5F1C" w:rsidRDefault="00C20CCC" w:rsidP="00534127">
            <w:pPr>
              <w:spacing w:after="0"/>
              <w:rPr>
                <w:rFonts w:ascii="Times New Roman" w:hAnsi="Times New Roman" w:cs="Times New Roman"/>
                <w:noProof/>
                <w:sz w:val="20"/>
                <w:szCs w:val="20"/>
              </w:rPr>
            </w:pPr>
          </w:p>
        </w:tc>
        <w:tc>
          <w:tcPr>
            <w:tcW w:w="528" w:type="dxa"/>
            <w:vMerge/>
            <w:shd w:val="clear" w:color="auto" w:fill="auto"/>
            <w:noWrap/>
          </w:tcPr>
          <w:p w14:paraId="58DC8E4C" w14:textId="77777777" w:rsidR="00C20CCC" w:rsidRPr="008C5F1C" w:rsidRDefault="00C20CCC" w:rsidP="00534127">
            <w:pPr>
              <w:spacing w:after="0"/>
              <w:jc w:val="center"/>
              <w:rPr>
                <w:rFonts w:ascii="Times New Roman" w:hAnsi="Times New Roman" w:cs="Times New Roman"/>
                <w:noProof/>
                <w:sz w:val="20"/>
                <w:szCs w:val="20"/>
              </w:rPr>
            </w:pPr>
          </w:p>
        </w:tc>
        <w:tc>
          <w:tcPr>
            <w:tcW w:w="1094" w:type="dxa"/>
            <w:vMerge/>
            <w:shd w:val="clear" w:color="auto" w:fill="auto"/>
            <w:noWrap/>
          </w:tcPr>
          <w:p w14:paraId="204BE37C" w14:textId="77777777" w:rsidR="00C20CCC" w:rsidRPr="008C5F1C" w:rsidRDefault="00C20CCC" w:rsidP="00534127">
            <w:pPr>
              <w:spacing w:after="0"/>
              <w:jc w:val="center"/>
              <w:rPr>
                <w:rFonts w:ascii="Times New Roman" w:hAnsi="Times New Roman" w:cs="Times New Roman"/>
                <w:noProof/>
                <w:sz w:val="20"/>
                <w:szCs w:val="20"/>
              </w:rPr>
            </w:pPr>
          </w:p>
        </w:tc>
        <w:tc>
          <w:tcPr>
            <w:tcW w:w="900" w:type="dxa"/>
            <w:vMerge/>
            <w:shd w:val="clear" w:color="auto" w:fill="auto"/>
            <w:noWrap/>
          </w:tcPr>
          <w:p w14:paraId="1A62D8C7" w14:textId="77777777" w:rsidR="00C20CCC" w:rsidRPr="008C5F1C" w:rsidRDefault="00C20CCC" w:rsidP="00534127">
            <w:pPr>
              <w:spacing w:after="0"/>
              <w:jc w:val="center"/>
              <w:rPr>
                <w:rFonts w:ascii="Times New Roman" w:hAnsi="Times New Roman" w:cs="Times New Roman"/>
                <w:noProof/>
                <w:sz w:val="20"/>
                <w:szCs w:val="20"/>
              </w:rPr>
            </w:pPr>
          </w:p>
        </w:tc>
        <w:tc>
          <w:tcPr>
            <w:tcW w:w="1350" w:type="dxa"/>
            <w:vMerge/>
            <w:shd w:val="clear" w:color="auto" w:fill="auto"/>
            <w:noWrap/>
          </w:tcPr>
          <w:p w14:paraId="5D22FDC4" w14:textId="77777777" w:rsidR="00C20CCC" w:rsidRPr="008C5F1C" w:rsidRDefault="00C20CCC" w:rsidP="00534127">
            <w:pPr>
              <w:spacing w:after="0"/>
              <w:jc w:val="center"/>
              <w:rPr>
                <w:rFonts w:ascii="Times New Roman" w:hAnsi="Times New Roman" w:cs="Times New Roman"/>
                <w:noProof/>
                <w:sz w:val="20"/>
                <w:szCs w:val="20"/>
              </w:rPr>
            </w:pPr>
          </w:p>
        </w:tc>
        <w:tc>
          <w:tcPr>
            <w:tcW w:w="3924" w:type="dxa"/>
          </w:tcPr>
          <w:p w14:paraId="226E403E" w14:textId="703416CA" w:rsidR="00C20CCC" w:rsidRPr="008C5F1C" w:rsidRDefault="00C20CCC" w:rsidP="00534127">
            <w:pPr>
              <w:spacing w:after="0"/>
              <w:rPr>
                <w:rFonts w:ascii="Times New Roman" w:hAnsi="Times New Roman" w:cs="Times New Roman"/>
                <w:noProof/>
                <w:sz w:val="20"/>
                <w:szCs w:val="20"/>
              </w:rPr>
            </w:pPr>
            <w:r w:rsidRPr="00C20CCC">
              <w:rPr>
                <w:rFonts w:ascii="Times New Roman" w:hAnsi="Times New Roman" w:cs="Times New Roman"/>
                <w:noProof/>
                <w:sz w:val="20"/>
                <w:szCs w:val="20"/>
              </w:rPr>
              <w:t xml:space="preserve">b (v) Promovarea </w:t>
            </w:r>
            <w:r w:rsidR="00441D46">
              <w:rPr>
                <w:rFonts w:ascii="Times New Roman" w:hAnsi="Times New Roman" w:cs="Times New Roman"/>
                <w:noProof/>
                <w:sz w:val="20"/>
                <w:szCs w:val="20"/>
              </w:rPr>
              <w:t>managementului</w:t>
            </w:r>
            <w:r w:rsidRPr="00C20CCC">
              <w:rPr>
                <w:rFonts w:ascii="Times New Roman" w:hAnsi="Times New Roman" w:cs="Times New Roman"/>
                <w:noProof/>
                <w:sz w:val="20"/>
                <w:szCs w:val="20"/>
              </w:rPr>
              <w:t xml:space="preserve"> durabil a</w:t>
            </w:r>
            <w:r w:rsidR="00441D46">
              <w:rPr>
                <w:rFonts w:ascii="Times New Roman" w:hAnsi="Times New Roman" w:cs="Times New Roman"/>
                <w:noProof/>
                <w:sz w:val="20"/>
                <w:szCs w:val="20"/>
              </w:rPr>
              <w:t>l</w:t>
            </w:r>
            <w:r w:rsidRPr="00C20CCC">
              <w:rPr>
                <w:rFonts w:ascii="Times New Roman" w:hAnsi="Times New Roman" w:cs="Times New Roman"/>
                <w:noProof/>
                <w:sz w:val="20"/>
                <w:szCs w:val="20"/>
              </w:rPr>
              <w:t xml:space="preserve"> ape</w:t>
            </w:r>
            <w:r w:rsidR="00441D46">
              <w:rPr>
                <w:rFonts w:ascii="Times New Roman" w:hAnsi="Times New Roman" w:cs="Times New Roman"/>
                <w:noProof/>
                <w:sz w:val="20"/>
                <w:szCs w:val="20"/>
              </w:rPr>
              <w:t>i</w:t>
            </w:r>
          </w:p>
        </w:tc>
      </w:tr>
      <w:tr w:rsidR="00653571" w:rsidRPr="008C5F1C" w14:paraId="09FFBA1F" w14:textId="77777777" w:rsidTr="00534127">
        <w:trPr>
          <w:trHeight w:val="300"/>
        </w:trPr>
        <w:tc>
          <w:tcPr>
            <w:tcW w:w="428" w:type="dxa"/>
            <w:vMerge/>
            <w:shd w:val="clear" w:color="auto" w:fill="auto"/>
            <w:noWrap/>
          </w:tcPr>
          <w:p w14:paraId="619364D9" w14:textId="77777777" w:rsidR="00653571" w:rsidRPr="008C5F1C" w:rsidRDefault="00653571" w:rsidP="00534127">
            <w:pPr>
              <w:spacing w:after="0"/>
              <w:jc w:val="center"/>
              <w:rPr>
                <w:rFonts w:ascii="Times New Roman" w:hAnsi="Times New Roman" w:cs="Times New Roman"/>
                <w:noProof/>
                <w:sz w:val="20"/>
                <w:szCs w:val="20"/>
              </w:rPr>
            </w:pPr>
          </w:p>
        </w:tc>
        <w:tc>
          <w:tcPr>
            <w:tcW w:w="1302" w:type="dxa"/>
            <w:vMerge/>
            <w:shd w:val="clear" w:color="auto" w:fill="auto"/>
            <w:noWrap/>
            <w:vAlign w:val="center"/>
          </w:tcPr>
          <w:p w14:paraId="6E90B238" w14:textId="77777777" w:rsidR="00653571" w:rsidRPr="008C5F1C" w:rsidRDefault="00653571" w:rsidP="00534127">
            <w:pPr>
              <w:spacing w:after="0"/>
              <w:rPr>
                <w:rFonts w:ascii="Times New Roman" w:hAnsi="Times New Roman" w:cs="Times New Roman"/>
                <w:noProof/>
                <w:sz w:val="20"/>
                <w:szCs w:val="20"/>
              </w:rPr>
            </w:pPr>
          </w:p>
        </w:tc>
        <w:tc>
          <w:tcPr>
            <w:tcW w:w="528" w:type="dxa"/>
            <w:vMerge/>
            <w:shd w:val="clear" w:color="auto" w:fill="auto"/>
            <w:noWrap/>
          </w:tcPr>
          <w:p w14:paraId="401202EF" w14:textId="77777777" w:rsidR="00653571" w:rsidRPr="008C5F1C" w:rsidRDefault="00653571" w:rsidP="00534127">
            <w:pPr>
              <w:spacing w:after="0"/>
              <w:jc w:val="center"/>
              <w:rPr>
                <w:rFonts w:ascii="Times New Roman" w:hAnsi="Times New Roman" w:cs="Times New Roman"/>
                <w:noProof/>
                <w:sz w:val="20"/>
                <w:szCs w:val="20"/>
              </w:rPr>
            </w:pPr>
          </w:p>
        </w:tc>
        <w:tc>
          <w:tcPr>
            <w:tcW w:w="1094" w:type="dxa"/>
            <w:vMerge/>
            <w:shd w:val="clear" w:color="auto" w:fill="auto"/>
            <w:noWrap/>
          </w:tcPr>
          <w:p w14:paraId="0E075695" w14:textId="77777777" w:rsidR="00653571" w:rsidRPr="008C5F1C" w:rsidRDefault="00653571" w:rsidP="00534127">
            <w:pPr>
              <w:spacing w:after="0"/>
              <w:jc w:val="center"/>
              <w:rPr>
                <w:rFonts w:ascii="Times New Roman" w:hAnsi="Times New Roman" w:cs="Times New Roman"/>
                <w:noProof/>
                <w:sz w:val="20"/>
                <w:szCs w:val="20"/>
              </w:rPr>
            </w:pPr>
          </w:p>
        </w:tc>
        <w:tc>
          <w:tcPr>
            <w:tcW w:w="900" w:type="dxa"/>
            <w:vMerge/>
            <w:shd w:val="clear" w:color="auto" w:fill="auto"/>
            <w:noWrap/>
          </w:tcPr>
          <w:p w14:paraId="4A9137BE" w14:textId="77777777" w:rsidR="00653571" w:rsidRPr="008C5F1C" w:rsidRDefault="00653571" w:rsidP="00534127">
            <w:pPr>
              <w:spacing w:after="0"/>
              <w:jc w:val="center"/>
              <w:rPr>
                <w:rFonts w:ascii="Times New Roman" w:hAnsi="Times New Roman" w:cs="Times New Roman"/>
                <w:noProof/>
                <w:sz w:val="20"/>
                <w:szCs w:val="20"/>
              </w:rPr>
            </w:pPr>
          </w:p>
        </w:tc>
        <w:tc>
          <w:tcPr>
            <w:tcW w:w="1350" w:type="dxa"/>
            <w:vMerge/>
            <w:shd w:val="clear" w:color="auto" w:fill="auto"/>
            <w:noWrap/>
          </w:tcPr>
          <w:p w14:paraId="401454E8" w14:textId="77777777" w:rsidR="00653571" w:rsidRPr="008C5F1C" w:rsidRDefault="00653571" w:rsidP="00534127">
            <w:pPr>
              <w:spacing w:after="0"/>
              <w:jc w:val="center"/>
              <w:rPr>
                <w:rFonts w:ascii="Times New Roman" w:hAnsi="Times New Roman" w:cs="Times New Roman"/>
                <w:noProof/>
                <w:sz w:val="20"/>
                <w:szCs w:val="20"/>
              </w:rPr>
            </w:pPr>
          </w:p>
        </w:tc>
        <w:tc>
          <w:tcPr>
            <w:tcW w:w="3924" w:type="dxa"/>
          </w:tcPr>
          <w:p w14:paraId="670A1CCC" w14:textId="77777777" w:rsidR="00653571" w:rsidRPr="008C5F1C" w:rsidRDefault="00653571" w:rsidP="00534127">
            <w:pPr>
              <w:spacing w:after="0"/>
              <w:rPr>
                <w:rFonts w:ascii="Times New Roman" w:hAnsi="Times New Roman" w:cs="Times New Roman"/>
                <w:noProof/>
                <w:sz w:val="20"/>
                <w:szCs w:val="20"/>
              </w:rPr>
            </w:pPr>
            <w:r w:rsidRPr="008C5F1C">
              <w:rPr>
                <w:rFonts w:ascii="Times New Roman" w:hAnsi="Times New Roman" w:cs="Times New Roman"/>
                <w:noProof/>
                <w:sz w:val="20"/>
                <w:szCs w:val="20"/>
              </w:rPr>
              <w:t>b (vii) Îmbun</w:t>
            </w:r>
            <w:r w:rsidR="00BA7827" w:rsidRPr="008C5F1C">
              <w:rPr>
                <w:rFonts w:ascii="Times New Roman" w:hAnsi="Times New Roman" w:cs="Times New Roman"/>
                <w:noProof/>
                <w:sz w:val="20"/>
                <w:szCs w:val="20"/>
              </w:rPr>
              <w:t>ă</w:t>
            </w:r>
            <w:r w:rsidRPr="008C5F1C">
              <w:rPr>
                <w:rFonts w:ascii="Times New Roman" w:hAnsi="Times New Roman" w:cs="Times New Roman"/>
                <w:noProof/>
                <w:sz w:val="20"/>
                <w:szCs w:val="20"/>
              </w:rPr>
              <w:t>t</w:t>
            </w:r>
            <w:r w:rsidR="00BA7827" w:rsidRPr="008C5F1C">
              <w:rPr>
                <w:rFonts w:ascii="Times New Roman" w:hAnsi="Times New Roman" w:cs="Times New Roman"/>
                <w:noProof/>
                <w:sz w:val="20"/>
                <w:szCs w:val="20"/>
              </w:rPr>
              <w:t>ă</w:t>
            </w:r>
            <w:r w:rsidR="00E22FF2" w:rsidRPr="008C5F1C">
              <w:rPr>
                <w:rFonts w:ascii="Times New Roman" w:hAnsi="Times New Roman" w:cs="Times New Roman"/>
                <w:noProof/>
                <w:sz w:val="20"/>
                <w:szCs w:val="20"/>
              </w:rPr>
              <w:t>ț</w:t>
            </w:r>
            <w:r w:rsidRPr="008C5F1C">
              <w:rPr>
                <w:rFonts w:ascii="Times New Roman" w:hAnsi="Times New Roman" w:cs="Times New Roman"/>
                <w:noProof/>
                <w:sz w:val="20"/>
                <w:szCs w:val="20"/>
              </w:rPr>
              <w:t>irea protec</w:t>
            </w:r>
            <w:r w:rsidR="00E22FF2" w:rsidRPr="008C5F1C">
              <w:rPr>
                <w:rFonts w:ascii="Times New Roman" w:hAnsi="Times New Roman" w:cs="Times New Roman"/>
                <w:noProof/>
                <w:sz w:val="20"/>
                <w:szCs w:val="20"/>
              </w:rPr>
              <w:t>ț</w:t>
            </w:r>
            <w:r w:rsidRPr="008C5F1C">
              <w:rPr>
                <w:rFonts w:ascii="Times New Roman" w:hAnsi="Times New Roman" w:cs="Times New Roman"/>
                <w:noProof/>
                <w:sz w:val="20"/>
                <w:szCs w:val="20"/>
              </w:rPr>
              <w:t xml:space="preserve">iei naturii </w:t>
            </w:r>
            <w:r w:rsidR="00106240" w:rsidRPr="008C5F1C">
              <w:rPr>
                <w:rFonts w:ascii="Times New Roman" w:hAnsi="Times New Roman" w:cs="Times New Roman"/>
                <w:noProof/>
                <w:sz w:val="20"/>
                <w:szCs w:val="20"/>
              </w:rPr>
              <w:t>ș</w:t>
            </w:r>
            <w:r w:rsidRPr="008C5F1C">
              <w:rPr>
                <w:rFonts w:ascii="Times New Roman" w:hAnsi="Times New Roman" w:cs="Times New Roman"/>
                <w:noProof/>
                <w:sz w:val="20"/>
                <w:szCs w:val="20"/>
              </w:rPr>
              <w:t>i a biodiversit</w:t>
            </w:r>
            <w:r w:rsidR="00BA7827" w:rsidRPr="008C5F1C">
              <w:rPr>
                <w:rFonts w:ascii="Times New Roman" w:hAnsi="Times New Roman" w:cs="Times New Roman"/>
                <w:noProof/>
                <w:sz w:val="20"/>
                <w:szCs w:val="20"/>
              </w:rPr>
              <w:t>ă</w:t>
            </w:r>
            <w:r w:rsidR="00E22FF2" w:rsidRPr="008C5F1C">
              <w:rPr>
                <w:rFonts w:ascii="Times New Roman" w:hAnsi="Times New Roman" w:cs="Times New Roman"/>
                <w:noProof/>
                <w:sz w:val="20"/>
                <w:szCs w:val="20"/>
              </w:rPr>
              <w:t>ț</w:t>
            </w:r>
            <w:r w:rsidRPr="008C5F1C">
              <w:rPr>
                <w:rFonts w:ascii="Times New Roman" w:hAnsi="Times New Roman" w:cs="Times New Roman"/>
                <w:noProof/>
                <w:sz w:val="20"/>
                <w:szCs w:val="20"/>
              </w:rPr>
              <w:t xml:space="preserve">ii, a infrastructurii verzi în special în mediul urban </w:t>
            </w:r>
            <w:r w:rsidR="00106240" w:rsidRPr="008C5F1C">
              <w:rPr>
                <w:rFonts w:ascii="Times New Roman" w:hAnsi="Times New Roman" w:cs="Times New Roman"/>
                <w:noProof/>
                <w:sz w:val="20"/>
                <w:szCs w:val="20"/>
              </w:rPr>
              <w:t>ș</w:t>
            </w:r>
            <w:r w:rsidRPr="008C5F1C">
              <w:rPr>
                <w:rFonts w:ascii="Times New Roman" w:hAnsi="Times New Roman" w:cs="Times New Roman"/>
                <w:noProof/>
                <w:sz w:val="20"/>
                <w:szCs w:val="20"/>
              </w:rPr>
              <w:t>i reducerea polu</w:t>
            </w:r>
            <w:r w:rsidR="00BA7827" w:rsidRPr="008C5F1C">
              <w:rPr>
                <w:rFonts w:ascii="Times New Roman" w:hAnsi="Times New Roman" w:cs="Times New Roman"/>
                <w:noProof/>
                <w:sz w:val="20"/>
                <w:szCs w:val="20"/>
              </w:rPr>
              <w:t>ă</w:t>
            </w:r>
            <w:r w:rsidRPr="008C5F1C">
              <w:rPr>
                <w:rFonts w:ascii="Times New Roman" w:hAnsi="Times New Roman" w:cs="Times New Roman"/>
                <w:noProof/>
                <w:sz w:val="20"/>
                <w:szCs w:val="20"/>
              </w:rPr>
              <w:t>rii</w:t>
            </w:r>
          </w:p>
        </w:tc>
      </w:tr>
      <w:tr w:rsidR="00653571" w:rsidRPr="008C5F1C" w14:paraId="05F2B010" w14:textId="77777777" w:rsidTr="00534127">
        <w:trPr>
          <w:trHeight w:val="332"/>
        </w:trPr>
        <w:tc>
          <w:tcPr>
            <w:tcW w:w="428" w:type="dxa"/>
            <w:vMerge/>
            <w:shd w:val="clear" w:color="auto" w:fill="auto"/>
            <w:noWrap/>
          </w:tcPr>
          <w:p w14:paraId="3293DBFA" w14:textId="77777777" w:rsidR="00653571" w:rsidRPr="008C5F1C" w:rsidRDefault="00653571" w:rsidP="00534127">
            <w:pPr>
              <w:spacing w:after="0"/>
              <w:jc w:val="center"/>
              <w:rPr>
                <w:rFonts w:ascii="Times New Roman" w:hAnsi="Times New Roman" w:cs="Times New Roman"/>
                <w:noProof/>
                <w:sz w:val="20"/>
                <w:szCs w:val="20"/>
              </w:rPr>
            </w:pPr>
          </w:p>
        </w:tc>
        <w:tc>
          <w:tcPr>
            <w:tcW w:w="1302" w:type="dxa"/>
            <w:vMerge/>
            <w:shd w:val="clear" w:color="auto" w:fill="auto"/>
            <w:noWrap/>
          </w:tcPr>
          <w:p w14:paraId="6D6ADFCF" w14:textId="77777777" w:rsidR="00653571" w:rsidRPr="008C5F1C" w:rsidRDefault="00653571" w:rsidP="00534127">
            <w:pPr>
              <w:spacing w:after="0"/>
              <w:rPr>
                <w:rFonts w:ascii="Times New Roman" w:hAnsi="Times New Roman" w:cs="Times New Roman"/>
                <w:noProof/>
                <w:sz w:val="20"/>
                <w:szCs w:val="20"/>
              </w:rPr>
            </w:pPr>
          </w:p>
        </w:tc>
        <w:tc>
          <w:tcPr>
            <w:tcW w:w="528" w:type="dxa"/>
            <w:vMerge/>
            <w:shd w:val="clear" w:color="auto" w:fill="auto"/>
            <w:noWrap/>
          </w:tcPr>
          <w:p w14:paraId="3818E7CF" w14:textId="77777777" w:rsidR="00653571" w:rsidRPr="008C5F1C" w:rsidRDefault="00653571" w:rsidP="00534127">
            <w:pPr>
              <w:spacing w:after="0"/>
              <w:jc w:val="center"/>
              <w:rPr>
                <w:rFonts w:ascii="Times New Roman" w:hAnsi="Times New Roman" w:cs="Times New Roman"/>
                <w:noProof/>
                <w:sz w:val="20"/>
                <w:szCs w:val="20"/>
              </w:rPr>
            </w:pPr>
          </w:p>
        </w:tc>
        <w:tc>
          <w:tcPr>
            <w:tcW w:w="1094" w:type="dxa"/>
            <w:vMerge/>
            <w:shd w:val="clear" w:color="auto" w:fill="auto"/>
            <w:noWrap/>
          </w:tcPr>
          <w:p w14:paraId="2E81C159" w14:textId="77777777" w:rsidR="00653571" w:rsidRPr="008C5F1C" w:rsidRDefault="00653571" w:rsidP="00534127">
            <w:pPr>
              <w:spacing w:after="0"/>
              <w:jc w:val="center"/>
              <w:rPr>
                <w:rFonts w:ascii="Times New Roman" w:hAnsi="Times New Roman" w:cs="Times New Roman"/>
                <w:noProof/>
                <w:sz w:val="20"/>
                <w:szCs w:val="20"/>
              </w:rPr>
            </w:pPr>
          </w:p>
        </w:tc>
        <w:tc>
          <w:tcPr>
            <w:tcW w:w="900" w:type="dxa"/>
            <w:vMerge/>
            <w:shd w:val="clear" w:color="auto" w:fill="auto"/>
            <w:noWrap/>
          </w:tcPr>
          <w:p w14:paraId="42E3424E" w14:textId="77777777" w:rsidR="00653571" w:rsidRPr="008C5F1C" w:rsidRDefault="00653571" w:rsidP="00534127">
            <w:pPr>
              <w:spacing w:after="0"/>
              <w:jc w:val="center"/>
              <w:rPr>
                <w:rFonts w:ascii="Times New Roman" w:hAnsi="Times New Roman" w:cs="Times New Roman"/>
                <w:noProof/>
                <w:sz w:val="20"/>
                <w:szCs w:val="20"/>
              </w:rPr>
            </w:pPr>
          </w:p>
        </w:tc>
        <w:tc>
          <w:tcPr>
            <w:tcW w:w="1350" w:type="dxa"/>
            <w:vMerge/>
            <w:shd w:val="clear" w:color="auto" w:fill="auto"/>
            <w:noWrap/>
          </w:tcPr>
          <w:p w14:paraId="23739569" w14:textId="77777777" w:rsidR="00653571" w:rsidRPr="008C5F1C" w:rsidRDefault="00653571" w:rsidP="00534127">
            <w:pPr>
              <w:spacing w:after="0"/>
              <w:jc w:val="center"/>
              <w:rPr>
                <w:rFonts w:ascii="Times New Roman" w:hAnsi="Times New Roman" w:cs="Times New Roman"/>
                <w:noProof/>
                <w:sz w:val="20"/>
                <w:szCs w:val="20"/>
              </w:rPr>
            </w:pPr>
          </w:p>
        </w:tc>
        <w:tc>
          <w:tcPr>
            <w:tcW w:w="3924" w:type="dxa"/>
          </w:tcPr>
          <w:p w14:paraId="2437A647" w14:textId="77777777" w:rsidR="00653571" w:rsidRPr="008C5F1C" w:rsidRDefault="00653571" w:rsidP="00534127">
            <w:pPr>
              <w:spacing w:after="0"/>
              <w:rPr>
                <w:rFonts w:ascii="Times New Roman" w:hAnsi="Times New Roman" w:cs="Times New Roman"/>
                <w:noProof/>
                <w:sz w:val="20"/>
                <w:szCs w:val="20"/>
              </w:rPr>
            </w:pPr>
            <w:r w:rsidRPr="008C5F1C">
              <w:rPr>
                <w:rFonts w:ascii="Times New Roman" w:hAnsi="Times New Roman" w:cs="Times New Roman"/>
                <w:noProof/>
                <w:sz w:val="20"/>
                <w:szCs w:val="20"/>
              </w:rPr>
              <w:t>b (viii) Promovarea mobilit</w:t>
            </w:r>
            <w:r w:rsidR="00BA7827" w:rsidRPr="008C5F1C">
              <w:rPr>
                <w:rFonts w:ascii="Times New Roman" w:hAnsi="Times New Roman" w:cs="Times New Roman"/>
                <w:noProof/>
                <w:sz w:val="20"/>
                <w:szCs w:val="20"/>
              </w:rPr>
              <w:t>ă</w:t>
            </w:r>
            <w:r w:rsidR="00E22FF2" w:rsidRPr="008C5F1C">
              <w:rPr>
                <w:rFonts w:ascii="Times New Roman" w:hAnsi="Times New Roman" w:cs="Times New Roman"/>
                <w:noProof/>
                <w:sz w:val="20"/>
                <w:szCs w:val="20"/>
              </w:rPr>
              <w:t>ț</w:t>
            </w:r>
            <w:r w:rsidRPr="008C5F1C">
              <w:rPr>
                <w:rFonts w:ascii="Times New Roman" w:hAnsi="Times New Roman" w:cs="Times New Roman"/>
                <w:noProof/>
                <w:sz w:val="20"/>
                <w:szCs w:val="20"/>
              </w:rPr>
              <w:t>ii urbane multimodale sustenabile</w:t>
            </w:r>
          </w:p>
        </w:tc>
      </w:tr>
      <w:tr w:rsidR="00653571" w:rsidRPr="008C5F1C" w14:paraId="6B552FB4" w14:textId="77777777" w:rsidTr="00534127">
        <w:trPr>
          <w:trHeight w:val="1412"/>
        </w:trPr>
        <w:tc>
          <w:tcPr>
            <w:tcW w:w="428" w:type="dxa"/>
            <w:shd w:val="clear" w:color="auto" w:fill="auto"/>
            <w:noWrap/>
            <w:hideMark/>
          </w:tcPr>
          <w:p w14:paraId="4A59071D" w14:textId="77777777" w:rsidR="00653571" w:rsidRPr="008C5F1C" w:rsidRDefault="00653571" w:rsidP="00534127">
            <w:pPr>
              <w:spacing w:after="0"/>
              <w:jc w:val="center"/>
              <w:rPr>
                <w:rFonts w:ascii="Times New Roman" w:hAnsi="Times New Roman" w:cs="Times New Roman"/>
                <w:noProof/>
                <w:sz w:val="20"/>
                <w:szCs w:val="20"/>
              </w:rPr>
            </w:pPr>
            <w:r w:rsidRPr="008C5F1C">
              <w:rPr>
                <w:rFonts w:ascii="Times New Roman" w:hAnsi="Times New Roman" w:cs="Times New Roman"/>
                <w:noProof/>
                <w:sz w:val="20"/>
                <w:szCs w:val="20"/>
              </w:rPr>
              <w:t>4</w:t>
            </w:r>
          </w:p>
        </w:tc>
        <w:tc>
          <w:tcPr>
            <w:tcW w:w="1302" w:type="dxa"/>
            <w:shd w:val="clear" w:color="auto" w:fill="auto"/>
            <w:noWrap/>
          </w:tcPr>
          <w:p w14:paraId="5472D14E" w14:textId="77777777" w:rsidR="00653571" w:rsidRPr="008C5F1C" w:rsidRDefault="00653571" w:rsidP="00534127">
            <w:pPr>
              <w:spacing w:after="0"/>
              <w:rPr>
                <w:rFonts w:ascii="Times New Roman" w:hAnsi="Times New Roman" w:cs="Times New Roman"/>
                <w:noProof/>
                <w:sz w:val="20"/>
                <w:szCs w:val="20"/>
              </w:rPr>
            </w:pPr>
            <w:r w:rsidRPr="008C5F1C">
              <w:rPr>
                <w:rFonts w:ascii="Times New Roman" w:hAnsi="Times New Roman" w:cs="Times New Roman"/>
                <w:noProof/>
                <w:sz w:val="20"/>
                <w:szCs w:val="20"/>
              </w:rPr>
              <w:t>O regiune accesibil</w:t>
            </w:r>
            <w:r w:rsidR="00BA7827" w:rsidRPr="008C5F1C">
              <w:rPr>
                <w:rFonts w:ascii="Times New Roman" w:hAnsi="Times New Roman" w:cs="Times New Roman"/>
                <w:noProof/>
                <w:sz w:val="20"/>
                <w:szCs w:val="20"/>
              </w:rPr>
              <w:t>ă</w:t>
            </w:r>
          </w:p>
        </w:tc>
        <w:tc>
          <w:tcPr>
            <w:tcW w:w="528" w:type="dxa"/>
            <w:shd w:val="clear" w:color="auto" w:fill="auto"/>
            <w:noWrap/>
          </w:tcPr>
          <w:p w14:paraId="53D47B25" w14:textId="77777777" w:rsidR="00653571" w:rsidRPr="008C5F1C" w:rsidRDefault="00653571" w:rsidP="00534127">
            <w:pPr>
              <w:spacing w:after="0"/>
              <w:jc w:val="center"/>
              <w:rPr>
                <w:rFonts w:ascii="Times New Roman" w:hAnsi="Times New Roman" w:cs="Times New Roman"/>
                <w:noProof/>
                <w:sz w:val="20"/>
                <w:szCs w:val="20"/>
              </w:rPr>
            </w:pPr>
            <w:r w:rsidRPr="008C5F1C">
              <w:rPr>
                <w:rFonts w:ascii="Times New Roman" w:hAnsi="Times New Roman" w:cs="Times New Roman"/>
                <w:noProof/>
                <w:sz w:val="20"/>
                <w:szCs w:val="20"/>
              </w:rPr>
              <w:t>No</w:t>
            </w:r>
          </w:p>
        </w:tc>
        <w:tc>
          <w:tcPr>
            <w:tcW w:w="1094" w:type="dxa"/>
            <w:shd w:val="clear" w:color="auto" w:fill="auto"/>
            <w:noWrap/>
          </w:tcPr>
          <w:p w14:paraId="1985242B" w14:textId="77777777" w:rsidR="00653571" w:rsidRPr="008C5F1C" w:rsidRDefault="00653571" w:rsidP="00534127">
            <w:pPr>
              <w:spacing w:after="0"/>
              <w:jc w:val="center"/>
              <w:rPr>
                <w:rFonts w:ascii="Times New Roman" w:hAnsi="Times New Roman" w:cs="Times New Roman"/>
                <w:noProof/>
                <w:sz w:val="20"/>
                <w:szCs w:val="20"/>
              </w:rPr>
            </w:pPr>
          </w:p>
        </w:tc>
        <w:tc>
          <w:tcPr>
            <w:tcW w:w="900" w:type="dxa"/>
            <w:shd w:val="clear" w:color="auto" w:fill="auto"/>
            <w:noWrap/>
          </w:tcPr>
          <w:p w14:paraId="23C9446A" w14:textId="77777777" w:rsidR="00653571" w:rsidRPr="008C5F1C" w:rsidRDefault="00653571" w:rsidP="00534127">
            <w:pPr>
              <w:spacing w:after="0"/>
              <w:jc w:val="center"/>
              <w:rPr>
                <w:rFonts w:ascii="Times New Roman" w:hAnsi="Times New Roman" w:cs="Times New Roman"/>
                <w:noProof/>
                <w:sz w:val="20"/>
                <w:szCs w:val="20"/>
              </w:rPr>
            </w:pPr>
            <w:r w:rsidRPr="008C5F1C">
              <w:rPr>
                <w:rFonts w:ascii="Times New Roman" w:hAnsi="Times New Roman" w:cs="Times New Roman"/>
                <w:noProof/>
                <w:sz w:val="20"/>
                <w:szCs w:val="20"/>
              </w:rPr>
              <w:t xml:space="preserve">ERDF </w:t>
            </w:r>
          </w:p>
        </w:tc>
        <w:tc>
          <w:tcPr>
            <w:tcW w:w="1350" w:type="dxa"/>
            <w:shd w:val="clear" w:color="auto" w:fill="auto"/>
            <w:noWrap/>
          </w:tcPr>
          <w:p w14:paraId="7B525239" w14:textId="77777777" w:rsidR="00653571" w:rsidRPr="008C5F1C" w:rsidRDefault="00653571" w:rsidP="00534127">
            <w:pPr>
              <w:spacing w:after="0"/>
              <w:jc w:val="center"/>
              <w:rPr>
                <w:rFonts w:ascii="Times New Roman" w:hAnsi="Times New Roman" w:cs="Times New Roman"/>
                <w:noProof/>
                <w:sz w:val="20"/>
                <w:szCs w:val="20"/>
              </w:rPr>
            </w:pPr>
            <w:r w:rsidRPr="008C5F1C">
              <w:rPr>
                <w:rFonts w:ascii="Times New Roman" w:hAnsi="Times New Roman" w:cs="Times New Roman"/>
                <w:noProof/>
                <w:sz w:val="20"/>
                <w:szCs w:val="20"/>
              </w:rPr>
              <w:t>Less developed</w:t>
            </w:r>
          </w:p>
        </w:tc>
        <w:tc>
          <w:tcPr>
            <w:tcW w:w="3924" w:type="dxa"/>
            <w:vAlign w:val="center"/>
          </w:tcPr>
          <w:p w14:paraId="20294BFF" w14:textId="77777777" w:rsidR="00653571" w:rsidRPr="008C5F1C" w:rsidRDefault="00653571" w:rsidP="00534127">
            <w:pPr>
              <w:spacing w:after="0" w:line="240" w:lineRule="auto"/>
              <w:rPr>
                <w:rFonts w:ascii="Times New Roman" w:hAnsi="Times New Roman" w:cs="Times New Roman"/>
                <w:noProof/>
                <w:sz w:val="20"/>
                <w:szCs w:val="20"/>
              </w:rPr>
            </w:pPr>
            <w:r w:rsidRPr="008C5F1C">
              <w:rPr>
                <w:rFonts w:ascii="Times New Roman" w:hAnsi="Times New Roman" w:cs="Times New Roman"/>
                <w:noProof/>
                <w:sz w:val="20"/>
                <w:szCs w:val="20"/>
              </w:rPr>
              <w:t>c (iii) Dezvoltarea unei mobilit</w:t>
            </w:r>
            <w:r w:rsidR="00BA7827" w:rsidRPr="008C5F1C">
              <w:rPr>
                <w:rFonts w:ascii="Times New Roman" w:hAnsi="Times New Roman" w:cs="Times New Roman"/>
                <w:noProof/>
                <w:sz w:val="20"/>
                <w:szCs w:val="20"/>
              </w:rPr>
              <w:t>ă</w:t>
            </w:r>
            <w:r w:rsidR="00E22FF2" w:rsidRPr="008C5F1C">
              <w:rPr>
                <w:rFonts w:ascii="Times New Roman" w:hAnsi="Times New Roman" w:cs="Times New Roman"/>
                <w:noProof/>
                <w:sz w:val="20"/>
                <w:szCs w:val="20"/>
              </w:rPr>
              <w:t>ț</w:t>
            </w:r>
            <w:r w:rsidRPr="008C5F1C">
              <w:rPr>
                <w:rFonts w:ascii="Times New Roman" w:hAnsi="Times New Roman" w:cs="Times New Roman"/>
                <w:noProof/>
                <w:sz w:val="20"/>
                <w:szCs w:val="20"/>
              </w:rPr>
              <w:t>i na</w:t>
            </w:r>
            <w:r w:rsidR="00E22FF2" w:rsidRPr="008C5F1C">
              <w:rPr>
                <w:rFonts w:ascii="Times New Roman" w:hAnsi="Times New Roman" w:cs="Times New Roman"/>
                <w:noProof/>
                <w:sz w:val="20"/>
                <w:szCs w:val="20"/>
              </w:rPr>
              <w:t>ț</w:t>
            </w:r>
            <w:r w:rsidRPr="008C5F1C">
              <w:rPr>
                <w:rFonts w:ascii="Times New Roman" w:hAnsi="Times New Roman" w:cs="Times New Roman"/>
                <w:noProof/>
                <w:sz w:val="20"/>
                <w:szCs w:val="20"/>
              </w:rPr>
              <w:t xml:space="preserve">ionale, regionale </w:t>
            </w:r>
            <w:r w:rsidR="00106240" w:rsidRPr="008C5F1C">
              <w:rPr>
                <w:rFonts w:ascii="Times New Roman" w:hAnsi="Times New Roman" w:cs="Times New Roman"/>
                <w:noProof/>
                <w:sz w:val="20"/>
                <w:szCs w:val="20"/>
              </w:rPr>
              <w:t>ș</w:t>
            </w:r>
            <w:r w:rsidRPr="008C5F1C">
              <w:rPr>
                <w:rFonts w:ascii="Times New Roman" w:hAnsi="Times New Roman" w:cs="Times New Roman"/>
                <w:noProof/>
                <w:sz w:val="20"/>
                <w:szCs w:val="20"/>
              </w:rPr>
              <w:t>i locale durabile, reziliente în fa</w:t>
            </w:r>
            <w:r w:rsidR="00E22FF2" w:rsidRPr="008C5F1C">
              <w:rPr>
                <w:rFonts w:ascii="Times New Roman" w:hAnsi="Times New Roman" w:cs="Times New Roman"/>
                <w:noProof/>
                <w:sz w:val="20"/>
                <w:szCs w:val="20"/>
              </w:rPr>
              <w:t>ț</w:t>
            </w:r>
            <w:r w:rsidRPr="008C5F1C">
              <w:rPr>
                <w:rFonts w:ascii="Times New Roman" w:hAnsi="Times New Roman" w:cs="Times New Roman"/>
                <w:noProof/>
                <w:sz w:val="20"/>
                <w:szCs w:val="20"/>
              </w:rPr>
              <w:t>a schimb</w:t>
            </w:r>
            <w:r w:rsidR="00BA7827" w:rsidRPr="008C5F1C">
              <w:rPr>
                <w:rFonts w:ascii="Times New Roman" w:hAnsi="Times New Roman" w:cs="Times New Roman"/>
                <w:noProof/>
                <w:sz w:val="20"/>
                <w:szCs w:val="20"/>
              </w:rPr>
              <w:t>ă</w:t>
            </w:r>
            <w:r w:rsidRPr="008C5F1C">
              <w:rPr>
                <w:rFonts w:ascii="Times New Roman" w:hAnsi="Times New Roman" w:cs="Times New Roman"/>
                <w:noProof/>
                <w:sz w:val="20"/>
                <w:szCs w:val="20"/>
              </w:rPr>
              <w:t xml:space="preserve">rilor climatice, inteligente </w:t>
            </w:r>
            <w:r w:rsidR="00106240" w:rsidRPr="008C5F1C">
              <w:rPr>
                <w:rFonts w:ascii="Times New Roman" w:hAnsi="Times New Roman" w:cs="Times New Roman"/>
                <w:noProof/>
                <w:sz w:val="20"/>
                <w:szCs w:val="20"/>
              </w:rPr>
              <w:t>ș</w:t>
            </w:r>
            <w:r w:rsidRPr="008C5F1C">
              <w:rPr>
                <w:rFonts w:ascii="Times New Roman" w:hAnsi="Times New Roman" w:cs="Times New Roman"/>
                <w:noProof/>
                <w:sz w:val="20"/>
                <w:szCs w:val="20"/>
              </w:rPr>
              <w:t>i intermodale, inclusiv îmbun</w:t>
            </w:r>
            <w:r w:rsidR="00BA7827" w:rsidRPr="008C5F1C">
              <w:rPr>
                <w:rFonts w:ascii="Times New Roman" w:hAnsi="Times New Roman" w:cs="Times New Roman"/>
                <w:noProof/>
                <w:sz w:val="20"/>
                <w:szCs w:val="20"/>
              </w:rPr>
              <w:t>ă</w:t>
            </w:r>
            <w:r w:rsidRPr="008C5F1C">
              <w:rPr>
                <w:rFonts w:ascii="Times New Roman" w:hAnsi="Times New Roman" w:cs="Times New Roman"/>
                <w:noProof/>
                <w:sz w:val="20"/>
                <w:szCs w:val="20"/>
              </w:rPr>
              <w:t>t</w:t>
            </w:r>
            <w:r w:rsidR="00BA7827" w:rsidRPr="008C5F1C">
              <w:rPr>
                <w:rFonts w:ascii="Times New Roman" w:hAnsi="Times New Roman" w:cs="Times New Roman"/>
                <w:noProof/>
                <w:sz w:val="20"/>
                <w:szCs w:val="20"/>
              </w:rPr>
              <w:t>ă</w:t>
            </w:r>
            <w:r w:rsidR="00E22FF2" w:rsidRPr="008C5F1C">
              <w:rPr>
                <w:rFonts w:ascii="Times New Roman" w:hAnsi="Times New Roman" w:cs="Times New Roman"/>
                <w:noProof/>
                <w:sz w:val="20"/>
                <w:szCs w:val="20"/>
              </w:rPr>
              <w:t>ț</w:t>
            </w:r>
            <w:r w:rsidRPr="008C5F1C">
              <w:rPr>
                <w:rFonts w:ascii="Times New Roman" w:hAnsi="Times New Roman" w:cs="Times New Roman"/>
                <w:noProof/>
                <w:sz w:val="20"/>
                <w:szCs w:val="20"/>
              </w:rPr>
              <w:t xml:space="preserve">irea accesului la TEN-T </w:t>
            </w:r>
            <w:r w:rsidR="00106240" w:rsidRPr="008C5F1C">
              <w:rPr>
                <w:rFonts w:ascii="Times New Roman" w:hAnsi="Times New Roman" w:cs="Times New Roman"/>
                <w:noProof/>
                <w:sz w:val="20"/>
                <w:szCs w:val="20"/>
              </w:rPr>
              <w:t>ș</w:t>
            </w:r>
            <w:r w:rsidRPr="008C5F1C">
              <w:rPr>
                <w:rFonts w:ascii="Times New Roman" w:hAnsi="Times New Roman" w:cs="Times New Roman"/>
                <w:noProof/>
                <w:sz w:val="20"/>
                <w:szCs w:val="20"/>
              </w:rPr>
              <w:t>i a mobilit</w:t>
            </w:r>
            <w:r w:rsidR="00BA7827" w:rsidRPr="008C5F1C">
              <w:rPr>
                <w:rFonts w:ascii="Times New Roman" w:hAnsi="Times New Roman" w:cs="Times New Roman"/>
                <w:noProof/>
                <w:sz w:val="20"/>
                <w:szCs w:val="20"/>
              </w:rPr>
              <w:t>ă</w:t>
            </w:r>
            <w:r w:rsidR="00E22FF2" w:rsidRPr="008C5F1C">
              <w:rPr>
                <w:rFonts w:ascii="Times New Roman" w:hAnsi="Times New Roman" w:cs="Times New Roman"/>
                <w:noProof/>
                <w:sz w:val="20"/>
                <w:szCs w:val="20"/>
              </w:rPr>
              <w:t>ț</w:t>
            </w:r>
            <w:r w:rsidRPr="008C5F1C">
              <w:rPr>
                <w:rFonts w:ascii="Times New Roman" w:hAnsi="Times New Roman" w:cs="Times New Roman"/>
                <w:noProof/>
                <w:sz w:val="20"/>
                <w:szCs w:val="20"/>
              </w:rPr>
              <w:t>ii transfrontaliere</w:t>
            </w:r>
          </w:p>
        </w:tc>
      </w:tr>
      <w:tr w:rsidR="00653571" w:rsidRPr="008C5F1C" w14:paraId="6D7A760C" w14:textId="77777777" w:rsidTr="00534127">
        <w:trPr>
          <w:trHeight w:val="300"/>
        </w:trPr>
        <w:tc>
          <w:tcPr>
            <w:tcW w:w="428" w:type="dxa"/>
            <w:shd w:val="clear" w:color="auto" w:fill="auto"/>
            <w:noWrap/>
            <w:hideMark/>
          </w:tcPr>
          <w:p w14:paraId="3E1403D4" w14:textId="77777777" w:rsidR="00653571" w:rsidRPr="008C5F1C" w:rsidRDefault="00653571" w:rsidP="00534127">
            <w:pPr>
              <w:spacing w:after="0"/>
              <w:jc w:val="center"/>
              <w:rPr>
                <w:rFonts w:ascii="Times New Roman" w:hAnsi="Times New Roman" w:cs="Times New Roman"/>
                <w:noProof/>
                <w:sz w:val="20"/>
                <w:szCs w:val="20"/>
              </w:rPr>
            </w:pPr>
            <w:r w:rsidRPr="008C5F1C">
              <w:rPr>
                <w:rFonts w:ascii="Times New Roman" w:hAnsi="Times New Roman" w:cs="Times New Roman"/>
                <w:noProof/>
                <w:sz w:val="20"/>
                <w:szCs w:val="20"/>
              </w:rPr>
              <w:t>5</w:t>
            </w:r>
          </w:p>
        </w:tc>
        <w:tc>
          <w:tcPr>
            <w:tcW w:w="1302" w:type="dxa"/>
            <w:shd w:val="clear" w:color="auto" w:fill="auto"/>
            <w:noWrap/>
          </w:tcPr>
          <w:p w14:paraId="20E3A42C" w14:textId="77777777" w:rsidR="00653571" w:rsidRPr="008C5F1C" w:rsidRDefault="00653571" w:rsidP="00534127">
            <w:pPr>
              <w:spacing w:after="0"/>
              <w:rPr>
                <w:rFonts w:ascii="Times New Roman" w:hAnsi="Times New Roman" w:cs="Times New Roman"/>
                <w:noProof/>
                <w:sz w:val="20"/>
                <w:szCs w:val="20"/>
              </w:rPr>
            </w:pPr>
            <w:r w:rsidRPr="008C5F1C">
              <w:rPr>
                <w:rFonts w:ascii="Times New Roman" w:hAnsi="Times New Roman" w:cs="Times New Roman"/>
                <w:noProof/>
                <w:sz w:val="20"/>
                <w:szCs w:val="20"/>
              </w:rPr>
              <w:t>O regiune educat</w:t>
            </w:r>
            <w:r w:rsidR="00BA7827" w:rsidRPr="008C5F1C">
              <w:rPr>
                <w:rFonts w:ascii="Times New Roman" w:hAnsi="Times New Roman" w:cs="Times New Roman"/>
                <w:noProof/>
                <w:sz w:val="20"/>
                <w:szCs w:val="20"/>
              </w:rPr>
              <w:t>ă</w:t>
            </w:r>
            <w:r w:rsidRPr="008C5F1C">
              <w:rPr>
                <w:rFonts w:ascii="Times New Roman" w:hAnsi="Times New Roman" w:cs="Times New Roman"/>
                <w:noProof/>
                <w:sz w:val="20"/>
                <w:szCs w:val="20"/>
              </w:rPr>
              <w:t xml:space="preserve">  </w:t>
            </w:r>
          </w:p>
        </w:tc>
        <w:tc>
          <w:tcPr>
            <w:tcW w:w="528" w:type="dxa"/>
            <w:shd w:val="clear" w:color="auto" w:fill="auto"/>
            <w:noWrap/>
          </w:tcPr>
          <w:p w14:paraId="581E02C0" w14:textId="77777777" w:rsidR="00653571" w:rsidRPr="008C5F1C" w:rsidRDefault="00653571" w:rsidP="00534127">
            <w:pPr>
              <w:spacing w:after="0"/>
              <w:jc w:val="center"/>
              <w:rPr>
                <w:rFonts w:ascii="Times New Roman" w:hAnsi="Times New Roman" w:cs="Times New Roman"/>
                <w:noProof/>
                <w:sz w:val="20"/>
                <w:szCs w:val="20"/>
              </w:rPr>
            </w:pPr>
            <w:r w:rsidRPr="008C5F1C">
              <w:rPr>
                <w:rFonts w:ascii="Times New Roman" w:hAnsi="Times New Roman" w:cs="Times New Roman"/>
                <w:noProof/>
                <w:sz w:val="20"/>
                <w:szCs w:val="20"/>
              </w:rPr>
              <w:t>No</w:t>
            </w:r>
          </w:p>
        </w:tc>
        <w:tc>
          <w:tcPr>
            <w:tcW w:w="1094" w:type="dxa"/>
            <w:shd w:val="clear" w:color="auto" w:fill="auto"/>
            <w:noWrap/>
          </w:tcPr>
          <w:p w14:paraId="125C66A1" w14:textId="77777777" w:rsidR="00653571" w:rsidRPr="008C5F1C" w:rsidRDefault="00653571" w:rsidP="00534127">
            <w:pPr>
              <w:spacing w:after="0"/>
              <w:jc w:val="center"/>
              <w:rPr>
                <w:rFonts w:ascii="Times New Roman" w:hAnsi="Times New Roman" w:cs="Times New Roman"/>
                <w:noProof/>
                <w:sz w:val="20"/>
                <w:szCs w:val="20"/>
              </w:rPr>
            </w:pPr>
          </w:p>
        </w:tc>
        <w:tc>
          <w:tcPr>
            <w:tcW w:w="900" w:type="dxa"/>
            <w:shd w:val="clear" w:color="auto" w:fill="auto"/>
            <w:noWrap/>
          </w:tcPr>
          <w:p w14:paraId="7DD9F105" w14:textId="77777777" w:rsidR="00653571" w:rsidRPr="008C5F1C" w:rsidRDefault="00653571" w:rsidP="00534127">
            <w:pPr>
              <w:spacing w:after="0"/>
              <w:jc w:val="center"/>
              <w:rPr>
                <w:rFonts w:ascii="Times New Roman" w:hAnsi="Times New Roman" w:cs="Times New Roman"/>
                <w:noProof/>
                <w:sz w:val="20"/>
                <w:szCs w:val="20"/>
              </w:rPr>
            </w:pPr>
            <w:r w:rsidRPr="008C5F1C">
              <w:rPr>
                <w:rFonts w:ascii="Times New Roman" w:hAnsi="Times New Roman" w:cs="Times New Roman"/>
                <w:noProof/>
                <w:sz w:val="20"/>
                <w:szCs w:val="20"/>
              </w:rPr>
              <w:t xml:space="preserve">ERDF </w:t>
            </w:r>
          </w:p>
        </w:tc>
        <w:tc>
          <w:tcPr>
            <w:tcW w:w="1350" w:type="dxa"/>
            <w:shd w:val="clear" w:color="auto" w:fill="auto"/>
            <w:noWrap/>
          </w:tcPr>
          <w:p w14:paraId="2D005869" w14:textId="77777777" w:rsidR="00653571" w:rsidRPr="008C5F1C" w:rsidRDefault="00653571" w:rsidP="00534127">
            <w:pPr>
              <w:spacing w:after="0"/>
              <w:jc w:val="center"/>
              <w:rPr>
                <w:rFonts w:ascii="Times New Roman" w:hAnsi="Times New Roman" w:cs="Times New Roman"/>
                <w:noProof/>
                <w:sz w:val="20"/>
                <w:szCs w:val="20"/>
              </w:rPr>
            </w:pPr>
            <w:r w:rsidRPr="008C5F1C">
              <w:rPr>
                <w:rFonts w:ascii="Times New Roman" w:hAnsi="Times New Roman" w:cs="Times New Roman"/>
                <w:noProof/>
                <w:sz w:val="20"/>
                <w:szCs w:val="20"/>
              </w:rPr>
              <w:t>Less developed</w:t>
            </w:r>
          </w:p>
        </w:tc>
        <w:tc>
          <w:tcPr>
            <w:tcW w:w="3924" w:type="dxa"/>
            <w:vAlign w:val="center"/>
          </w:tcPr>
          <w:p w14:paraId="014C76E9" w14:textId="77777777" w:rsidR="00653571" w:rsidRPr="008C5F1C" w:rsidRDefault="00653571" w:rsidP="00534127">
            <w:pPr>
              <w:spacing w:after="0"/>
              <w:rPr>
                <w:rFonts w:ascii="Times New Roman" w:hAnsi="Times New Roman" w:cs="Times New Roman"/>
                <w:noProof/>
                <w:sz w:val="20"/>
                <w:szCs w:val="20"/>
              </w:rPr>
            </w:pPr>
            <w:r w:rsidRPr="008C5F1C">
              <w:rPr>
                <w:rFonts w:ascii="Times New Roman" w:hAnsi="Times New Roman" w:cs="Times New Roman"/>
                <w:noProof/>
                <w:sz w:val="20"/>
                <w:szCs w:val="20"/>
              </w:rPr>
              <w:t>d (ii) Îmbun</w:t>
            </w:r>
            <w:r w:rsidR="00BA7827" w:rsidRPr="008C5F1C">
              <w:rPr>
                <w:rFonts w:ascii="Times New Roman" w:hAnsi="Times New Roman" w:cs="Times New Roman"/>
                <w:noProof/>
                <w:sz w:val="20"/>
                <w:szCs w:val="20"/>
              </w:rPr>
              <w:t>ă</w:t>
            </w:r>
            <w:r w:rsidRPr="008C5F1C">
              <w:rPr>
                <w:rFonts w:ascii="Times New Roman" w:hAnsi="Times New Roman" w:cs="Times New Roman"/>
                <w:noProof/>
                <w:sz w:val="20"/>
                <w:szCs w:val="20"/>
              </w:rPr>
              <w:t>t</w:t>
            </w:r>
            <w:r w:rsidR="00BA7827" w:rsidRPr="008C5F1C">
              <w:rPr>
                <w:rFonts w:ascii="Times New Roman" w:hAnsi="Times New Roman" w:cs="Times New Roman"/>
                <w:noProof/>
                <w:sz w:val="20"/>
                <w:szCs w:val="20"/>
              </w:rPr>
              <w:t>ă</w:t>
            </w:r>
            <w:r w:rsidR="00E22FF2" w:rsidRPr="008C5F1C">
              <w:rPr>
                <w:rFonts w:ascii="Times New Roman" w:hAnsi="Times New Roman" w:cs="Times New Roman"/>
                <w:noProof/>
                <w:sz w:val="20"/>
                <w:szCs w:val="20"/>
              </w:rPr>
              <w:t>ț</w:t>
            </w:r>
            <w:r w:rsidRPr="008C5F1C">
              <w:rPr>
                <w:rFonts w:ascii="Times New Roman" w:hAnsi="Times New Roman" w:cs="Times New Roman"/>
                <w:noProof/>
                <w:sz w:val="20"/>
                <w:szCs w:val="20"/>
              </w:rPr>
              <w:t xml:space="preserve">irea accesului la servicii de calitate </w:t>
            </w:r>
            <w:r w:rsidR="00106240" w:rsidRPr="008C5F1C">
              <w:rPr>
                <w:rFonts w:ascii="Times New Roman" w:hAnsi="Times New Roman" w:cs="Times New Roman"/>
                <w:noProof/>
                <w:sz w:val="20"/>
                <w:szCs w:val="20"/>
              </w:rPr>
              <w:t>ș</w:t>
            </w:r>
            <w:r w:rsidRPr="008C5F1C">
              <w:rPr>
                <w:rFonts w:ascii="Times New Roman" w:hAnsi="Times New Roman" w:cs="Times New Roman"/>
                <w:noProof/>
                <w:sz w:val="20"/>
                <w:szCs w:val="20"/>
              </w:rPr>
              <w:t>i favorabile incluziunii în educa</w:t>
            </w:r>
            <w:r w:rsidR="00E22FF2" w:rsidRPr="008C5F1C">
              <w:rPr>
                <w:rFonts w:ascii="Times New Roman" w:hAnsi="Times New Roman" w:cs="Times New Roman"/>
                <w:noProof/>
                <w:sz w:val="20"/>
                <w:szCs w:val="20"/>
              </w:rPr>
              <w:t>ț</w:t>
            </w:r>
            <w:r w:rsidRPr="008C5F1C">
              <w:rPr>
                <w:rFonts w:ascii="Times New Roman" w:hAnsi="Times New Roman" w:cs="Times New Roman"/>
                <w:noProof/>
                <w:sz w:val="20"/>
                <w:szCs w:val="20"/>
              </w:rPr>
              <w:t xml:space="preserve">ie, formare </w:t>
            </w:r>
            <w:r w:rsidR="00106240" w:rsidRPr="008C5F1C">
              <w:rPr>
                <w:rFonts w:ascii="Times New Roman" w:hAnsi="Times New Roman" w:cs="Times New Roman"/>
                <w:noProof/>
                <w:sz w:val="20"/>
                <w:szCs w:val="20"/>
              </w:rPr>
              <w:t>ș</w:t>
            </w:r>
            <w:r w:rsidRPr="008C5F1C">
              <w:rPr>
                <w:rFonts w:ascii="Times New Roman" w:hAnsi="Times New Roman" w:cs="Times New Roman"/>
                <w:noProof/>
                <w:sz w:val="20"/>
                <w:szCs w:val="20"/>
              </w:rPr>
              <w:t>i înv</w:t>
            </w:r>
            <w:r w:rsidR="00BA7827" w:rsidRPr="008C5F1C">
              <w:rPr>
                <w:rFonts w:ascii="Times New Roman" w:hAnsi="Times New Roman" w:cs="Times New Roman"/>
                <w:noProof/>
                <w:sz w:val="20"/>
                <w:szCs w:val="20"/>
              </w:rPr>
              <w:t>ă</w:t>
            </w:r>
            <w:r w:rsidR="00E22FF2" w:rsidRPr="008C5F1C">
              <w:rPr>
                <w:rFonts w:ascii="Times New Roman" w:hAnsi="Times New Roman" w:cs="Times New Roman"/>
                <w:noProof/>
                <w:sz w:val="20"/>
                <w:szCs w:val="20"/>
              </w:rPr>
              <w:t>ț</w:t>
            </w:r>
            <w:r w:rsidRPr="008C5F1C">
              <w:rPr>
                <w:rFonts w:ascii="Times New Roman" w:hAnsi="Times New Roman" w:cs="Times New Roman"/>
                <w:noProof/>
                <w:sz w:val="20"/>
                <w:szCs w:val="20"/>
              </w:rPr>
              <w:t>area pe tot parcursul vie</w:t>
            </w:r>
            <w:r w:rsidR="00E22FF2" w:rsidRPr="008C5F1C">
              <w:rPr>
                <w:rFonts w:ascii="Times New Roman" w:hAnsi="Times New Roman" w:cs="Times New Roman"/>
                <w:noProof/>
                <w:sz w:val="20"/>
                <w:szCs w:val="20"/>
              </w:rPr>
              <w:t>ț</w:t>
            </w:r>
            <w:r w:rsidRPr="008C5F1C">
              <w:rPr>
                <w:rFonts w:ascii="Times New Roman" w:hAnsi="Times New Roman" w:cs="Times New Roman"/>
                <w:noProof/>
                <w:sz w:val="20"/>
                <w:szCs w:val="20"/>
              </w:rPr>
              <w:t>ii prin dezvoltarea infrastructurii</w:t>
            </w:r>
          </w:p>
        </w:tc>
      </w:tr>
      <w:tr w:rsidR="00653571" w:rsidRPr="008C5F1C" w14:paraId="58C27E1B" w14:textId="77777777" w:rsidTr="00534127">
        <w:trPr>
          <w:trHeight w:val="300"/>
        </w:trPr>
        <w:tc>
          <w:tcPr>
            <w:tcW w:w="428" w:type="dxa"/>
            <w:vMerge w:val="restart"/>
            <w:shd w:val="clear" w:color="auto" w:fill="auto"/>
            <w:noWrap/>
            <w:hideMark/>
          </w:tcPr>
          <w:p w14:paraId="0E0FAD6A" w14:textId="77777777" w:rsidR="00653571" w:rsidRPr="008C5F1C" w:rsidRDefault="00653571" w:rsidP="00534127">
            <w:pPr>
              <w:spacing w:after="0"/>
              <w:jc w:val="center"/>
              <w:rPr>
                <w:rFonts w:ascii="Times New Roman" w:hAnsi="Times New Roman" w:cs="Times New Roman"/>
                <w:noProof/>
                <w:sz w:val="20"/>
                <w:szCs w:val="20"/>
              </w:rPr>
            </w:pPr>
            <w:r w:rsidRPr="008C5F1C">
              <w:rPr>
                <w:rFonts w:ascii="Times New Roman" w:hAnsi="Times New Roman" w:cs="Times New Roman"/>
                <w:noProof/>
                <w:sz w:val="20"/>
                <w:szCs w:val="20"/>
              </w:rPr>
              <w:t>6</w:t>
            </w:r>
          </w:p>
        </w:tc>
        <w:tc>
          <w:tcPr>
            <w:tcW w:w="1302" w:type="dxa"/>
            <w:vMerge w:val="restart"/>
            <w:shd w:val="clear" w:color="auto" w:fill="auto"/>
            <w:noWrap/>
          </w:tcPr>
          <w:p w14:paraId="0A7C6EB0" w14:textId="77777777" w:rsidR="00653571" w:rsidRPr="008C5F1C" w:rsidRDefault="00653571" w:rsidP="00534127">
            <w:pPr>
              <w:spacing w:after="0"/>
              <w:rPr>
                <w:rFonts w:ascii="Times New Roman" w:hAnsi="Times New Roman" w:cs="Times New Roman"/>
                <w:noProof/>
                <w:sz w:val="20"/>
                <w:szCs w:val="20"/>
              </w:rPr>
            </w:pPr>
            <w:r w:rsidRPr="008C5F1C">
              <w:rPr>
                <w:rFonts w:ascii="Times New Roman" w:hAnsi="Times New Roman" w:cs="Times New Roman"/>
                <w:noProof/>
                <w:sz w:val="20"/>
                <w:szCs w:val="20"/>
              </w:rPr>
              <w:t>O regiune atractiv</w:t>
            </w:r>
            <w:r w:rsidR="00BA7827" w:rsidRPr="008C5F1C">
              <w:rPr>
                <w:rFonts w:ascii="Times New Roman" w:hAnsi="Times New Roman" w:cs="Times New Roman"/>
                <w:noProof/>
                <w:sz w:val="20"/>
                <w:szCs w:val="20"/>
              </w:rPr>
              <w:t>ă</w:t>
            </w:r>
          </w:p>
        </w:tc>
        <w:tc>
          <w:tcPr>
            <w:tcW w:w="528" w:type="dxa"/>
            <w:vMerge w:val="restart"/>
            <w:shd w:val="clear" w:color="auto" w:fill="auto"/>
            <w:noWrap/>
          </w:tcPr>
          <w:p w14:paraId="62AF0BBC" w14:textId="77777777" w:rsidR="00653571" w:rsidRPr="008C5F1C" w:rsidRDefault="00653571" w:rsidP="00534127">
            <w:pPr>
              <w:spacing w:after="0"/>
              <w:jc w:val="center"/>
              <w:rPr>
                <w:rFonts w:ascii="Times New Roman" w:hAnsi="Times New Roman" w:cs="Times New Roman"/>
                <w:noProof/>
                <w:sz w:val="20"/>
                <w:szCs w:val="20"/>
              </w:rPr>
            </w:pPr>
            <w:r w:rsidRPr="008C5F1C">
              <w:rPr>
                <w:rFonts w:ascii="Times New Roman" w:hAnsi="Times New Roman" w:cs="Times New Roman"/>
                <w:noProof/>
                <w:sz w:val="20"/>
                <w:szCs w:val="20"/>
              </w:rPr>
              <w:t>No</w:t>
            </w:r>
          </w:p>
        </w:tc>
        <w:tc>
          <w:tcPr>
            <w:tcW w:w="1094" w:type="dxa"/>
            <w:vMerge w:val="restart"/>
            <w:shd w:val="clear" w:color="auto" w:fill="auto"/>
            <w:noWrap/>
          </w:tcPr>
          <w:p w14:paraId="7062152B" w14:textId="77777777" w:rsidR="00653571" w:rsidRPr="008C5F1C" w:rsidRDefault="00653571" w:rsidP="00534127">
            <w:pPr>
              <w:spacing w:after="0"/>
              <w:jc w:val="center"/>
              <w:rPr>
                <w:rFonts w:ascii="Times New Roman" w:hAnsi="Times New Roman" w:cs="Times New Roman"/>
                <w:noProof/>
                <w:sz w:val="20"/>
                <w:szCs w:val="20"/>
              </w:rPr>
            </w:pPr>
          </w:p>
        </w:tc>
        <w:tc>
          <w:tcPr>
            <w:tcW w:w="900" w:type="dxa"/>
            <w:vMerge w:val="restart"/>
            <w:shd w:val="clear" w:color="auto" w:fill="auto"/>
            <w:noWrap/>
          </w:tcPr>
          <w:p w14:paraId="7DD305B5" w14:textId="77777777" w:rsidR="00653571" w:rsidRPr="008C5F1C" w:rsidRDefault="00653571" w:rsidP="00534127">
            <w:pPr>
              <w:spacing w:after="0"/>
              <w:jc w:val="center"/>
              <w:rPr>
                <w:rFonts w:ascii="Times New Roman" w:hAnsi="Times New Roman" w:cs="Times New Roman"/>
                <w:noProof/>
                <w:sz w:val="20"/>
                <w:szCs w:val="20"/>
              </w:rPr>
            </w:pPr>
            <w:r w:rsidRPr="008C5F1C">
              <w:rPr>
                <w:rFonts w:ascii="Times New Roman" w:hAnsi="Times New Roman" w:cs="Times New Roman"/>
                <w:noProof/>
                <w:sz w:val="20"/>
                <w:szCs w:val="20"/>
              </w:rPr>
              <w:t xml:space="preserve">ERDF </w:t>
            </w:r>
          </w:p>
        </w:tc>
        <w:tc>
          <w:tcPr>
            <w:tcW w:w="1350" w:type="dxa"/>
            <w:vMerge w:val="restart"/>
            <w:shd w:val="clear" w:color="auto" w:fill="auto"/>
            <w:noWrap/>
          </w:tcPr>
          <w:p w14:paraId="238EF0F5" w14:textId="77777777" w:rsidR="00653571" w:rsidRPr="008C5F1C" w:rsidRDefault="00653571" w:rsidP="00534127">
            <w:pPr>
              <w:spacing w:after="0"/>
              <w:jc w:val="center"/>
              <w:rPr>
                <w:rFonts w:ascii="Times New Roman" w:hAnsi="Times New Roman" w:cs="Times New Roman"/>
                <w:noProof/>
                <w:sz w:val="20"/>
                <w:szCs w:val="20"/>
              </w:rPr>
            </w:pPr>
            <w:r w:rsidRPr="008C5F1C">
              <w:rPr>
                <w:rFonts w:ascii="Times New Roman" w:hAnsi="Times New Roman" w:cs="Times New Roman"/>
                <w:noProof/>
                <w:sz w:val="20"/>
                <w:szCs w:val="20"/>
              </w:rPr>
              <w:t>Less developed</w:t>
            </w:r>
          </w:p>
        </w:tc>
        <w:tc>
          <w:tcPr>
            <w:tcW w:w="3924" w:type="dxa"/>
            <w:vAlign w:val="center"/>
          </w:tcPr>
          <w:p w14:paraId="3DBEB8C0" w14:textId="77777777" w:rsidR="00653571" w:rsidRPr="008C5F1C" w:rsidRDefault="00653571" w:rsidP="00534127">
            <w:pPr>
              <w:spacing w:after="0"/>
              <w:rPr>
                <w:rFonts w:ascii="Times New Roman" w:hAnsi="Times New Roman" w:cs="Times New Roman"/>
                <w:noProof/>
                <w:sz w:val="20"/>
                <w:szCs w:val="20"/>
              </w:rPr>
            </w:pPr>
            <w:r w:rsidRPr="008C5F1C">
              <w:rPr>
                <w:rFonts w:ascii="Times New Roman" w:hAnsi="Times New Roman" w:cs="Times New Roman"/>
                <w:noProof/>
                <w:sz w:val="20"/>
                <w:szCs w:val="20"/>
              </w:rPr>
              <w:t>e (i) Favorizarea dezvolt</w:t>
            </w:r>
            <w:r w:rsidR="00BA7827" w:rsidRPr="008C5F1C">
              <w:rPr>
                <w:rFonts w:ascii="Times New Roman" w:hAnsi="Times New Roman" w:cs="Times New Roman"/>
                <w:noProof/>
                <w:sz w:val="20"/>
                <w:szCs w:val="20"/>
              </w:rPr>
              <w:t>ă</w:t>
            </w:r>
            <w:r w:rsidRPr="008C5F1C">
              <w:rPr>
                <w:rFonts w:ascii="Times New Roman" w:hAnsi="Times New Roman" w:cs="Times New Roman"/>
                <w:noProof/>
                <w:sz w:val="20"/>
                <w:szCs w:val="20"/>
              </w:rPr>
              <w:t xml:space="preserve">rii integrate sociale, economice </w:t>
            </w:r>
            <w:r w:rsidR="00106240" w:rsidRPr="008C5F1C">
              <w:rPr>
                <w:rFonts w:ascii="Times New Roman" w:hAnsi="Times New Roman" w:cs="Times New Roman"/>
                <w:noProof/>
                <w:sz w:val="20"/>
                <w:szCs w:val="20"/>
              </w:rPr>
              <w:t>ș</w:t>
            </w:r>
            <w:r w:rsidRPr="008C5F1C">
              <w:rPr>
                <w:rFonts w:ascii="Times New Roman" w:hAnsi="Times New Roman" w:cs="Times New Roman"/>
                <w:noProof/>
                <w:sz w:val="20"/>
                <w:szCs w:val="20"/>
              </w:rPr>
              <w:t xml:space="preserve">i de mediu la nivel local </w:t>
            </w:r>
            <w:r w:rsidR="00106240" w:rsidRPr="008C5F1C">
              <w:rPr>
                <w:rFonts w:ascii="Times New Roman" w:hAnsi="Times New Roman" w:cs="Times New Roman"/>
                <w:noProof/>
                <w:sz w:val="20"/>
                <w:szCs w:val="20"/>
              </w:rPr>
              <w:t>ș</w:t>
            </w:r>
            <w:r w:rsidRPr="008C5F1C">
              <w:rPr>
                <w:rFonts w:ascii="Times New Roman" w:hAnsi="Times New Roman" w:cs="Times New Roman"/>
                <w:noProof/>
                <w:sz w:val="20"/>
                <w:szCs w:val="20"/>
              </w:rPr>
              <w:t xml:space="preserve">i a patrimoniului cultural, turismului </w:t>
            </w:r>
            <w:r w:rsidR="00106240" w:rsidRPr="008C5F1C">
              <w:rPr>
                <w:rFonts w:ascii="Times New Roman" w:hAnsi="Times New Roman" w:cs="Times New Roman"/>
                <w:noProof/>
                <w:sz w:val="20"/>
                <w:szCs w:val="20"/>
              </w:rPr>
              <w:t>ș</w:t>
            </w:r>
            <w:r w:rsidRPr="008C5F1C">
              <w:rPr>
                <w:rFonts w:ascii="Times New Roman" w:hAnsi="Times New Roman" w:cs="Times New Roman"/>
                <w:noProof/>
                <w:sz w:val="20"/>
                <w:szCs w:val="20"/>
              </w:rPr>
              <w:t>i securit</w:t>
            </w:r>
            <w:r w:rsidR="00BA7827" w:rsidRPr="008C5F1C">
              <w:rPr>
                <w:rFonts w:ascii="Times New Roman" w:hAnsi="Times New Roman" w:cs="Times New Roman"/>
                <w:noProof/>
                <w:sz w:val="20"/>
                <w:szCs w:val="20"/>
              </w:rPr>
              <w:t>ă</w:t>
            </w:r>
            <w:r w:rsidR="00E22FF2" w:rsidRPr="008C5F1C">
              <w:rPr>
                <w:rFonts w:ascii="Times New Roman" w:hAnsi="Times New Roman" w:cs="Times New Roman"/>
                <w:noProof/>
                <w:sz w:val="20"/>
                <w:szCs w:val="20"/>
              </w:rPr>
              <w:t>ț</w:t>
            </w:r>
            <w:r w:rsidRPr="008C5F1C">
              <w:rPr>
                <w:rFonts w:ascii="Times New Roman" w:hAnsi="Times New Roman" w:cs="Times New Roman"/>
                <w:noProof/>
                <w:sz w:val="20"/>
                <w:szCs w:val="20"/>
              </w:rPr>
              <w:t>ii în zonele urbane</w:t>
            </w:r>
            <w:r w:rsidRPr="008C5F1C" w:rsidDel="005705B6">
              <w:rPr>
                <w:rFonts w:ascii="Times New Roman" w:hAnsi="Times New Roman" w:cs="Times New Roman"/>
                <w:noProof/>
                <w:sz w:val="20"/>
                <w:szCs w:val="20"/>
              </w:rPr>
              <w:t xml:space="preserve"> </w:t>
            </w:r>
          </w:p>
        </w:tc>
      </w:tr>
      <w:tr w:rsidR="00653571" w:rsidRPr="008C5F1C" w14:paraId="6796E4B0" w14:textId="77777777" w:rsidTr="00534127">
        <w:trPr>
          <w:trHeight w:val="300"/>
        </w:trPr>
        <w:tc>
          <w:tcPr>
            <w:tcW w:w="428" w:type="dxa"/>
            <w:vMerge/>
            <w:shd w:val="clear" w:color="auto" w:fill="auto"/>
            <w:noWrap/>
          </w:tcPr>
          <w:p w14:paraId="386CC247" w14:textId="77777777" w:rsidR="00653571" w:rsidRPr="008C5F1C" w:rsidRDefault="00653571" w:rsidP="00534127">
            <w:pPr>
              <w:spacing w:after="0"/>
              <w:jc w:val="center"/>
              <w:rPr>
                <w:rFonts w:ascii="Times New Roman" w:hAnsi="Times New Roman" w:cs="Times New Roman"/>
                <w:noProof/>
                <w:sz w:val="20"/>
                <w:szCs w:val="20"/>
              </w:rPr>
            </w:pPr>
          </w:p>
        </w:tc>
        <w:tc>
          <w:tcPr>
            <w:tcW w:w="1302" w:type="dxa"/>
            <w:vMerge/>
            <w:shd w:val="clear" w:color="auto" w:fill="auto"/>
            <w:noWrap/>
          </w:tcPr>
          <w:p w14:paraId="3F65E9EC" w14:textId="77777777" w:rsidR="00653571" w:rsidRPr="008C5F1C" w:rsidRDefault="00653571" w:rsidP="00534127">
            <w:pPr>
              <w:spacing w:after="0"/>
              <w:rPr>
                <w:rFonts w:ascii="Times New Roman" w:hAnsi="Times New Roman" w:cs="Times New Roman"/>
                <w:noProof/>
                <w:sz w:val="20"/>
                <w:szCs w:val="20"/>
              </w:rPr>
            </w:pPr>
          </w:p>
        </w:tc>
        <w:tc>
          <w:tcPr>
            <w:tcW w:w="528" w:type="dxa"/>
            <w:vMerge/>
            <w:shd w:val="clear" w:color="auto" w:fill="auto"/>
            <w:noWrap/>
          </w:tcPr>
          <w:p w14:paraId="43CBCB31" w14:textId="77777777" w:rsidR="00653571" w:rsidRPr="008C5F1C" w:rsidRDefault="00653571" w:rsidP="00534127">
            <w:pPr>
              <w:spacing w:after="0"/>
              <w:jc w:val="center"/>
              <w:rPr>
                <w:rFonts w:ascii="Times New Roman" w:hAnsi="Times New Roman" w:cs="Times New Roman"/>
                <w:noProof/>
                <w:sz w:val="20"/>
                <w:szCs w:val="20"/>
              </w:rPr>
            </w:pPr>
          </w:p>
        </w:tc>
        <w:tc>
          <w:tcPr>
            <w:tcW w:w="1094" w:type="dxa"/>
            <w:vMerge/>
            <w:shd w:val="clear" w:color="auto" w:fill="auto"/>
            <w:noWrap/>
          </w:tcPr>
          <w:p w14:paraId="7C3EE313" w14:textId="77777777" w:rsidR="00653571" w:rsidRPr="008C5F1C" w:rsidRDefault="00653571" w:rsidP="00534127">
            <w:pPr>
              <w:spacing w:after="0"/>
              <w:jc w:val="center"/>
              <w:rPr>
                <w:rFonts w:ascii="Times New Roman" w:hAnsi="Times New Roman" w:cs="Times New Roman"/>
                <w:noProof/>
                <w:sz w:val="20"/>
                <w:szCs w:val="20"/>
              </w:rPr>
            </w:pPr>
          </w:p>
        </w:tc>
        <w:tc>
          <w:tcPr>
            <w:tcW w:w="900" w:type="dxa"/>
            <w:vMerge/>
            <w:shd w:val="clear" w:color="auto" w:fill="auto"/>
            <w:noWrap/>
          </w:tcPr>
          <w:p w14:paraId="139A4CA9" w14:textId="77777777" w:rsidR="00653571" w:rsidRPr="008C5F1C" w:rsidRDefault="00653571" w:rsidP="00534127">
            <w:pPr>
              <w:spacing w:after="0"/>
              <w:jc w:val="center"/>
              <w:rPr>
                <w:rFonts w:ascii="Times New Roman" w:hAnsi="Times New Roman" w:cs="Times New Roman"/>
                <w:noProof/>
                <w:sz w:val="20"/>
                <w:szCs w:val="20"/>
              </w:rPr>
            </w:pPr>
          </w:p>
        </w:tc>
        <w:tc>
          <w:tcPr>
            <w:tcW w:w="1350" w:type="dxa"/>
            <w:vMerge/>
            <w:shd w:val="clear" w:color="auto" w:fill="auto"/>
            <w:noWrap/>
          </w:tcPr>
          <w:p w14:paraId="217BB382" w14:textId="77777777" w:rsidR="00653571" w:rsidRPr="008C5F1C" w:rsidRDefault="00653571" w:rsidP="00534127">
            <w:pPr>
              <w:spacing w:after="0"/>
              <w:jc w:val="center"/>
              <w:rPr>
                <w:rFonts w:ascii="Times New Roman" w:hAnsi="Times New Roman" w:cs="Times New Roman"/>
                <w:noProof/>
                <w:sz w:val="20"/>
                <w:szCs w:val="20"/>
              </w:rPr>
            </w:pPr>
          </w:p>
        </w:tc>
        <w:tc>
          <w:tcPr>
            <w:tcW w:w="3924" w:type="dxa"/>
          </w:tcPr>
          <w:p w14:paraId="21A239FA" w14:textId="77777777" w:rsidR="00653571" w:rsidRPr="008C5F1C" w:rsidRDefault="00653571" w:rsidP="00534127">
            <w:pPr>
              <w:spacing w:after="0"/>
              <w:rPr>
                <w:rFonts w:ascii="Times New Roman" w:hAnsi="Times New Roman" w:cs="Times New Roman"/>
                <w:noProof/>
                <w:sz w:val="20"/>
                <w:szCs w:val="20"/>
              </w:rPr>
            </w:pPr>
            <w:r w:rsidRPr="008C5F1C">
              <w:rPr>
                <w:rFonts w:ascii="Times New Roman" w:hAnsi="Times New Roman" w:cs="Times New Roman"/>
                <w:noProof/>
                <w:sz w:val="20"/>
                <w:szCs w:val="20"/>
              </w:rPr>
              <w:t>e (ii) Favorizarea dezvolt</w:t>
            </w:r>
            <w:r w:rsidR="00BA7827" w:rsidRPr="008C5F1C">
              <w:rPr>
                <w:rFonts w:ascii="Times New Roman" w:hAnsi="Times New Roman" w:cs="Times New Roman"/>
                <w:noProof/>
                <w:sz w:val="20"/>
                <w:szCs w:val="20"/>
              </w:rPr>
              <w:t>ă</w:t>
            </w:r>
            <w:r w:rsidRPr="008C5F1C">
              <w:rPr>
                <w:rFonts w:ascii="Times New Roman" w:hAnsi="Times New Roman" w:cs="Times New Roman"/>
                <w:noProof/>
                <w:sz w:val="20"/>
                <w:szCs w:val="20"/>
              </w:rPr>
              <w:t xml:space="preserve">rii integrate sociale, economice </w:t>
            </w:r>
            <w:r w:rsidR="00106240" w:rsidRPr="008C5F1C">
              <w:rPr>
                <w:rFonts w:ascii="Times New Roman" w:hAnsi="Times New Roman" w:cs="Times New Roman"/>
                <w:noProof/>
                <w:sz w:val="20"/>
                <w:szCs w:val="20"/>
              </w:rPr>
              <w:t>ș</w:t>
            </w:r>
            <w:r w:rsidRPr="008C5F1C">
              <w:rPr>
                <w:rFonts w:ascii="Times New Roman" w:hAnsi="Times New Roman" w:cs="Times New Roman"/>
                <w:noProof/>
                <w:sz w:val="20"/>
                <w:szCs w:val="20"/>
              </w:rPr>
              <w:t xml:space="preserve">i de mediu la nivel local </w:t>
            </w:r>
            <w:r w:rsidR="00106240" w:rsidRPr="008C5F1C">
              <w:rPr>
                <w:rFonts w:ascii="Times New Roman" w:hAnsi="Times New Roman" w:cs="Times New Roman"/>
                <w:noProof/>
                <w:sz w:val="20"/>
                <w:szCs w:val="20"/>
              </w:rPr>
              <w:t>ș</w:t>
            </w:r>
            <w:r w:rsidRPr="008C5F1C">
              <w:rPr>
                <w:rFonts w:ascii="Times New Roman" w:hAnsi="Times New Roman" w:cs="Times New Roman"/>
                <w:noProof/>
                <w:sz w:val="20"/>
                <w:szCs w:val="20"/>
              </w:rPr>
              <w:t xml:space="preserve">i a patrimoniului cultural, turismului </w:t>
            </w:r>
            <w:r w:rsidR="00106240" w:rsidRPr="008C5F1C">
              <w:rPr>
                <w:rFonts w:ascii="Times New Roman" w:hAnsi="Times New Roman" w:cs="Times New Roman"/>
                <w:noProof/>
                <w:sz w:val="20"/>
                <w:szCs w:val="20"/>
              </w:rPr>
              <w:t>ș</w:t>
            </w:r>
            <w:r w:rsidRPr="008C5F1C">
              <w:rPr>
                <w:rFonts w:ascii="Times New Roman" w:hAnsi="Times New Roman" w:cs="Times New Roman"/>
                <w:noProof/>
                <w:sz w:val="20"/>
                <w:szCs w:val="20"/>
              </w:rPr>
              <w:t>i securit</w:t>
            </w:r>
            <w:r w:rsidR="00BA7827" w:rsidRPr="008C5F1C">
              <w:rPr>
                <w:rFonts w:ascii="Times New Roman" w:hAnsi="Times New Roman" w:cs="Times New Roman"/>
                <w:noProof/>
                <w:sz w:val="20"/>
                <w:szCs w:val="20"/>
              </w:rPr>
              <w:t>ă</w:t>
            </w:r>
            <w:r w:rsidR="00E22FF2" w:rsidRPr="008C5F1C">
              <w:rPr>
                <w:rFonts w:ascii="Times New Roman" w:hAnsi="Times New Roman" w:cs="Times New Roman"/>
                <w:noProof/>
                <w:sz w:val="20"/>
                <w:szCs w:val="20"/>
              </w:rPr>
              <w:t>ț</w:t>
            </w:r>
            <w:r w:rsidRPr="008C5F1C">
              <w:rPr>
                <w:rFonts w:ascii="Times New Roman" w:hAnsi="Times New Roman" w:cs="Times New Roman"/>
                <w:noProof/>
                <w:sz w:val="20"/>
                <w:szCs w:val="20"/>
              </w:rPr>
              <w:t>ii înafara  zonelor urbane</w:t>
            </w:r>
          </w:p>
        </w:tc>
      </w:tr>
      <w:tr w:rsidR="00653571" w:rsidRPr="008C5F1C" w14:paraId="6C71A850" w14:textId="77777777" w:rsidTr="00534127">
        <w:trPr>
          <w:trHeight w:val="161"/>
        </w:trPr>
        <w:tc>
          <w:tcPr>
            <w:tcW w:w="428" w:type="dxa"/>
            <w:shd w:val="clear" w:color="auto" w:fill="auto"/>
            <w:noWrap/>
          </w:tcPr>
          <w:p w14:paraId="22D02EF9" w14:textId="77777777" w:rsidR="00653571" w:rsidRPr="008C5F1C" w:rsidRDefault="00653571" w:rsidP="00534127">
            <w:pPr>
              <w:spacing w:after="0"/>
              <w:jc w:val="center"/>
              <w:rPr>
                <w:rFonts w:ascii="Times New Roman" w:hAnsi="Times New Roman" w:cs="Times New Roman"/>
                <w:noProof/>
                <w:sz w:val="20"/>
                <w:szCs w:val="20"/>
              </w:rPr>
            </w:pPr>
            <w:r w:rsidRPr="008C5F1C">
              <w:rPr>
                <w:rFonts w:ascii="Times New Roman" w:hAnsi="Times New Roman" w:cs="Times New Roman"/>
                <w:noProof/>
                <w:sz w:val="20"/>
                <w:szCs w:val="20"/>
              </w:rPr>
              <w:t>7</w:t>
            </w:r>
          </w:p>
        </w:tc>
        <w:tc>
          <w:tcPr>
            <w:tcW w:w="1302" w:type="dxa"/>
            <w:shd w:val="clear" w:color="auto" w:fill="auto"/>
            <w:noWrap/>
          </w:tcPr>
          <w:p w14:paraId="27A6C3AD" w14:textId="77777777" w:rsidR="00653571" w:rsidRPr="008C5F1C" w:rsidRDefault="00653571" w:rsidP="00534127">
            <w:pPr>
              <w:spacing w:after="0"/>
              <w:rPr>
                <w:rFonts w:ascii="Times New Roman" w:hAnsi="Times New Roman" w:cs="Times New Roman"/>
                <w:noProof/>
                <w:sz w:val="20"/>
                <w:szCs w:val="20"/>
              </w:rPr>
            </w:pPr>
            <w:r w:rsidRPr="008C5F1C">
              <w:rPr>
                <w:rFonts w:ascii="Times New Roman" w:hAnsi="Times New Roman" w:cs="Times New Roman"/>
                <w:noProof/>
                <w:sz w:val="20"/>
                <w:szCs w:val="20"/>
              </w:rPr>
              <w:t>Asisten</w:t>
            </w:r>
            <w:r w:rsidR="00E22FF2" w:rsidRPr="008C5F1C">
              <w:rPr>
                <w:rFonts w:ascii="Times New Roman" w:hAnsi="Times New Roman" w:cs="Times New Roman"/>
                <w:noProof/>
                <w:sz w:val="20"/>
                <w:szCs w:val="20"/>
              </w:rPr>
              <w:t>ț</w:t>
            </w:r>
            <w:r w:rsidR="00BA7827" w:rsidRPr="008C5F1C">
              <w:rPr>
                <w:rFonts w:ascii="Times New Roman" w:hAnsi="Times New Roman" w:cs="Times New Roman"/>
                <w:noProof/>
                <w:sz w:val="20"/>
                <w:szCs w:val="20"/>
              </w:rPr>
              <w:t>ă</w:t>
            </w:r>
            <w:r w:rsidRPr="008C5F1C">
              <w:rPr>
                <w:rFonts w:ascii="Times New Roman" w:hAnsi="Times New Roman" w:cs="Times New Roman"/>
                <w:noProof/>
                <w:sz w:val="20"/>
                <w:szCs w:val="20"/>
              </w:rPr>
              <w:t xml:space="preserve"> tehnic</w:t>
            </w:r>
            <w:r w:rsidR="00BA7827" w:rsidRPr="008C5F1C">
              <w:rPr>
                <w:rFonts w:ascii="Times New Roman" w:hAnsi="Times New Roman" w:cs="Times New Roman"/>
                <w:noProof/>
                <w:sz w:val="20"/>
                <w:szCs w:val="20"/>
              </w:rPr>
              <w:t>ă</w:t>
            </w:r>
          </w:p>
        </w:tc>
        <w:tc>
          <w:tcPr>
            <w:tcW w:w="528" w:type="dxa"/>
            <w:shd w:val="clear" w:color="auto" w:fill="auto"/>
            <w:noWrap/>
          </w:tcPr>
          <w:p w14:paraId="43AD86AF" w14:textId="77777777" w:rsidR="00653571" w:rsidRPr="008C5F1C" w:rsidRDefault="00653571" w:rsidP="00534127">
            <w:pPr>
              <w:spacing w:after="0"/>
              <w:jc w:val="center"/>
              <w:rPr>
                <w:rFonts w:ascii="Times New Roman" w:hAnsi="Times New Roman" w:cs="Times New Roman"/>
                <w:noProof/>
                <w:sz w:val="20"/>
                <w:szCs w:val="20"/>
              </w:rPr>
            </w:pPr>
            <w:r w:rsidRPr="008C5F1C">
              <w:rPr>
                <w:rFonts w:ascii="Times New Roman" w:hAnsi="Times New Roman" w:cs="Times New Roman"/>
                <w:noProof/>
                <w:sz w:val="20"/>
                <w:szCs w:val="20"/>
              </w:rPr>
              <w:t>Yes</w:t>
            </w:r>
          </w:p>
        </w:tc>
        <w:tc>
          <w:tcPr>
            <w:tcW w:w="1094" w:type="dxa"/>
            <w:shd w:val="clear" w:color="auto" w:fill="auto"/>
            <w:noWrap/>
          </w:tcPr>
          <w:p w14:paraId="7314C24F" w14:textId="77777777" w:rsidR="00653571" w:rsidRPr="008C5F1C" w:rsidRDefault="00653571" w:rsidP="00534127">
            <w:pPr>
              <w:spacing w:after="0"/>
              <w:jc w:val="center"/>
              <w:rPr>
                <w:rFonts w:ascii="Times New Roman" w:hAnsi="Times New Roman" w:cs="Times New Roman"/>
                <w:noProof/>
                <w:sz w:val="20"/>
                <w:szCs w:val="20"/>
              </w:rPr>
            </w:pPr>
          </w:p>
        </w:tc>
        <w:tc>
          <w:tcPr>
            <w:tcW w:w="900" w:type="dxa"/>
            <w:shd w:val="clear" w:color="auto" w:fill="auto"/>
            <w:noWrap/>
          </w:tcPr>
          <w:p w14:paraId="7E6F4FA0" w14:textId="77777777" w:rsidR="00653571" w:rsidRPr="008C5F1C" w:rsidRDefault="00653571" w:rsidP="00534127">
            <w:pPr>
              <w:spacing w:after="0"/>
              <w:jc w:val="center"/>
              <w:rPr>
                <w:rFonts w:ascii="Times New Roman" w:hAnsi="Times New Roman" w:cs="Times New Roman"/>
                <w:noProof/>
                <w:sz w:val="20"/>
                <w:szCs w:val="20"/>
              </w:rPr>
            </w:pPr>
            <w:r w:rsidRPr="008C5F1C">
              <w:rPr>
                <w:rFonts w:ascii="Times New Roman" w:hAnsi="Times New Roman" w:cs="Times New Roman"/>
                <w:noProof/>
                <w:sz w:val="20"/>
                <w:szCs w:val="20"/>
              </w:rPr>
              <w:t>ERDF</w:t>
            </w:r>
          </w:p>
        </w:tc>
        <w:tc>
          <w:tcPr>
            <w:tcW w:w="1350" w:type="dxa"/>
            <w:shd w:val="clear" w:color="auto" w:fill="auto"/>
            <w:noWrap/>
          </w:tcPr>
          <w:p w14:paraId="0F4EA1F1" w14:textId="77777777" w:rsidR="00653571" w:rsidRPr="008C5F1C" w:rsidRDefault="00653571" w:rsidP="00534127">
            <w:pPr>
              <w:spacing w:after="0"/>
              <w:jc w:val="center"/>
              <w:rPr>
                <w:rFonts w:ascii="Times New Roman" w:hAnsi="Times New Roman" w:cs="Times New Roman"/>
                <w:noProof/>
                <w:sz w:val="20"/>
                <w:szCs w:val="20"/>
              </w:rPr>
            </w:pPr>
            <w:r w:rsidRPr="008C5F1C">
              <w:rPr>
                <w:rFonts w:ascii="Times New Roman" w:hAnsi="Times New Roman" w:cs="Times New Roman"/>
                <w:noProof/>
                <w:sz w:val="20"/>
                <w:szCs w:val="20"/>
              </w:rPr>
              <w:t>Less developed</w:t>
            </w:r>
          </w:p>
        </w:tc>
        <w:tc>
          <w:tcPr>
            <w:tcW w:w="3924" w:type="dxa"/>
          </w:tcPr>
          <w:p w14:paraId="56A754EB" w14:textId="77777777" w:rsidR="00653571" w:rsidRPr="008C5F1C" w:rsidRDefault="00653571" w:rsidP="00534127">
            <w:pPr>
              <w:spacing w:after="0"/>
              <w:jc w:val="center"/>
              <w:rPr>
                <w:rFonts w:ascii="Times New Roman" w:hAnsi="Times New Roman" w:cs="Times New Roman"/>
                <w:noProof/>
                <w:sz w:val="20"/>
                <w:szCs w:val="20"/>
              </w:rPr>
            </w:pPr>
            <w:r w:rsidRPr="008C5F1C">
              <w:rPr>
                <w:rFonts w:ascii="Times New Roman" w:hAnsi="Times New Roman" w:cs="Times New Roman"/>
                <w:noProof/>
                <w:sz w:val="20"/>
                <w:szCs w:val="20"/>
              </w:rPr>
              <w:t>NA</w:t>
            </w:r>
          </w:p>
        </w:tc>
      </w:tr>
      <w:bookmarkEnd w:id="4"/>
    </w:tbl>
    <w:p w14:paraId="5F53094F" w14:textId="77777777" w:rsidR="00653571" w:rsidRPr="008C5F1C" w:rsidRDefault="00653571" w:rsidP="00653571">
      <w:pPr>
        <w:rPr>
          <w:rFonts w:ascii="Times New Roman" w:hAnsi="Times New Roman" w:cs="Times New Roman"/>
          <w:b/>
        </w:rPr>
      </w:pPr>
      <w:r w:rsidRPr="008C5F1C">
        <w:rPr>
          <w:rFonts w:ascii="Times New Roman" w:hAnsi="Times New Roman" w:cs="Times New Roman"/>
          <w:b/>
        </w:rPr>
        <w:br w:type="page"/>
      </w:r>
    </w:p>
    <w:p w14:paraId="0F990C78" w14:textId="77777777" w:rsidR="00653571" w:rsidRPr="008C5F1C" w:rsidRDefault="00653571" w:rsidP="00653571">
      <w:pPr>
        <w:pStyle w:val="Heading1"/>
        <w:numPr>
          <w:ilvl w:val="0"/>
          <w:numId w:val="0"/>
        </w:numPr>
        <w:ind w:left="851" w:hanging="851"/>
        <w:rPr>
          <w:rFonts w:cs="Times New Roman"/>
          <w:u w:val="single"/>
          <w:lang w:val="ro-RO"/>
        </w:rPr>
      </w:pPr>
      <w:bookmarkStart w:id="5" w:name="_Toc39840926"/>
      <w:r w:rsidRPr="008C5F1C">
        <w:rPr>
          <w:rFonts w:cs="Times New Roman"/>
          <w:lang w:val="ro-RO"/>
        </w:rPr>
        <w:lastRenderedPageBreak/>
        <w:t xml:space="preserve">2.A </w:t>
      </w:r>
      <w:proofErr w:type="spellStart"/>
      <w:r w:rsidRPr="008C5F1C">
        <w:rPr>
          <w:rFonts w:cs="Times New Roman"/>
          <w:lang w:val="ro-RO"/>
        </w:rPr>
        <w:t>Priorities</w:t>
      </w:r>
      <w:proofErr w:type="spellEnd"/>
      <w:r w:rsidRPr="008C5F1C">
        <w:rPr>
          <w:rFonts w:cs="Times New Roman"/>
          <w:lang w:val="ro-RO"/>
        </w:rPr>
        <w:t xml:space="preserve"> </w:t>
      </w:r>
      <w:proofErr w:type="spellStart"/>
      <w:r w:rsidRPr="008C5F1C">
        <w:rPr>
          <w:rFonts w:cs="Times New Roman"/>
          <w:lang w:val="ro-RO"/>
        </w:rPr>
        <w:t>other</w:t>
      </w:r>
      <w:proofErr w:type="spellEnd"/>
      <w:r w:rsidRPr="008C5F1C">
        <w:rPr>
          <w:rFonts w:cs="Times New Roman"/>
          <w:lang w:val="ro-RO"/>
        </w:rPr>
        <w:t xml:space="preserve"> </w:t>
      </w:r>
      <w:proofErr w:type="spellStart"/>
      <w:r w:rsidRPr="008C5F1C">
        <w:rPr>
          <w:rFonts w:cs="Times New Roman"/>
          <w:lang w:val="ro-RO"/>
        </w:rPr>
        <w:t>than</w:t>
      </w:r>
      <w:proofErr w:type="spellEnd"/>
      <w:r w:rsidRPr="008C5F1C">
        <w:rPr>
          <w:rFonts w:cs="Times New Roman"/>
          <w:lang w:val="ro-RO"/>
        </w:rPr>
        <w:t xml:space="preserve"> </w:t>
      </w:r>
      <w:proofErr w:type="spellStart"/>
      <w:r w:rsidRPr="008C5F1C">
        <w:rPr>
          <w:rFonts w:cs="Times New Roman"/>
          <w:lang w:val="ro-RO"/>
        </w:rPr>
        <w:t>technical</w:t>
      </w:r>
      <w:proofErr w:type="spellEnd"/>
      <w:r w:rsidRPr="008C5F1C">
        <w:rPr>
          <w:rFonts w:cs="Times New Roman"/>
          <w:lang w:val="ro-RO"/>
        </w:rPr>
        <w:t xml:space="preserve"> </w:t>
      </w:r>
      <w:proofErr w:type="spellStart"/>
      <w:r w:rsidRPr="008C5F1C">
        <w:rPr>
          <w:rFonts w:cs="Times New Roman"/>
          <w:lang w:val="ro-RO"/>
        </w:rPr>
        <w:t>assistance</w:t>
      </w:r>
      <w:bookmarkEnd w:id="5"/>
      <w:proofErr w:type="spellEnd"/>
    </w:p>
    <w:p w14:paraId="7D80193A" w14:textId="77777777" w:rsidR="00653571" w:rsidRPr="008C5F1C" w:rsidRDefault="00653571" w:rsidP="00653571">
      <w:pPr>
        <w:pStyle w:val="Heading2"/>
        <w:numPr>
          <w:ilvl w:val="0"/>
          <w:numId w:val="0"/>
        </w:numPr>
        <w:ind w:left="851" w:hanging="851"/>
        <w:rPr>
          <w:rFonts w:cs="Times New Roman"/>
          <w:lang w:val="ro-RO"/>
        </w:rPr>
      </w:pPr>
      <w:bookmarkStart w:id="6" w:name="_Toc39840927"/>
      <w:r w:rsidRPr="008C5F1C">
        <w:rPr>
          <w:rFonts w:cs="Times New Roman"/>
          <w:lang w:val="ro-RO"/>
        </w:rPr>
        <w:t>2.A.1 Prioritatea 1. O regiune competitiv</w:t>
      </w:r>
      <w:r w:rsidR="00BA7827" w:rsidRPr="008C5F1C">
        <w:rPr>
          <w:rFonts w:cs="Times New Roman"/>
          <w:lang w:val="ro-RO"/>
        </w:rPr>
        <w:t>ă</w:t>
      </w:r>
      <w:r w:rsidRPr="008C5F1C">
        <w:rPr>
          <w:rFonts w:cs="Times New Roman"/>
          <w:lang w:val="ro-RO"/>
        </w:rPr>
        <w:t xml:space="preserve"> prin inovare, digitalizare </w:t>
      </w:r>
      <w:r w:rsidR="00106240" w:rsidRPr="008C5F1C">
        <w:rPr>
          <w:rFonts w:cs="Times New Roman"/>
          <w:lang w:val="ro-RO"/>
        </w:rPr>
        <w:t>ș</w:t>
      </w:r>
      <w:r w:rsidRPr="008C5F1C">
        <w:rPr>
          <w:rFonts w:cs="Times New Roman"/>
          <w:lang w:val="ro-RO"/>
        </w:rPr>
        <w:t>i întreprinderi dinamice</w:t>
      </w:r>
      <w:bookmarkEnd w:id="6"/>
    </w:p>
    <w:p w14:paraId="3654CAC5" w14:textId="77777777" w:rsidR="00653571" w:rsidRPr="008C5F1C" w:rsidRDefault="00653571" w:rsidP="00653571">
      <w:pPr>
        <w:rPr>
          <w:rFonts w:ascii="Times New Roman" w:hAnsi="Times New Roman" w:cs="Times New Roman"/>
          <w:i/>
          <w:iCs/>
        </w:rPr>
      </w:pPr>
      <w:proofErr w:type="spellStart"/>
      <w:r w:rsidRPr="008C5F1C">
        <w:rPr>
          <w:rFonts w:ascii="Times New Roman" w:hAnsi="Times New Roman" w:cs="Times New Roman"/>
          <w:i/>
          <w:iCs/>
        </w:rPr>
        <w:t>Reference</w:t>
      </w:r>
      <w:proofErr w:type="spellEnd"/>
      <w:r w:rsidRPr="008C5F1C">
        <w:rPr>
          <w:rFonts w:ascii="Times New Roman" w:hAnsi="Times New Roman" w:cs="Times New Roman"/>
          <w:i/>
          <w:iCs/>
        </w:rPr>
        <w:t xml:space="preserve">: </w:t>
      </w:r>
      <w:proofErr w:type="spellStart"/>
      <w:r w:rsidRPr="008C5F1C">
        <w:rPr>
          <w:rFonts w:ascii="Times New Roman" w:hAnsi="Times New Roman" w:cs="Times New Roman"/>
          <w:i/>
          <w:iCs/>
        </w:rPr>
        <w:t>Article</w:t>
      </w:r>
      <w:proofErr w:type="spellEnd"/>
      <w:r w:rsidRPr="008C5F1C">
        <w:rPr>
          <w:rFonts w:ascii="Times New Roman" w:hAnsi="Times New Roman" w:cs="Times New Roman"/>
          <w:i/>
          <w:iCs/>
        </w:rPr>
        <w:t xml:space="preserve"> 4(1), 10 </w:t>
      </w:r>
      <w:proofErr w:type="spellStart"/>
      <w:r w:rsidRPr="008C5F1C">
        <w:rPr>
          <w:rFonts w:ascii="Times New Roman" w:hAnsi="Times New Roman" w:cs="Times New Roman"/>
          <w:i/>
          <w:iCs/>
        </w:rPr>
        <w:t>and</w:t>
      </w:r>
      <w:proofErr w:type="spellEnd"/>
      <w:r w:rsidRPr="008C5F1C">
        <w:rPr>
          <w:rFonts w:ascii="Times New Roman" w:hAnsi="Times New Roman" w:cs="Times New Roman"/>
          <w:i/>
          <w:iCs/>
        </w:rPr>
        <w:t xml:space="preserve"> 13 ESF+</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53571" w:rsidRPr="008C5F1C" w14:paraId="39839925" w14:textId="77777777" w:rsidTr="00534127">
        <w:tc>
          <w:tcPr>
            <w:tcW w:w="9322" w:type="dxa"/>
            <w:tcBorders>
              <w:top w:val="single" w:sz="4" w:space="0" w:color="auto"/>
              <w:left w:val="single" w:sz="4" w:space="0" w:color="auto"/>
              <w:bottom w:val="single" w:sz="4" w:space="0" w:color="auto"/>
              <w:right w:val="single" w:sz="4" w:space="0" w:color="auto"/>
            </w:tcBorders>
            <w:hideMark/>
          </w:tcPr>
          <w:p w14:paraId="6DF3B56A" w14:textId="77777777" w:rsidR="00653571" w:rsidRPr="008C5F1C" w:rsidRDefault="00653571" w:rsidP="00534127">
            <w:pPr>
              <w:rPr>
                <w:rFonts w:ascii="Times New Roman" w:hAnsi="Times New Roman" w:cs="Times New Roman"/>
              </w:rPr>
            </w:pPr>
            <w:r w:rsidRPr="008C5F1C">
              <w:rPr>
                <w:rFonts w:ascii="Times New Roman" w:hAnsi="Times New Roman" w:cs="Times New Roman"/>
              </w:rPr>
              <w:fldChar w:fldCharType="begin">
                <w:ffData>
                  <w:name w:val="Check2"/>
                  <w:enabled/>
                  <w:calcOnExit w:val="0"/>
                  <w:checkBox>
                    <w:sizeAuto/>
                    <w:default w:val="0"/>
                  </w:checkBox>
                </w:ffData>
              </w:fldChar>
            </w:r>
            <w:r w:rsidRPr="008C5F1C">
              <w:rPr>
                <w:rFonts w:ascii="Times New Roman" w:hAnsi="Times New Roman" w:cs="Times New Roman"/>
              </w:rPr>
              <w:instrText xml:space="preserve"> FORMCHECKBOX </w:instrText>
            </w:r>
            <w:r w:rsidR="00AD12F7">
              <w:rPr>
                <w:rFonts w:ascii="Times New Roman" w:hAnsi="Times New Roman" w:cs="Times New Roman"/>
              </w:rPr>
            </w:r>
            <w:r w:rsidR="00AD12F7">
              <w:rPr>
                <w:rFonts w:ascii="Times New Roman" w:hAnsi="Times New Roman" w:cs="Times New Roman"/>
              </w:rPr>
              <w:fldChar w:fldCharType="separate"/>
            </w:r>
            <w:r w:rsidRPr="008C5F1C">
              <w:rPr>
                <w:rFonts w:ascii="Times New Roman" w:hAnsi="Times New Roman" w:cs="Times New Roman"/>
              </w:rPr>
              <w:fldChar w:fldCharType="end"/>
            </w:r>
            <w:r w:rsidRPr="008C5F1C">
              <w:rPr>
                <w:rFonts w:ascii="Times New Roman" w:hAnsi="Times New Roman" w:cs="Times New Roman"/>
              </w:rPr>
              <w:t xml:space="preserve"> </w:t>
            </w:r>
            <w:proofErr w:type="spellStart"/>
            <w:r w:rsidRPr="008C5F1C">
              <w:rPr>
                <w:rFonts w:ascii="Times New Roman" w:hAnsi="Times New Roman" w:cs="Times New Roman"/>
              </w:rPr>
              <w:t>This</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is</w:t>
            </w:r>
            <w:proofErr w:type="spellEnd"/>
            <w:r w:rsidRPr="008C5F1C">
              <w:rPr>
                <w:rFonts w:ascii="Times New Roman" w:hAnsi="Times New Roman" w:cs="Times New Roman"/>
              </w:rPr>
              <w:t xml:space="preserve"> a </w:t>
            </w:r>
            <w:proofErr w:type="spellStart"/>
            <w:r w:rsidRPr="008C5F1C">
              <w:rPr>
                <w:rFonts w:ascii="Times New Roman" w:hAnsi="Times New Roman" w:cs="Times New Roman"/>
              </w:rPr>
              <w:t>priority</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dedicated</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to</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youth</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employment</w:t>
            </w:r>
            <w:proofErr w:type="spellEnd"/>
          </w:p>
        </w:tc>
      </w:tr>
      <w:tr w:rsidR="00653571" w:rsidRPr="008C5F1C" w14:paraId="2414E1EF" w14:textId="77777777" w:rsidTr="00534127">
        <w:tc>
          <w:tcPr>
            <w:tcW w:w="9322" w:type="dxa"/>
            <w:tcBorders>
              <w:top w:val="single" w:sz="4" w:space="0" w:color="auto"/>
              <w:left w:val="single" w:sz="4" w:space="0" w:color="auto"/>
              <w:bottom w:val="single" w:sz="4" w:space="0" w:color="auto"/>
              <w:right w:val="single" w:sz="4" w:space="0" w:color="auto"/>
            </w:tcBorders>
            <w:hideMark/>
          </w:tcPr>
          <w:p w14:paraId="0897012D" w14:textId="77777777" w:rsidR="00653571" w:rsidRPr="008C5F1C" w:rsidRDefault="00653571" w:rsidP="00534127">
            <w:pPr>
              <w:rPr>
                <w:rFonts w:ascii="Times New Roman" w:hAnsi="Times New Roman" w:cs="Times New Roman"/>
              </w:rPr>
            </w:pPr>
            <w:r w:rsidRPr="008C5F1C">
              <w:rPr>
                <w:rFonts w:ascii="Times New Roman" w:hAnsi="Times New Roman" w:cs="Times New Roman"/>
              </w:rPr>
              <w:fldChar w:fldCharType="begin">
                <w:ffData>
                  <w:name w:val="Check2"/>
                  <w:enabled/>
                  <w:calcOnExit w:val="0"/>
                  <w:checkBox>
                    <w:sizeAuto/>
                    <w:default w:val="0"/>
                  </w:checkBox>
                </w:ffData>
              </w:fldChar>
            </w:r>
            <w:r w:rsidRPr="008C5F1C">
              <w:rPr>
                <w:rFonts w:ascii="Times New Roman" w:hAnsi="Times New Roman" w:cs="Times New Roman"/>
              </w:rPr>
              <w:instrText xml:space="preserve"> FORMCHECKBOX </w:instrText>
            </w:r>
            <w:r w:rsidR="00AD12F7">
              <w:rPr>
                <w:rFonts w:ascii="Times New Roman" w:hAnsi="Times New Roman" w:cs="Times New Roman"/>
              </w:rPr>
            </w:r>
            <w:r w:rsidR="00AD12F7">
              <w:rPr>
                <w:rFonts w:ascii="Times New Roman" w:hAnsi="Times New Roman" w:cs="Times New Roman"/>
              </w:rPr>
              <w:fldChar w:fldCharType="separate"/>
            </w:r>
            <w:r w:rsidRPr="008C5F1C">
              <w:rPr>
                <w:rFonts w:ascii="Times New Roman" w:hAnsi="Times New Roman" w:cs="Times New Roman"/>
              </w:rPr>
              <w:fldChar w:fldCharType="end"/>
            </w:r>
            <w:r w:rsidRPr="008C5F1C">
              <w:rPr>
                <w:rFonts w:ascii="Times New Roman" w:hAnsi="Times New Roman" w:cs="Times New Roman"/>
              </w:rPr>
              <w:t xml:space="preserve"> </w:t>
            </w:r>
            <w:proofErr w:type="spellStart"/>
            <w:r w:rsidRPr="008C5F1C">
              <w:rPr>
                <w:rFonts w:ascii="Times New Roman" w:hAnsi="Times New Roman" w:cs="Times New Roman"/>
              </w:rPr>
              <w:t>This</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is</w:t>
            </w:r>
            <w:proofErr w:type="spellEnd"/>
            <w:r w:rsidRPr="008C5F1C">
              <w:rPr>
                <w:rFonts w:ascii="Times New Roman" w:hAnsi="Times New Roman" w:cs="Times New Roman"/>
              </w:rPr>
              <w:t xml:space="preserve"> a </w:t>
            </w:r>
            <w:proofErr w:type="spellStart"/>
            <w:r w:rsidRPr="008C5F1C">
              <w:rPr>
                <w:rFonts w:ascii="Times New Roman" w:hAnsi="Times New Roman" w:cs="Times New Roman"/>
              </w:rPr>
              <w:t>priority</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dedicated</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to</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innovative</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actions</w:t>
            </w:r>
            <w:proofErr w:type="spellEnd"/>
          </w:p>
        </w:tc>
      </w:tr>
      <w:tr w:rsidR="00653571" w:rsidRPr="008C5F1C" w14:paraId="4D6D31A9" w14:textId="77777777" w:rsidTr="00534127">
        <w:tc>
          <w:tcPr>
            <w:tcW w:w="9322" w:type="dxa"/>
            <w:tcBorders>
              <w:top w:val="single" w:sz="4" w:space="0" w:color="auto"/>
              <w:left w:val="single" w:sz="4" w:space="0" w:color="auto"/>
              <w:bottom w:val="single" w:sz="4" w:space="0" w:color="auto"/>
              <w:right w:val="single" w:sz="4" w:space="0" w:color="auto"/>
            </w:tcBorders>
            <w:hideMark/>
          </w:tcPr>
          <w:p w14:paraId="502C4558" w14:textId="77777777" w:rsidR="00653571" w:rsidRPr="008C5F1C" w:rsidRDefault="00653571" w:rsidP="00B3273B">
            <w:pPr>
              <w:spacing w:after="0"/>
              <w:rPr>
                <w:rFonts w:ascii="Times New Roman" w:hAnsi="Times New Roman" w:cs="Times New Roman"/>
              </w:rPr>
            </w:pPr>
            <w:r w:rsidRPr="008C5F1C">
              <w:rPr>
                <w:rFonts w:ascii="Times New Roman" w:hAnsi="Times New Roman" w:cs="Times New Roman"/>
              </w:rPr>
              <w:fldChar w:fldCharType="begin">
                <w:ffData>
                  <w:name w:val="Check2"/>
                  <w:enabled/>
                  <w:calcOnExit w:val="0"/>
                  <w:checkBox>
                    <w:sizeAuto/>
                    <w:default w:val="0"/>
                  </w:checkBox>
                </w:ffData>
              </w:fldChar>
            </w:r>
            <w:r w:rsidRPr="008C5F1C">
              <w:rPr>
                <w:rFonts w:ascii="Times New Roman" w:hAnsi="Times New Roman" w:cs="Times New Roman"/>
              </w:rPr>
              <w:instrText xml:space="preserve"> FORMCHECKBOX </w:instrText>
            </w:r>
            <w:r w:rsidR="00AD12F7">
              <w:rPr>
                <w:rFonts w:ascii="Times New Roman" w:hAnsi="Times New Roman" w:cs="Times New Roman"/>
              </w:rPr>
            </w:r>
            <w:r w:rsidR="00AD12F7">
              <w:rPr>
                <w:rFonts w:ascii="Times New Roman" w:hAnsi="Times New Roman" w:cs="Times New Roman"/>
              </w:rPr>
              <w:fldChar w:fldCharType="separate"/>
            </w:r>
            <w:r w:rsidRPr="008C5F1C">
              <w:rPr>
                <w:rFonts w:ascii="Times New Roman" w:hAnsi="Times New Roman" w:cs="Times New Roman"/>
              </w:rPr>
              <w:fldChar w:fldCharType="end"/>
            </w:r>
            <w:r w:rsidRPr="008C5F1C">
              <w:rPr>
                <w:rFonts w:ascii="Times New Roman" w:hAnsi="Times New Roman" w:cs="Times New Roman"/>
              </w:rPr>
              <w:t xml:space="preserve"> </w:t>
            </w:r>
            <w:proofErr w:type="spellStart"/>
            <w:r w:rsidRPr="008C5F1C">
              <w:rPr>
                <w:rFonts w:ascii="Times New Roman" w:hAnsi="Times New Roman" w:cs="Times New Roman"/>
              </w:rPr>
              <w:t>This</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is</w:t>
            </w:r>
            <w:proofErr w:type="spellEnd"/>
            <w:r w:rsidRPr="008C5F1C">
              <w:rPr>
                <w:rFonts w:ascii="Times New Roman" w:hAnsi="Times New Roman" w:cs="Times New Roman"/>
              </w:rPr>
              <w:t xml:space="preserve"> a </w:t>
            </w:r>
            <w:proofErr w:type="spellStart"/>
            <w:r w:rsidRPr="008C5F1C">
              <w:rPr>
                <w:rFonts w:ascii="Times New Roman" w:hAnsi="Times New Roman" w:cs="Times New Roman"/>
              </w:rPr>
              <w:t>priority</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dedicated</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to</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support</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to</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the</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most</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deprived</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under</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the</w:t>
            </w:r>
            <w:proofErr w:type="spellEnd"/>
            <w:r w:rsidRPr="008C5F1C">
              <w:rPr>
                <w:rFonts w:ascii="Times New Roman" w:hAnsi="Times New Roman" w:cs="Times New Roman"/>
              </w:rPr>
              <w:t xml:space="preserve"> specific </w:t>
            </w:r>
            <w:proofErr w:type="spellStart"/>
            <w:r w:rsidRPr="008C5F1C">
              <w:rPr>
                <w:rFonts w:ascii="Times New Roman" w:hAnsi="Times New Roman" w:cs="Times New Roman"/>
              </w:rPr>
              <w:t>objective</w:t>
            </w:r>
            <w:proofErr w:type="spellEnd"/>
            <w:r w:rsidRPr="008C5F1C">
              <w:rPr>
                <w:rFonts w:ascii="Times New Roman" w:hAnsi="Times New Roman" w:cs="Times New Roman"/>
              </w:rPr>
              <w:t xml:space="preserve"> set out in </w:t>
            </w:r>
            <w:proofErr w:type="spellStart"/>
            <w:r w:rsidRPr="008C5F1C">
              <w:rPr>
                <w:rFonts w:ascii="Times New Roman" w:hAnsi="Times New Roman" w:cs="Times New Roman"/>
              </w:rPr>
              <w:t>point</w:t>
            </w:r>
            <w:proofErr w:type="spellEnd"/>
            <w:r w:rsidRPr="008C5F1C">
              <w:rPr>
                <w:rFonts w:ascii="Times New Roman" w:hAnsi="Times New Roman" w:cs="Times New Roman"/>
              </w:rPr>
              <w:t xml:space="preserve"> (xi) of </w:t>
            </w:r>
            <w:proofErr w:type="spellStart"/>
            <w:r w:rsidRPr="008C5F1C">
              <w:rPr>
                <w:rFonts w:ascii="Times New Roman" w:hAnsi="Times New Roman" w:cs="Times New Roman"/>
              </w:rPr>
              <w:t>Art</w:t>
            </w:r>
            <w:r w:rsidRPr="008C5F1C">
              <w:rPr>
                <w:rFonts w:ascii="Times New Roman" w:hAnsi="Times New Roman" w:cs="Times New Roman"/>
                <w:bCs/>
              </w:rPr>
              <w:t>i</w:t>
            </w:r>
            <w:r w:rsidRPr="008C5F1C">
              <w:rPr>
                <w:rFonts w:ascii="Times New Roman" w:hAnsi="Times New Roman" w:cs="Times New Roman"/>
              </w:rPr>
              <w:t>cle</w:t>
            </w:r>
            <w:proofErr w:type="spellEnd"/>
            <w:r w:rsidRPr="008C5F1C">
              <w:rPr>
                <w:rFonts w:ascii="Times New Roman" w:hAnsi="Times New Roman" w:cs="Times New Roman"/>
              </w:rPr>
              <w:t xml:space="preserve"> 4(1) of </w:t>
            </w:r>
            <w:proofErr w:type="spellStart"/>
            <w:r w:rsidRPr="008C5F1C">
              <w:rPr>
                <w:rFonts w:ascii="Times New Roman" w:hAnsi="Times New Roman" w:cs="Times New Roman"/>
              </w:rPr>
              <w:t>the</w:t>
            </w:r>
            <w:proofErr w:type="spellEnd"/>
            <w:r w:rsidRPr="008C5F1C">
              <w:rPr>
                <w:rFonts w:ascii="Times New Roman" w:hAnsi="Times New Roman" w:cs="Times New Roman"/>
              </w:rPr>
              <w:t xml:space="preserve"> ESF+ </w:t>
            </w:r>
            <w:proofErr w:type="spellStart"/>
            <w:r w:rsidRPr="008C5F1C">
              <w:rPr>
                <w:rFonts w:ascii="Times New Roman" w:hAnsi="Times New Roman" w:cs="Times New Roman"/>
              </w:rPr>
              <w:t>regulation</w:t>
            </w:r>
            <w:proofErr w:type="spellEnd"/>
            <w:r w:rsidRPr="008C5F1C">
              <w:rPr>
                <w:rFonts w:ascii="Times New Roman" w:hAnsi="Times New Roman" w:cs="Times New Roman"/>
              </w:rPr>
              <w:t>**</w:t>
            </w:r>
          </w:p>
        </w:tc>
      </w:tr>
      <w:tr w:rsidR="00653571" w:rsidRPr="008C5F1C" w14:paraId="1A9E950E" w14:textId="77777777" w:rsidTr="00B3273B">
        <w:trPr>
          <w:trHeight w:val="160"/>
        </w:trPr>
        <w:tc>
          <w:tcPr>
            <w:tcW w:w="9322" w:type="dxa"/>
            <w:tcBorders>
              <w:top w:val="single" w:sz="4" w:space="0" w:color="auto"/>
              <w:left w:val="single" w:sz="4" w:space="0" w:color="auto"/>
              <w:bottom w:val="single" w:sz="4" w:space="0" w:color="auto"/>
              <w:right w:val="single" w:sz="4" w:space="0" w:color="auto"/>
            </w:tcBorders>
            <w:hideMark/>
          </w:tcPr>
          <w:p w14:paraId="7117016D" w14:textId="77777777" w:rsidR="00653571" w:rsidRPr="008C5F1C" w:rsidRDefault="00653571" w:rsidP="00534127">
            <w:pPr>
              <w:rPr>
                <w:rFonts w:ascii="Times New Roman" w:hAnsi="Times New Roman" w:cs="Times New Roman"/>
              </w:rPr>
            </w:pPr>
            <w:r w:rsidRPr="008C5F1C">
              <w:rPr>
                <w:rFonts w:ascii="Times New Roman" w:hAnsi="Times New Roman" w:cs="Times New Roman"/>
              </w:rPr>
              <w:fldChar w:fldCharType="begin">
                <w:ffData>
                  <w:name w:val="Check2"/>
                  <w:enabled/>
                  <w:calcOnExit w:val="0"/>
                  <w:checkBox>
                    <w:sizeAuto/>
                    <w:default w:val="0"/>
                  </w:checkBox>
                </w:ffData>
              </w:fldChar>
            </w:r>
            <w:r w:rsidRPr="008C5F1C">
              <w:rPr>
                <w:rFonts w:ascii="Times New Roman" w:hAnsi="Times New Roman" w:cs="Times New Roman"/>
              </w:rPr>
              <w:instrText xml:space="preserve"> FORMCHECKBOX </w:instrText>
            </w:r>
            <w:r w:rsidR="00AD12F7">
              <w:rPr>
                <w:rFonts w:ascii="Times New Roman" w:hAnsi="Times New Roman" w:cs="Times New Roman"/>
              </w:rPr>
            </w:r>
            <w:r w:rsidR="00AD12F7">
              <w:rPr>
                <w:rFonts w:ascii="Times New Roman" w:hAnsi="Times New Roman" w:cs="Times New Roman"/>
              </w:rPr>
              <w:fldChar w:fldCharType="separate"/>
            </w:r>
            <w:r w:rsidRPr="008C5F1C">
              <w:rPr>
                <w:rFonts w:ascii="Times New Roman" w:hAnsi="Times New Roman" w:cs="Times New Roman"/>
              </w:rPr>
              <w:fldChar w:fldCharType="end"/>
            </w:r>
            <w:proofErr w:type="spellStart"/>
            <w:r w:rsidRPr="008C5F1C">
              <w:rPr>
                <w:rFonts w:ascii="Times New Roman" w:hAnsi="Times New Roman" w:cs="Times New Roman"/>
              </w:rPr>
              <w:t>This</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is</w:t>
            </w:r>
            <w:proofErr w:type="spellEnd"/>
            <w:r w:rsidRPr="008C5F1C">
              <w:rPr>
                <w:rFonts w:ascii="Times New Roman" w:hAnsi="Times New Roman" w:cs="Times New Roman"/>
              </w:rPr>
              <w:t xml:space="preserve"> a </w:t>
            </w:r>
            <w:proofErr w:type="spellStart"/>
            <w:r w:rsidRPr="008C5F1C">
              <w:rPr>
                <w:rFonts w:ascii="Times New Roman" w:hAnsi="Times New Roman" w:cs="Times New Roman"/>
              </w:rPr>
              <w:t>priority</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dedicated</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to</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support</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to</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the</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most</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deprived</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under</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the</w:t>
            </w:r>
            <w:proofErr w:type="spellEnd"/>
            <w:r w:rsidRPr="008C5F1C">
              <w:rPr>
                <w:rFonts w:ascii="Times New Roman" w:hAnsi="Times New Roman" w:cs="Times New Roman"/>
              </w:rPr>
              <w:t xml:space="preserve"> specific </w:t>
            </w:r>
            <w:proofErr w:type="spellStart"/>
            <w:r w:rsidRPr="008C5F1C">
              <w:rPr>
                <w:rFonts w:ascii="Times New Roman" w:hAnsi="Times New Roman" w:cs="Times New Roman"/>
              </w:rPr>
              <w:t>objective</w:t>
            </w:r>
            <w:proofErr w:type="spellEnd"/>
            <w:r w:rsidRPr="008C5F1C">
              <w:rPr>
                <w:rFonts w:ascii="Times New Roman" w:hAnsi="Times New Roman" w:cs="Times New Roman"/>
              </w:rPr>
              <w:t xml:space="preserve"> set out in </w:t>
            </w:r>
            <w:proofErr w:type="spellStart"/>
            <w:r w:rsidRPr="008C5F1C">
              <w:rPr>
                <w:rFonts w:ascii="Times New Roman" w:hAnsi="Times New Roman" w:cs="Times New Roman"/>
              </w:rPr>
              <w:t>point</w:t>
            </w:r>
            <w:proofErr w:type="spellEnd"/>
            <w:r w:rsidRPr="008C5F1C">
              <w:rPr>
                <w:rFonts w:ascii="Times New Roman" w:hAnsi="Times New Roman" w:cs="Times New Roman"/>
              </w:rPr>
              <w:t xml:space="preserve"> (x) of </w:t>
            </w:r>
            <w:proofErr w:type="spellStart"/>
            <w:r w:rsidRPr="008C5F1C">
              <w:rPr>
                <w:rFonts w:ascii="Times New Roman" w:hAnsi="Times New Roman" w:cs="Times New Roman"/>
              </w:rPr>
              <w:t>Art</w:t>
            </w:r>
            <w:r w:rsidRPr="008C5F1C">
              <w:rPr>
                <w:rFonts w:ascii="Times New Roman" w:hAnsi="Times New Roman" w:cs="Times New Roman"/>
                <w:bCs/>
              </w:rPr>
              <w:t>i</w:t>
            </w:r>
            <w:r w:rsidRPr="008C5F1C">
              <w:rPr>
                <w:rFonts w:ascii="Times New Roman" w:hAnsi="Times New Roman" w:cs="Times New Roman"/>
              </w:rPr>
              <w:t>cle</w:t>
            </w:r>
            <w:proofErr w:type="spellEnd"/>
            <w:r w:rsidRPr="008C5F1C">
              <w:rPr>
                <w:rFonts w:ascii="Times New Roman" w:hAnsi="Times New Roman" w:cs="Times New Roman"/>
              </w:rPr>
              <w:t xml:space="preserve"> 4(1) of </w:t>
            </w:r>
            <w:proofErr w:type="spellStart"/>
            <w:r w:rsidRPr="008C5F1C">
              <w:rPr>
                <w:rFonts w:ascii="Times New Roman" w:hAnsi="Times New Roman" w:cs="Times New Roman"/>
              </w:rPr>
              <w:t>the</w:t>
            </w:r>
            <w:proofErr w:type="spellEnd"/>
            <w:r w:rsidRPr="008C5F1C">
              <w:rPr>
                <w:rFonts w:ascii="Times New Roman" w:hAnsi="Times New Roman" w:cs="Times New Roman"/>
              </w:rPr>
              <w:t xml:space="preserve"> ESF+ </w:t>
            </w:r>
            <w:proofErr w:type="spellStart"/>
            <w:r w:rsidRPr="008C5F1C">
              <w:rPr>
                <w:rFonts w:ascii="Times New Roman" w:hAnsi="Times New Roman" w:cs="Times New Roman"/>
              </w:rPr>
              <w:t>regulation</w:t>
            </w:r>
            <w:proofErr w:type="spellEnd"/>
            <w:r w:rsidRPr="008C5F1C">
              <w:rPr>
                <w:rFonts w:ascii="Times New Roman" w:hAnsi="Times New Roman" w:cs="Times New Roman"/>
                <w:b/>
                <w:vertAlign w:val="superscript"/>
              </w:rPr>
              <w:footnoteReference w:id="32"/>
            </w:r>
          </w:p>
        </w:tc>
      </w:tr>
    </w:tbl>
    <w:p w14:paraId="50C907A3" w14:textId="77777777" w:rsidR="00653571" w:rsidRPr="008C5F1C" w:rsidRDefault="00653571" w:rsidP="00B3273B">
      <w:pPr>
        <w:spacing w:after="0" w:line="240" w:lineRule="auto"/>
        <w:rPr>
          <w:rFonts w:ascii="Times New Roman" w:hAnsi="Times New Roman" w:cs="Times New Roman"/>
          <w:i/>
        </w:rPr>
      </w:pPr>
      <w:r w:rsidRPr="008C5F1C">
        <w:rPr>
          <w:rFonts w:ascii="Times New Roman" w:hAnsi="Times New Roman" w:cs="Times New Roman"/>
          <w:i/>
        </w:rPr>
        <w:t xml:space="preserve">* </w:t>
      </w:r>
      <w:proofErr w:type="spellStart"/>
      <w:r w:rsidRPr="008C5F1C">
        <w:rPr>
          <w:rFonts w:ascii="Times New Roman" w:hAnsi="Times New Roman" w:cs="Times New Roman"/>
          <w:i/>
        </w:rPr>
        <w:t>Ticking</w:t>
      </w:r>
      <w:proofErr w:type="spellEnd"/>
      <w:r w:rsidRPr="008C5F1C">
        <w:rPr>
          <w:rFonts w:ascii="Times New Roman" w:hAnsi="Times New Roman" w:cs="Times New Roman"/>
          <w:i/>
        </w:rPr>
        <w:t xml:space="preserve"> box </w:t>
      </w:r>
      <w:proofErr w:type="spellStart"/>
      <w:r w:rsidRPr="008C5F1C">
        <w:rPr>
          <w:rFonts w:ascii="Times New Roman" w:hAnsi="Times New Roman" w:cs="Times New Roman"/>
          <w:i/>
        </w:rPr>
        <w:t>applicable</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to</w:t>
      </w:r>
      <w:proofErr w:type="spellEnd"/>
      <w:r w:rsidRPr="008C5F1C">
        <w:rPr>
          <w:rFonts w:ascii="Times New Roman" w:hAnsi="Times New Roman" w:cs="Times New Roman"/>
          <w:i/>
        </w:rPr>
        <w:t xml:space="preserve"> ESF+ </w:t>
      </w:r>
      <w:proofErr w:type="spellStart"/>
      <w:r w:rsidRPr="008C5F1C">
        <w:rPr>
          <w:rFonts w:ascii="Times New Roman" w:hAnsi="Times New Roman" w:cs="Times New Roman"/>
          <w:i/>
        </w:rPr>
        <w:t>priorities</w:t>
      </w:r>
      <w:proofErr w:type="spellEnd"/>
      <w:r w:rsidRPr="008C5F1C">
        <w:rPr>
          <w:rFonts w:ascii="Times New Roman" w:hAnsi="Times New Roman" w:cs="Times New Roman"/>
          <w:i/>
        </w:rPr>
        <w:t xml:space="preserve">. In case of EMFF, </w:t>
      </w:r>
      <w:proofErr w:type="spellStart"/>
      <w:r w:rsidRPr="008C5F1C">
        <w:rPr>
          <w:rFonts w:ascii="Times New Roman" w:hAnsi="Times New Roman" w:cs="Times New Roman"/>
          <w:i/>
        </w:rPr>
        <w:t>title</w:t>
      </w:r>
      <w:proofErr w:type="spellEnd"/>
      <w:r w:rsidRPr="008C5F1C">
        <w:rPr>
          <w:rFonts w:ascii="Times New Roman" w:hAnsi="Times New Roman" w:cs="Times New Roman"/>
          <w:i/>
        </w:rPr>
        <w:t xml:space="preserve"> of </w:t>
      </w:r>
      <w:proofErr w:type="spellStart"/>
      <w:r w:rsidRPr="008C5F1C">
        <w:rPr>
          <w:rFonts w:ascii="Times New Roman" w:hAnsi="Times New Roman" w:cs="Times New Roman"/>
          <w:i/>
        </w:rPr>
        <w:t>the</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priority</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is</w:t>
      </w:r>
      <w:proofErr w:type="spellEnd"/>
      <w:r w:rsidRPr="008C5F1C">
        <w:rPr>
          <w:rFonts w:ascii="Times New Roman" w:hAnsi="Times New Roman" w:cs="Times New Roman"/>
          <w:i/>
        </w:rPr>
        <w:t xml:space="preserve"> pre-</w:t>
      </w:r>
      <w:proofErr w:type="spellStart"/>
      <w:r w:rsidRPr="008C5F1C">
        <w:rPr>
          <w:rFonts w:ascii="Times New Roman" w:hAnsi="Times New Roman" w:cs="Times New Roman"/>
          <w:i/>
        </w:rPr>
        <w:t>defined</w:t>
      </w:r>
      <w:proofErr w:type="spellEnd"/>
      <w:r w:rsidRPr="008C5F1C">
        <w:rPr>
          <w:rFonts w:ascii="Times New Roman" w:hAnsi="Times New Roman" w:cs="Times New Roman"/>
          <w:i/>
        </w:rPr>
        <w:t>.</w:t>
      </w:r>
    </w:p>
    <w:p w14:paraId="4B36D1FB" w14:textId="77777777" w:rsidR="00653571" w:rsidRPr="008C5F1C" w:rsidRDefault="00653571" w:rsidP="00B3273B">
      <w:pPr>
        <w:spacing w:after="0" w:line="240" w:lineRule="auto"/>
        <w:rPr>
          <w:rFonts w:ascii="Times New Roman" w:hAnsi="Times New Roman" w:cs="Times New Roman"/>
          <w:i/>
        </w:rPr>
      </w:pPr>
      <w:r w:rsidRPr="008C5F1C">
        <w:rPr>
          <w:rFonts w:ascii="Times New Roman" w:hAnsi="Times New Roman" w:cs="Times New Roman"/>
          <w:i/>
        </w:rPr>
        <w:t xml:space="preserve">** </w:t>
      </w:r>
      <w:proofErr w:type="spellStart"/>
      <w:r w:rsidRPr="008C5F1C">
        <w:rPr>
          <w:rFonts w:ascii="Times New Roman" w:hAnsi="Times New Roman" w:cs="Times New Roman"/>
          <w:i/>
        </w:rPr>
        <w:t>If</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marked</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go</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to</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section</w:t>
      </w:r>
      <w:proofErr w:type="spellEnd"/>
      <w:r w:rsidRPr="008C5F1C">
        <w:rPr>
          <w:rFonts w:ascii="Times New Roman" w:hAnsi="Times New Roman" w:cs="Times New Roman"/>
          <w:i/>
        </w:rPr>
        <w:t xml:space="preserve"> 2.A.2.a</w:t>
      </w:r>
    </w:p>
    <w:p w14:paraId="112254E4" w14:textId="77777777" w:rsidR="00653571" w:rsidRPr="008C5F1C" w:rsidRDefault="00653571" w:rsidP="00653571">
      <w:pPr>
        <w:pStyle w:val="Heading3"/>
        <w:numPr>
          <w:ilvl w:val="0"/>
          <w:numId w:val="0"/>
        </w:numPr>
        <w:rPr>
          <w:rFonts w:cs="Times New Roman"/>
          <w:b/>
          <w:i w:val="0"/>
          <w:lang w:val="ro-RO"/>
        </w:rPr>
      </w:pPr>
      <w:bookmarkStart w:id="7" w:name="_Toc39840928"/>
      <w:r w:rsidRPr="008C5F1C">
        <w:rPr>
          <w:rFonts w:cs="Times New Roman"/>
          <w:b/>
          <w:i w:val="0"/>
          <w:lang w:val="ro-RO"/>
        </w:rPr>
        <w:t xml:space="preserve">2.A.2 Indicative </w:t>
      </w:r>
      <w:proofErr w:type="spellStart"/>
      <w:r w:rsidRPr="008C5F1C">
        <w:rPr>
          <w:rFonts w:cs="Times New Roman"/>
          <w:b/>
          <w:i w:val="0"/>
          <w:lang w:val="ro-RO"/>
        </w:rPr>
        <w:t>breakdown</w:t>
      </w:r>
      <w:proofErr w:type="spellEnd"/>
      <w:r w:rsidRPr="008C5F1C">
        <w:rPr>
          <w:rFonts w:cs="Times New Roman"/>
          <w:b/>
          <w:i w:val="0"/>
          <w:lang w:val="ro-RO"/>
        </w:rPr>
        <w:t xml:space="preserve"> of </w:t>
      </w:r>
      <w:proofErr w:type="spellStart"/>
      <w:r w:rsidRPr="008C5F1C">
        <w:rPr>
          <w:rFonts w:cs="Times New Roman"/>
          <w:b/>
          <w:i w:val="0"/>
          <w:lang w:val="ro-RO"/>
        </w:rPr>
        <w:t>the</w:t>
      </w:r>
      <w:proofErr w:type="spellEnd"/>
      <w:r w:rsidRPr="008C5F1C">
        <w:rPr>
          <w:rFonts w:cs="Times New Roman"/>
          <w:b/>
          <w:i w:val="0"/>
          <w:lang w:val="ro-RO"/>
        </w:rPr>
        <w:t xml:space="preserve"> </w:t>
      </w:r>
      <w:proofErr w:type="spellStart"/>
      <w:r w:rsidRPr="008C5F1C">
        <w:rPr>
          <w:rFonts w:cs="Times New Roman"/>
          <w:b/>
          <w:i w:val="0"/>
          <w:lang w:val="ro-RO"/>
        </w:rPr>
        <w:t>programmed</w:t>
      </w:r>
      <w:proofErr w:type="spellEnd"/>
      <w:r w:rsidRPr="008C5F1C">
        <w:rPr>
          <w:rFonts w:cs="Times New Roman"/>
          <w:b/>
          <w:i w:val="0"/>
          <w:lang w:val="ro-RO"/>
        </w:rPr>
        <w:t xml:space="preserve"> </w:t>
      </w:r>
      <w:proofErr w:type="spellStart"/>
      <w:r w:rsidRPr="008C5F1C">
        <w:rPr>
          <w:rFonts w:cs="Times New Roman"/>
          <w:b/>
          <w:i w:val="0"/>
          <w:lang w:val="ro-RO"/>
        </w:rPr>
        <w:t>resources</w:t>
      </w:r>
      <w:proofErr w:type="spellEnd"/>
      <w:r w:rsidRPr="008C5F1C">
        <w:rPr>
          <w:rFonts w:cs="Times New Roman"/>
          <w:b/>
          <w:i w:val="0"/>
          <w:lang w:val="ro-RO"/>
        </w:rPr>
        <w:t xml:space="preserve"> (EU) </w:t>
      </w:r>
      <w:proofErr w:type="spellStart"/>
      <w:r w:rsidRPr="008C5F1C">
        <w:rPr>
          <w:rFonts w:cs="Times New Roman"/>
          <w:b/>
          <w:i w:val="0"/>
          <w:lang w:val="ro-RO"/>
        </w:rPr>
        <w:t>by</w:t>
      </w:r>
      <w:proofErr w:type="spellEnd"/>
      <w:r w:rsidRPr="008C5F1C">
        <w:rPr>
          <w:rFonts w:cs="Times New Roman"/>
          <w:b/>
          <w:i w:val="0"/>
          <w:lang w:val="ro-RO"/>
        </w:rPr>
        <w:t xml:space="preserve"> </w:t>
      </w:r>
      <w:proofErr w:type="spellStart"/>
      <w:r w:rsidRPr="008C5F1C">
        <w:rPr>
          <w:rFonts w:cs="Times New Roman"/>
          <w:b/>
          <w:i w:val="0"/>
          <w:lang w:val="ro-RO"/>
        </w:rPr>
        <w:t>type</w:t>
      </w:r>
      <w:proofErr w:type="spellEnd"/>
      <w:r w:rsidRPr="008C5F1C">
        <w:rPr>
          <w:rFonts w:cs="Times New Roman"/>
          <w:b/>
          <w:i w:val="0"/>
          <w:lang w:val="ro-RO"/>
        </w:rPr>
        <w:t xml:space="preserve"> of </w:t>
      </w:r>
      <w:proofErr w:type="spellStart"/>
      <w:r w:rsidRPr="008C5F1C">
        <w:rPr>
          <w:rFonts w:cs="Times New Roman"/>
          <w:b/>
          <w:i w:val="0"/>
          <w:lang w:val="ro-RO"/>
        </w:rPr>
        <w:t>intervention</w:t>
      </w:r>
      <w:proofErr w:type="spellEnd"/>
      <w:r w:rsidRPr="008C5F1C">
        <w:rPr>
          <w:rFonts w:cs="Times New Roman"/>
          <w:b/>
          <w:i w:val="0"/>
          <w:lang w:val="ro-RO"/>
        </w:rPr>
        <w:t xml:space="preserve"> </w:t>
      </w:r>
      <w:r w:rsidRPr="008C5F1C">
        <w:rPr>
          <w:rFonts w:cs="Times New Roman"/>
          <w:i w:val="0"/>
          <w:lang w:val="ro-RO"/>
        </w:rPr>
        <w:t>(</w:t>
      </w:r>
      <w:proofErr w:type="spellStart"/>
      <w:r w:rsidRPr="008C5F1C">
        <w:rPr>
          <w:rFonts w:cs="Times New Roman"/>
          <w:i w:val="0"/>
          <w:lang w:val="ro-RO"/>
        </w:rPr>
        <w:t>not</w:t>
      </w:r>
      <w:proofErr w:type="spellEnd"/>
      <w:r w:rsidRPr="008C5F1C">
        <w:rPr>
          <w:rFonts w:cs="Times New Roman"/>
          <w:i w:val="0"/>
          <w:lang w:val="ro-RO"/>
        </w:rPr>
        <w:t xml:space="preserve"> </w:t>
      </w:r>
      <w:proofErr w:type="spellStart"/>
      <w:r w:rsidRPr="008C5F1C">
        <w:rPr>
          <w:rFonts w:cs="Times New Roman"/>
          <w:i w:val="0"/>
          <w:lang w:val="ro-RO"/>
        </w:rPr>
        <w:t>applicable</w:t>
      </w:r>
      <w:proofErr w:type="spellEnd"/>
      <w:r w:rsidRPr="008C5F1C">
        <w:rPr>
          <w:rFonts w:cs="Times New Roman"/>
          <w:i w:val="0"/>
          <w:lang w:val="ro-RO"/>
        </w:rPr>
        <w:t xml:space="preserve"> </w:t>
      </w:r>
      <w:proofErr w:type="spellStart"/>
      <w:r w:rsidRPr="008C5F1C">
        <w:rPr>
          <w:rFonts w:cs="Times New Roman"/>
          <w:i w:val="0"/>
          <w:lang w:val="ro-RO"/>
        </w:rPr>
        <w:t>to</w:t>
      </w:r>
      <w:proofErr w:type="spellEnd"/>
      <w:r w:rsidRPr="008C5F1C">
        <w:rPr>
          <w:rFonts w:cs="Times New Roman"/>
          <w:i w:val="0"/>
          <w:lang w:val="ro-RO"/>
        </w:rPr>
        <w:t xml:space="preserve"> </w:t>
      </w:r>
      <w:proofErr w:type="spellStart"/>
      <w:r w:rsidRPr="008C5F1C">
        <w:rPr>
          <w:rFonts w:cs="Times New Roman"/>
          <w:i w:val="0"/>
          <w:lang w:val="ro-RO"/>
        </w:rPr>
        <w:t>the</w:t>
      </w:r>
      <w:proofErr w:type="spellEnd"/>
      <w:r w:rsidRPr="008C5F1C">
        <w:rPr>
          <w:rFonts w:cs="Times New Roman"/>
          <w:i w:val="0"/>
          <w:lang w:val="ro-RO"/>
        </w:rPr>
        <w:t xml:space="preserve"> EMFF) [</w:t>
      </w:r>
      <w:proofErr w:type="spellStart"/>
      <w:r w:rsidRPr="008C5F1C">
        <w:rPr>
          <w:rFonts w:cs="Times New Roman"/>
          <w:i w:val="0"/>
          <w:lang w:val="ro-RO"/>
        </w:rPr>
        <w:t>This</w:t>
      </w:r>
      <w:proofErr w:type="spellEnd"/>
      <w:r w:rsidRPr="008C5F1C">
        <w:rPr>
          <w:rFonts w:cs="Times New Roman"/>
          <w:i w:val="0"/>
          <w:lang w:val="ro-RO"/>
        </w:rPr>
        <w:t xml:space="preserve"> </w:t>
      </w:r>
      <w:proofErr w:type="spellStart"/>
      <w:r w:rsidRPr="008C5F1C">
        <w:rPr>
          <w:rFonts w:cs="Times New Roman"/>
          <w:i w:val="0"/>
          <w:lang w:val="ro-RO"/>
        </w:rPr>
        <w:t>was</w:t>
      </w:r>
      <w:proofErr w:type="spellEnd"/>
      <w:r w:rsidRPr="008C5F1C">
        <w:rPr>
          <w:rFonts w:cs="Times New Roman"/>
          <w:i w:val="0"/>
          <w:lang w:val="ro-RO"/>
        </w:rPr>
        <w:t xml:space="preserve"> </w:t>
      </w:r>
      <w:proofErr w:type="spellStart"/>
      <w:r w:rsidRPr="008C5F1C">
        <w:rPr>
          <w:rFonts w:cs="Times New Roman"/>
          <w:i w:val="0"/>
          <w:lang w:val="ro-RO"/>
        </w:rPr>
        <w:t>point</w:t>
      </w:r>
      <w:proofErr w:type="spellEnd"/>
      <w:r w:rsidRPr="008C5F1C">
        <w:rPr>
          <w:rFonts w:cs="Times New Roman"/>
          <w:i w:val="0"/>
          <w:lang w:val="ro-RO"/>
        </w:rPr>
        <w:t xml:space="preserve"> 2.1.1.3 in </w:t>
      </w:r>
      <w:proofErr w:type="spellStart"/>
      <w:r w:rsidRPr="008C5F1C">
        <w:rPr>
          <w:rFonts w:cs="Times New Roman"/>
          <w:i w:val="0"/>
          <w:lang w:val="ro-RO"/>
        </w:rPr>
        <w:t>the</w:t>
      </w:r>
      <w:proofErr w:type="spellEnd"/>
      <w:r w:rsidRPr="008C5F1C">
        <w:rPr>
          <w:rFonts w:cs="Times New Roman"/>
          <w:i w:val="0"/>
          <w:lang w:val="ro-RO"/>
        </w:rPr>
        <w:t xml:space="preserve"> </w:t>
      </w:r>
      <w:proofErr w:type="spellStart"/>
      <w:r w:rsidRPr="008C5F1C">
        <w:rPr>
          <w:rFonts w:cs="Times New Roman"/>
          <w:i w:val="0"/>
          <w:lang w:val="ro-RO"/>
        </w:rPr>
        <w:t>Commission</w:t>
      </w:r>
      <w:proofErr w:type="spellEnd"/>
      <w:r w:rsidRPr="008C5F1C">
        <w:rPr>
          <w:rFonts w:cs="Times New Roman"/>
          <w:i w:val="0"/>
          <w:lang w:val="ro-RO"/>
        </w:rPr>
        <w:t xml:space="preserve"> </w:t>
      </w:r>
      <w:proofErr w:type="spellStart"/>
      <w:r w:rsidRPr="008C5F1C">
        <w:rPr>
          <w:rFonts w:cs="Times New Roman"/>
          <w:i w:val="0"/>
          <w:lang w:val="ro-RO"/>
        </w:rPr>
        <w:t>proposal</w:t>
      </w:r>
      <w:proofErr w:type="spellEnd"/>
      <w:r w:rsidRPr="008C5F1C">
        <w:rPr>
          <w:rFonts w:cs="Times New Roman"/>
          <w:i w:val="0"/>
          <w:lang w:val="ro-RO"/>
        </w:rPr>
        <w:t xml:space="preserve"> </w:t>
      </w:r>
      <w:proofErr w:type="spellStart"/>
      <w:r w:rsidRPr="008C5F1C">
        <w:rPr>
          <w:rFonts w:cs="Times New Roman"/>
          <w:i w:val="0"/>
          <w:lang w:val="ro-RO"/>
        </w:rPr>
        <w:t>and</w:t>
      </w:r>
      <w:proofErr w:type="spellEnd"/>
      <w:r w:rsidRPr="008C5F1C">
        <w:rPr>
          <w:rFonts w:cs="Times New Roman"/>
          <w:i w:val="0"/>
          <w:lang w:val="ro-RO"/>
        </w:rPr>
        <w:t xml:space="preserve"> </w:t>
      </w:r>
      <w:proofErr w:type="spellStart"/>
      <w:r w:rsidRPr="008C5F1C">
        <w:rPr>
          <w:rFonts w:cs="Times New Roman"/>
          <w:i w:val="0"/>
          <w:lang w:val="ro-RO"/>
        </w:rPr>
        <w:t>has</w:t>
      </w:r>
      <w:proofErr w:type="spellEnd"/>
      <w:r w:rsidRPr="008C5F1C">
        <w:rPr>
          <w:rFonts w:cs="Times New Roman"/>
          <w:i w:val="0"/>
          <w:lang w:val="ro-RO"/>
        </w:rPr>
        <w:t xml:space="preserve"> </w:t>
      </w:r>
      <w:proofErr w:type="spellStart"/>
      <w:r w:rsidRPr="008C5F1C">
        <w:rPr>
          <w:rFonts w:cs="Times New Roman"/>
          <w:i w:val="0"/>
          <w:lang w:val="ro-RO"/>
        </w:rPr>
        <w:t>been</w:t>
      </w:r>
      <w:proofErr w:type="spellEnd"/>
      <w:r w:rsidRPr="008C5F1C">
        <w:rPr>
          <w:rFonts w:cs="Times New Roman"/>
          <w:i w:val="0"/>
          <w:lang w:val="ro-RO"/>
        </w:rPr>
        <w:t xml:space="preserve"> </w:t>
      </w:r>
      <w:proofErr w:type="spellStart"/>
      <w:r w:rsidRPr="008C5F1C">
        <w:rPr>
          <w:rFonts w:cs="Times New Roman"/>
          <w:i w:val="0"/>
          <w:lang w:val="ro-RO"/>
        </w:rPr>
        <w:t>moved</w:t>
      </w:r>
      <w:proofErr w:type="spellEnd"/>
      <w:r w:rsidRPr="008C5F1C">
        <w:rPr>
          <w:rFonts w:cs="Times New Roman"/>
          <w:i w:val="0"/>
          <w:lang w:val="ro-RO"/>
        </w:rPr>
        <w:t xml:space="preserve"> </w:t>
      </w:r>
      <w:proofErr w:type="spellStart"/>
      <w:r w:rsidRPr="008C5F1C">
        <w:rPr>
          <w:rFonts w:cs="Times New Roman"/>
          <w:i w:val="0"/>
          <w:lang w:val="ro-RO"/>
        </w:rPr>
        <w:t>up</w:t>
      </w:r>
      <w:proofErr w:type="spellEnd"/>
      <w:r w:rsidRPr="008C5F1C">
        <w:rPr>
          <w:rFonts w:cs="Times New Roman"/>
          <w:i w:val="0"/>
          <w:lang w:val="ro-RO"/>
        </w:rPr>
        <w:t xml:space="preserve"> </w:t>
      </w:r>
      <w:proofErr w:type="spellStart"/>
      <w:r w:rsidRPr="008C5F1C">
        <w:rPr>
          <w:rFonts w:cs="Times New Roman"/>
          <w:i w:val="0"/>
          <w:lang w:val="ro-RO"/>
        </w:rPr>
        <w:t>following</w:t>
      </w:r>
      <w:proofErr w:type="spellEnd"/>
      <w:r w:rsidRPr="008C5F1C">
        <w:rPr>
          <w:rFonts w:cs="Times New Roman"/>
          <w:i w:val="0"/>
          <w:lang w:val="ro-RO"/>
        </w:rPr>
        <w:t xml:space="preserve"> </w:t>
      </w:r>
      <w:proofErr w:type="spellStart"/>
      <w:r w:rsidRPr="008C5F1C">
        <w:rPr>
          <w:rFonts w:cs="Times New Roman"/>
          <w:i w:val="0"/>
          <w:lang w:val="ro-RO"/>
        </w:rPr>
        <w:t>changes</w:t>
      </w:r>
      <w:proofErr w:type="spellEnd"/>
      <w:r w:rsidRPr="008C5F1C">
        <w:rPr>
          <w:rFonts w:cs="Times New Roman"/>
          <w:i w:val="0"/>
          <w:lang w:val="ro-RO"/>
        </w:rPr>
        <w:t xml:space="preserve"> in </w:t>
      </w:r>
      <w:proofErr w:type="spellStart"/>
      <w:r w:rsidRPr="008C5F1C">
        <w:rPr>
          <w:rFonts w:cs="Times New Roman"/>
          <w:i w:val="0"/>
          <w:lang w:val="ro-RO"/>
        </w:rPr>
        <w:t>Article</w:t>
      </w:r>
      <w:proofErr w:type="spellEnd"/>
      <w:r w:rsidRPr="008C5F1C">
        <w:rPr>
          <w:rFonts w:cs="Times New Roman"/>
          <w:i w:val="0"/>
          <w:lang w:val="ro-RO"/>
        </w:rPr>
        <w:t xml:space="preserve"> 17(3)(c) CPR]</w:t>
      </w:r>
      <w:bookmarkEnd w:id="7"/>
    </w:p>
    <w:p w14:paraId="6D1F65F9" w14:textId="77777777" w:rsidR="00653571" w:rsidRPr="008C5F1C" w:rsidRDefault="00653571" w:rsidP="00653571">
      <w:pPr>
        <w:rPr>
          <w:rFonts w:ascii="Times New Roman" w:hAnsi="Times New Roman" w:cs="Times New Roman"/>
          <w:b/>
          <w:i/>
          <w:iCs/>
        </w:rPr>
      </w:pPr>
      <w:proofErr w:type="spellStart"/>
      <w:r w:rsidRPr="008C5F1C">
        <w:rPr>
          <w:rFonts w:ascii="Times New Roman" w:hAnsi="Times New Roman" w:cs="Times New Roman"/>
          <w:i/>
        </w:rPr>
        <w:t>Reference</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Article</w:t>
      </w:r>
      <w:proofErr w:type="spellEnd"/>
      <w:r w:rsidRPr="008C5F1C">
        <w:rPr>
          <w:rFonts w:ascii="Times New Roman" w:hAnsi="Times New Roman" w:cs="Times New Roman"/>
          <w:i/>
        </w:rPr>
        <w:t xml:space="preserve"> 17(3)(c) CPR</w:t>
      </w:r>
    </w:p>
    <w:tbl>
      <w:tblPr>
        <w:tblW w:w="10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
        <w:gridCol w:w="815"/>
        <w:gridCol w:w="1194"/>
        <w:gridCol w:w="5812"/>
        <w:gridCol w:w="1316"/>
        <w:gridCol w:w="46"/>
      </w:tblGrid>
      <w:tr w:rsidR="00CA4001" w:rsidRPr="008C5F1C" w14:paraId="28B896D6" w14:textId="77777777" w:rsidTr="00CA4001">
        <w:tc>
          <w:tcPr>
            <w:tcW w:w="10146" w:type="dxa"/>
            <w:gridSpan w:val="6"/>
            <w:tcBorders>
              <w:top w:val="single" w:sz="4" w:space="0" w:color="auto"/>
              <w:left w:val="single" w:sz="4" w:space="0" w:color="auto"/>
              <w:bottom w:val="single" w:sz="4" w:space="0" w:color="auto"/>
              <w:right w:val="single" w:sz="4" w:space="0" w:color="auto"/>
            </w:tcBorders>
            <w:hideMark/>
          </w:tcPr>
          <w:p w14:paraId="6897F5AB" w14:textId="77777777" w:rsidR="00653571" w:rsidRPr="008C5F1C" w:rsidRDefault="00653571" w:rsidP="00352C8E">
            <w:pPr>
              <w:spacing w:after="0"/>
              <w:rPr>
                <w:rFonts w:ascii="Times New Roman" w:hAnsi="Times New Roman" w:cs="Times New Roman"/>
                <w:b/>
                <w:iCs/>
              </w:rPr>
            </w:pPr>
            <w:r w:rsidRPr="008C5F1C">
              <w:rPr>
                <w:rFonts w:ascii="Times New Roman" w:hAnsi="Times New Roman" w:cs="Times New Roman"/>
                <w:b/>
                <w:iCs/>
              </w:rPr>
              <w:t xml:space="preserve">Table 4: </w:t>
            </w:r>
            <w:proofErr w:type="spellStart"/>
            <w:r w:rsidRPr="008C5F1C">
              <w:rPr>
                <w:rFonts w:ascii="Times New Roman" w:hAnsi="Times New Roman" w:cs="Times New Roman"/>
                <w:b/>
                <w:iCs/>
              </w:rPr>
              <w:t>Dimension</w:t>
            </w:r>
            <w:proofErr w:type="spellEnd"/>
            <w:r w:rsidRPr="008C5F1C">
              <w:rPr>
                <w:rFonts w:ascii="Times New Roman" w:hAnsi="Times New Roman" w:cs="Times New Roman"/>
                <w:b/>
                <w:iCs/>
              </w:rPr>
              <w:t xml:space="preserve"> 1 – </w:t>
            </w:r>
            <w:proofErr w:type="spellStart"/>
            <w:r w:rsidRPr="008C5F1C">
              <w:rPr>
                <w:rFonts w:ascii="Times New Roman" w:hAnsi="Times New Roman" w:cs="Times New Roman"/>
                <w:b/>
                <w:iCs/>
              </w:rPr>
              <w:t>intervention</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field</w:t>
            </w:r>
            <w:proofErr w:type="spellEnd"/>
          </w:p>
        </w:tc>
      </w:tr>
      <w:tr w:rsidR="00EE349D" w:rsidRPr="008C5F1C" w14:paraId="4DB70399" w14:textId="77777777" w:rsidTr="00CA4001">
        <w:trPr>
          <w:gridAfter w:val="1"/>
          <w:wAfter w:w="46" w:type="dxa"/>
        </w:trPr>
        <w:tc>
          <w:tcPr>
            <w:tcW w:w="963" w:type="dxa"/>
            <w:tcBorders>
              <w:top w:val="single" w:sz="4" w:space="0" w:color="auto"/>
              <w:left w:val="single" w:sz="4" w:space="0" w:color="auto"/>
              <w:bottom w:val="single" w:sz="4" w:space="0" w:color="auto"/>
              <w:right w:val="single" w:sz="4" w:space="0" w:color="auto"/>
            </w:tcBorders>
            <w:hideMark/>
          </w:tcPr>
          <w:p w14:paraId="4C7F50EE" w14:textId="77777777" w:rsidR="00653571" w:rsidRPr="008C5F1C" w:rsidRDefault="00653571" w:rsidP="00352C8E">
            <w:pPr>
              <w:spacing w:after="0"/>
              <w:rPr>
                <w:rFonts w:ascii="Times New Roman" w:hAnsi="Times New Roman" w:cs="Times New Roman"/>
                <w:b/>
                <w:iCs/>
              </w:rPr>
            </w:pPr>
            <w:proofErr w:type="spellStart"/>
            <w:r w:rsidRPr="008C5F1C">
              <w:rPr>
                <w:rFonts w:ascii="Times New Roman" w:hAnsi="Times New Roman" w:cs="Times New Roman"/>
                <w:b/>
                <w:iCs/>
              </w:rPr>
              <w:t>Priority</w:t>
            </w:r>
            <w:proofErr w:type="spellEnd"/>
            <w:r w:rsidRPr="008C5F1C">
              <w:rPr>
                <w:rFonts w:ascii="Times New Roman" w:hAnsi="Times New Roman" w:cs="Times New Roman"/>
                <w:b/>
                <w:iCs/>
              </w:rPr>
              <w:t xml:space="preserve"> No</w:t>
            </w:r>
          </w:p>
        </w:tc>
        <w:tc>
          <w:tcPr>
            <w:tcW w:w="815" w:type="dxa"/>
            <w:tcBorders>
              <w:top w:val="single" w:sz="4" w:space="0" w:color="auto"/>
              <w:left w:val="single" w:sz="4" w:space="0" w:color="auto"/>
              <w:bottom w:val="single" w:sz="4" w:space="0" w:color="auto"/>
              <w:right w:val="single" w:sz="4" w:space="0" w:color="auto"/>
            </w:tcBorders>
            <w:hideMark/>
          </w:tcPr>
          <w:p w14:paraId="4B509559" w14:textId="77777777" w:rsidR="00653571" w:rsidRPr="008C5F1C" w:rsidRDefault="00653571" w:rsidP="00352C8E">
            <w:pPr>
              <w:spacing w:after="0"/>
              <w:rPr>
                <w:rFonts w:ascii="Times New Roman" w:hAnsi="Times New Roman" w:cs="Times New Roman"/>
                <w:b/>
                <w:iCs/>
              </w:rPr>
            </w:pPr>
            <w:r w:rsidRPr="008C5F1C">
              <w:rPr>
                <w:rFonts w:ascii="Times New Roman" w:hAnsi="Times New Roman" w:cs="Times New Roman"/>
                <w:b/>
                <w:iCs/>
              </w:rPr>
              <w:t>Fund</w:t>
            </w:r>
          </w:p>
        </w:tc>
        <w:tc>
          <w:tcPr>
            <w:tcW w:w="1194" w:type="dxa"/>
            <w:tcBorders>
              <w:top w:val="single" w:sz="4" w:space="0" w:color="auto"/>
              <w:left w:val="single" w:sz="4" w:space="0" w:color="auto"/>
              <w:bottom w:val="single" w:sz="4" w:space="0" w:color="auto"/>
              <w:right w:val="single" w:sz="4" w:space="0" w:color="auto"/>
            </w:tcBorders>
            <w:hideMark/>
          </w:tcPr>
          <w:p w14:paraId="6D7E5DD5" w14:textId="77777777" w:rsidR="00653571" w:rsidRPr="008C5F1C" w:rsidRDefault="00653571" w:rsidP="00352C8E">
            <w:pPr>
              <w:spacing w:after="0"/>
              <w:rPr>
                <w:rFonts w:ascii="Times New Roman" w:hAnsi="Times New Roman" w:cs="Times New Roman"/>
                <w:b/>
                <w:iCs/>
              </w:rPr>
            </w:pPr>
            <w:proofErr w:type="spellStart"/>
            <w:r w:rsidRPr="008C5F1C">
              <w:rPr>
                <w:rFonts w:ascii="Times New Roman" w:hAnsi="Times New Roman" w:cs="Times New Roman"/>
                <w:b/>
                <w:iCs/>
              </w:rPr>
              <w:t>Category</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region</w:t>
            </w:r>
            <w:proofErr w:type="spellEnd"/>
            <w:r w:rsidRPr="008C5F1C">
              <w:rPr>
                <w:rFonts w:ascii="Times New Roman" w:hAnsi="Times New Roman" w:cs="Times New Roman"/>
                <w:b/>
                <w:iCs/>
                <w:vertAlign w:val="superscript"/>
              </w:rPr>
              <w:footnoteReference w:id="33"/>
            </w:r>
          </w:p>
        </w:tc>
        <w:tc>
          <w:tcPr>
            <w:tcW w:w="5812" w:type="dxa"/>
            <w:tcBorders>
              <w:top w:val="single" w:sz="4" w:space="0" w:color="auto"/>
              <w:left w:val="single" w:sz="4" w:space="0" w:color="auto"/>
              <w:bottom w:val="single" w:sz="4" w:space="0" w:color="auto"/>
              <w:right w:val="single" w:sz="4" w:space="0" w:color="auto"/>
            </w:tcBorders>
            <w:hideMark/>
          </w:tcPr>
          <w:p w14:paraId="23E2A0CD" w14:textId="77777777" w:rsidR="00653571" w:rsidRPr="008C5F1C" w:rsidRDefault="00653571" w:rsidP="00352C8E">
            <w:pPr>
              <w:spacing w:after="0"/>
              <w:rPr>
                <w:rFonts w:ascii="Times New Roman" w:hAnsi="Times New Roman" w:cs="Times New Roman"/>
                <w:b/>
                <w:iCs/>
              </w:rPr>
            </w:pPr>
            <w:r w:rsidRPr="008C5F1C">
              <w:rPr>
                <w:rFonts w:ascii="Times New Roman" w:hAnsi="Times New Roman" w:cs="Times New Roman"/>
                <w:b/>
                <w:iCs/>
              </w:rPr>
              <w:t xml:space="preserve">Code </w:t>
            </w:r>
          </w:p>
        </w:tc>
        <w:tc>
          <w:tcPr>
            <w:tcW w:w="1316" w:type="dxa"/>
            <w:tcBorders>
              <w:top w:val="single" w:sz="4" w:space="0" w:color="auto"/>
              <w:left w:val="single" w:sz="4" w:space="0" w:color="auto"/>
              <w:bottom w:val="single" w:sz="4" w:space="0" w:color="auto"/>
              <w:right w:val="single" w:sz="4" w:space="0" w:color="auto"/>
            </w:tcBorders>
            <w:hideMark/>
          </w:tcPr>
          <w:p w14:paraId="483FAC04" w14:textId="77777777" w:rsidR="00653571" w:rsidRPr="008C5F1C" w:rsidRDefault="00653571" w:rsidP="00352C8E">
            <w:pPr>
              <w:spacing w:after="0"/>
              <w:rPr>
                <w:rFonts w:ascii="Times New Roman" w:hAnsi="Times New Roman" w:cs="Times New Roman"/>
                <w:b/>
                <w:iCs/>
              </w:rPr>
            </w:pPr>
            <w:proofErr w:type="spellStart"/>
            <w:r w:rsidRPr="008C5F1C">
              <w:rPr>
                <w:rFonts w:ascii="Times New Roman" w:hAnsi="Times New Roman" w:cs="Times New Roman"/>
                <w:b/>
                <w:iCs/>
              </w:rPr>
              <w:t>Amount</w:t>
            </w:r>
            <w:proofErr w:type="spellEnd"/>
            <w:r w:rsidRPr="008C5F1C">
              <w:rPr>
                <w:rFonts w:ascii="Times New Roman" w:hAnsi="Times New Roman" w:cs="Times New Roman"/>
                <w:b/>
                <w:iCs/>
              </w:rPr>
              <w:t xml:space="preserve"> (EUR)</w:t>
            </w:r>
          </w:p>
        </w:tc>
      </w:tr>
      <w:tr w:rsidR="00EE349D" w:rsidRPr="008C5F1C" w14:paraId="2D05B551" w14:textId="77777777" w:rsidTr="00CA4001">
        <w:trPr>
          <w:gridAfter w:val="1"/>
          <w:wAfter w:w="46" w:type="dxa"/>
          <w:trHeight w:val="317"/>
        </w:trPr>
        <w:tc>
          <w:tcPr>
            <w:tcW w:w="963" w:type="dxa"/>
            <w:vMerge w:val="restart"/>
            <w:tcBorders>
              <w:top w:val="single" w:sz="4" w:space="0" w:color="auto"/>
              <w:left w:val="single" w:sz="4" w:space="0" w:color="auto"/>
              <w:bottom w:val="single" w:sz="4" w:space="0" w:color="auto"/>
              <w:right w:val="single" w:sz="4" w:space="0" w:color="auto"/>
            </w:tcBorders>
          </w:tcPr>
          <w:p w14:paraId="1C191A6A" w14:textId="1D7ECBAF" w:rsidR="00B3273B" w:rsidRPr="008C5F1C" w:rsidRDefault="00B3273B" w:rsidP="00101F9A">
            <w:pPr>
              <w:spacing w:after="0"/>
              <w:rPr>
                <w:rFonts w:ascii="Times New Roman" w:hAnsi="Times New Roman" w:cs="Times New Roman"/>
                <w:bCs/>
                <w:iCs/>
              </w:rPr>
            </w:pPr>
            <w:r w:rsidRPr="008C5F1C">
              <w:rPr>
                <w:rFonts w:ascii="Times New Roman" w:hAnsi="Times New Roman" w:cs="Times New Roman"/>
                <w:b/>
                <w:bCs/>
                <w:iCs/>
              </w:rPr>
              <w:t>1</w:t>
            </w:r>
          </w:p>
        </w:tc>
        <w:tc>
          <w:tcPr>
            <w:tcW w:w="815" w:type="dxa"/>
            <w:vMerge w:val="restart"/>
            <w:tcBorders>
              <w:top w:val="single" w:sz="4" w:space="0" w:color="auto"/>
              <w:left w:val="single" w:sz="4" w:space="0" w:color="auto"/>
              <w:bottom w:val="single" w:sz="4" w:space="0" w:color="auto"/>
              <w:right w:val="single" w:sz="4" w:space="0" w:color="auto"/>
            </w:tcBorders>
          </w:tcPr>
          <w:p w14:paraId="0A170657" w14:textId="7BDEA77A" w:rsidR="00B3273B" w:rsidRPr="008C5F1C" w:rsidRDefault="00B3273B" w:rsidP="00101F9A">
            <w:pPr>
              <w:spacing w:after="0"/>
              <w:rPr>
                <w:rFonts w:ascii="Times New Roman" w:hAnsi="Times New Roman" w:cs="Times New Roman"/>
                <w:bCs/>
                <w:iCs/>
              </w:rPr>
            </w:pPr>
            <w:r w:rsidRPr="008C5F1C">
              <w:rPr>
                <w:rFonts w:ascii="Times New Roman" w:hAnsi="Times New Roman" w:cs="Times New Roman"/>
                <w:b/>
                <w:iCs/>
              </w:rPr>
              <w:t>ERDF</w:t>
            </w:r>
          </w:p>
        </w:tc>
        <w:tc>
          <w:tcPr>
            <w:tcW w:w="1194" w:type="dxa"/>
            <w:vMerge w:val="restart"/>
            <w:tcBorders>
              <w:top w:val="single" w:sz="4" w:space="0" w:color="auto"/>
              <w:left w:val="single" w:sz="4" w:space="0" w:color="auto"/>
              <w:bottom w:val="single" w:sz="4" w:space="0" w:color="auto"/>
              <w:right w:val="single" w:sz="4" w:space="0" w:color="auto"/>
            </w:tcBorders>
          </w:tcPr>
          <w:p w14:paraId="305AE311" w14:textId="73DF5862" w:rsidR="00B3273B" w:rsidRPr="008C5F1C" w:rsidRDefault="00B3273B" w:rsidP="00101F9A">
            <w:pPr>
              <w:spacing w:after="0"/>
              <w:rPr>
                <w:rFonts w:ascii="Times New Roman" w:hAnsi="Times New Roman" w:cs="Times New Roman"/>
                <w:bCs/>
                <w:iCs/>
              </w:rPr>
            </w:pPr>
            <w:proofErr w:type="spellStart"/>
            <w:r w:rsidRPr="008C5F1C">
              <w:rPr>
                <w:rFonts w:ascii="Times New Roman" w:hAnsi="Times New Roman" w:cs="Times New Roman"/>
                <w:b/>
                <w:iCs/>
              </w:rPr>
              <w:t>Less</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developed</w:t>
            </w:r>
            <w:proofErr w:type="spellEnd"/>
          </w:p>
        </w:tc>
        <w:tc>
          <w:tcPr>
            <w:tcW w:w="5812" w:type="dxa"/>
            <w:tcBorders>
              <w:top w:val="single" w:sz="4" w:space="0" w:color="auto"/>
              <w:left w:val="single" w:sz="4" w:space="0" w:color="auto"/>
              <w:bottom w:val="single" w:sz="4" w:space="0" w:color="auto"/>
              <w:right w:val="single" w:sz="4" w:space="0" w:color="auto"/>
            </w:tcBorders>
          </w:tcPr>
          <w:p w14:paraId="29C5C424" w14:textId="08644DC7" w:rsidR="00B3273B" w:rsidRPr="00CA4001" w:rsidRDefault="00B3273B" w:rsidP="00CA4001">
            <w:pPr>
              <w:tabs>
                <w:tab w:val="left" w:pos="9781"/>
                <w:tab w:val="left" w:pos="9923"/>
              </w:tabs>
              <w:spacing w:after="120" w:line="240" w:lineRule="auto"/>
              <w:jc w:val="both"/>
              <w:rPr>
                <w:rFonts w:ascii="Times New Roman" w:hAnsi="Times New Roman" w:cs="Times New Roman"/>
                <w:bCs/>
                <w:iCs/>
                <w:sz w:val="20"/>
                <w:szCs w:val="20"/>
              </w:rPr>
            </w:pPr>
            <w:r w:rsidRPr="00CA4001">
              <w:rPr>
                <w:rFonts w:ascii="Times New Roman" w:hAnsi="Times New Roman" w:cs="Times New Roman"/>
                <w:b/>
                <w:bCs/>
              </w:rPr>
              <w:t xml:space="preserve">008 </w:t>
            </w:r>
            <w:r w:rsidRPr="00CA4001">
              <w:rPr>
                <w:rFonts w:ascii="Times New Roman" w:hAnsi="Times New Roman" w:cs="Times New Roman"/>
                <w:noProof/>
                <w:sz w:val="20"/>
                <w:szCs w:val="20"/>
              </w:rPr>
              <w:t>Activități de cercetare și inovare în întreprinderi mici și mijlocii, inclusiv colaborarea în rețea</w:t>
            </w:r>
          </w:p>
        </w:tc>
        <w:tc>
          <w:tcPr>
            <w:tcW w:w="1316" w:type="dxa"/>
            <w:vMerge w:val="restart"/>
            <w:tcBorders>
              <w:top w:val="single" w:sz="4" w:space="0" w:color="auto"/>
              <w:left w:val="single" w:sz="4" w:space="0" w:color="auto"/>
              <w:bottom w:val="single" w:sz="4" w:space="0" w:color="auto"/>
              <w:right w:val="single" w:sz="4" w:space="0" w:color="auto"/>
            </w:tcBorders>
            <w:vAlign w:val="center"/>
          </w:tcPr>
          <w:p w14:paraId="23025F10" w14:textId="6FE42CEC" w:rsidR="00B3273B" w:rsidRPr="008C5F1C" w:rsidRDefault="00B3273B" w:rsidP="00101F9A">
            <w:pPr>
              <w:spacing w:after="0"/>
              <w:jc w:val="right"/>
              <w:rPr>
                <w:rFonts w:ascii="Times New Roman" w:hAnsi="Times New Roman" w:cs="Times New Roman"/>
                <w:b/>
                <w:iCs/>
              </w:rPr>
            </w:pPr>
            <w:r w:rsidRPr="008C5F1C">
              <w:rPr>
                <w:rFonts w:ascii="Times New Roman" w:hAnsi="Times New Roman" w:cs="Times New Roman"/>
                <w:b/>
                <w:bCs/>
              </w:rPr>
              <w:t>4</w:t>
            </w:r>
            <w:r w:rsidR="00EE349D">
              <w:rPr>
                <w:rFonts w:ascii="Times New Roman" w:hAnsi="Times New Roman" w:cs="Times New Roman"/>
                <w:b/>
                <w:bCs/>
              </w:rPr>
              <w:t>2.239.610</w:t>
            </w:r>
            <w:r w:rsidRPr="008C5F1C">
              <w:rPr>
                <w:rFonts w:ascii="Times New Roman" w:hAnsi="Times New Roman" w:cs="Times New Roman"/>
                <w:b/>
                <w:bCs/>
              </w:rPr>
              <w:t xml:space="preserve"> </w:t>
            </w:r>
          </w:p>
        </w:tc>
      </w:tr>
      <w:tr w:rsidR="00EE349D" w:rsidRPr="008C5F1C" w14:paraId="5AB27A7B" w14:textId="77777777" w:rsidTr="00CA4001">
        <w:trPr>
          <w:gridAfter w:val="1"/>
          <w:wAfter w:w="46" w:type="dxa"/>
          <w:trHeight w:val="601"/>
        </w:trPr>
        <w:tc>
          <w:tcPr>
            <w:tcW w:w="963" w:type="dxa"/>
            <w:vMerge/>
            <w:tcBorders>
              <w:left w:val="single" w:sz="4" w:space="0" w:color="auto"/>
              <w:right w:val="single" w:sz="4" w:space="0" w:color="auto"/>
            </w:tcBorders>
          </w:tcPr>
          <w:p w14:paraId="1FE93C93" w14:textId="3A0BD919" w:rsidR="00B3273B" w:rsidRPr="008C5F1C" w:rsidRDefault="00B3273B" w:rsidP="00101F9A">
            <w:pPr>
              <w:spacing w:after="0"/>
              <w:rPr>
                <w:rFonts w:ascii="Times New Roman" w:hAnsi="Times New Roman" w:cs="Times New Roman"/>
                <w:b/>
                <w:bCs/>
                <w:iCs/>
              </w:rPr>
            </w:pPr>
          </w:p>
        </w:tc>
        <w:tc>
          <w:tcPr>
            <w:tcW w:w="815" w:type="dxa"/>
            <w:vMerge/>
            <w:tcBorders>
              <w:left w:val="single" w:sz="4" w:space="0" w:color="auto"/>
              <w:right w:val="single" w:sz="4" w:space="0" w:color="auto"/>
            </w:tcBorders>
          </w:tcPr>
          <w:p w14:paraId="51C599FC" w14:textId="3A87D792" w:rsidR="00B3273B" w:rsidRPr="008C5F1C" w:rsidRDefault="00B3273B" w:rsidP="00101F9A">
            <w:pPr>
              <w:spacing w:after="0"/>
              <w:rPr>
                <w:rFonts w:ascii="Times New Roman" w:hAnsi="Times New Roman" w:cs="Times New Roman"/>
                <w:b/>
                <w:iCs/>
              </w:rPr>
            </w:pPr>
          </w:p>
        </w:tc>
        <w:tc>
          <w:tcPr>
            <w:tcW w:w="1194" w:type="dxa"/>
            <w:vMerge/>
            <w:tcBorders>
              <w:left w:val="single" w:sz="4" w:space="0" w:color="auto"/>
              <w:right w:val="single" w:sz="4" w:space="0" w:color="auto"/>
            </w:tcBorders>
          </w:tcPr>
          <w:p w14:paraId="24B1366F" w14:textId="07F45566" w:rsidR="00B3273B" w:rsidRPr="008C5F1C" w:rsidRDefault="00B3273B" w:rsidP="00101F9A">
            <w:pPr>
              <w:spacing w:after="0"/>
              <w:rPr>
                <w:rFonts w:ascii="Times New Roman" w:hAnsi="Times New Roman" w:cs="Times New Roman"/>
                <w:b/>
                <w:iCs/>
              </w:rPr>
            </w:pPr>
          </w:p>
        </w:tc>
        <w:tc>
          <w:tcPr>
            <w:tcW w:w="5812" w:type="dxa"/>
            <w:tcBorders>
              <w:top w:val="single" w:sz="4" w:space="0" w:color="auto"/>
              <w:left w:val="single" w:sz="4" w:space="0" w:color="auto"/>
              <w:right w:val="single" w:sz="4" w:space="0" w:color="auto"/>
            </w:tcBorders>
            <w:vAlign w:val="center"/>
          </w:tcPr>
          <w:p w14:paraId="3D820AA7" w14:textId="468CE2A6" w:rsidR="00B3273B" w:rsidRPr="00CA4001" w:rsidRDefault="00B3273B" w:rsidP="00CA4001">
            <w:pPr>
              <w:tabs>
                <w:tab w:val="left" w:pos="9781"/>
                <w:tab w:val="left" w:pos="9923"/>
              </w:tabs>
              <w:spacing w:after="120" w:line="240" w:lineRule="auto"/>
              <w:jc w:val="both"/>
              <w:rPr>
                <w:rFonts w:ascii="Times New Roman" w:hAnsi="Times New Roman" w:cs="Times New Roman"/>
                <w:sz w:val="20"/>
                <w:szCs w:val="20"/>
              </w:rPr>
            </w:pPr>
            <w:r w:rsidRPr="00CA4001">
              <w:rPr>
                <w:rFonts w:ascii="Times New Roman" w:hAnsi="Times New Roman" w:cs="Times New Roman"/>
                <w:b/>
                <w:bCs/>
              </w:rPr>
              <w:t>009</w:t>
            </w:r>
            <w:r w:rsidRPr="00CA4001">
              <w:rPr>
                <w:rFonts w:ascii="Times New Roman" w:hAnsi="Times New Roman" w:cs="Times New Roman"/>
                <w:b/>
                <w:bCs/>
                <w:sz w:val="20"/>
                <w:szCs w:val="20"/>
              </w:rPr>
              <w:t xml:space="preserve"> </w:t>
            </w:r>
            <w:r w:rsidRPr="00CA4001">
              <w:rPr>
                <w:rFonts w:ascii="Times New Roman" w:hAnsi="Times New Roman" w:cs="Times New Roman"/>
                <w:noProof/>
                <w:sz w:val="20"/>
                <w:szCs w:val="20"/>
              </w:rPr>
              <w:t>Activități de cercetare și inovare în centre publice de cercetare, de învățământ superior și de competență, inclusiv colaborarea în rețea (cercetare industrială, dezvoltare experimentală, studii de fezabilitate)</w:t>
            </w:r>
          </w:p>
        </w:tc>
        <w:tc>
          <w:tcPr>
            <w:tcW w:w="1316" w:type="dxa"/>
            <w:vMerge/>
            <w:tcBorders>
              <w:left w:val="single" w:sz="4" w:space="0" w:color="auto"/>
              <w:right w:val="single" w:sz="4" w:space="0" w:color="auto"/>
            </w:tcBorders>
            <w:vAlign w:val="center"/>
          </w:tcPr>
          <w:p w14:paraId="40DF89B3" w14:textId="22BD816A" w:rsidR="00B3273B" w:rsidRPr="008C5F1C" w:rsidRDefault="00B3273B" w:rsidP="00101F9A">
            <w:pPr>
              <w:spacing w:after="0"/>
              <w:jc w:val="right"/>
              <w:rPr>
                <w:rFonts w:ascii="Times New Roman" w:hAnsi="Times New Roman" w:cs="Times New Roman"/>
                <w:b/>
                <w:iCs/>
              </w:rPr>
            </w:pPr>
          </w:p>
        </w:tc>
      </w:tr>
      <w:tr w:rsidR="00EE349D" w:rsidRPr="008C5F1C" w14:paraId="6544559C" w14:textId="77777777" w:rsidTr="00CA4001">
        <w:trPr>
          <w:gridAfter w:val="1"/>
          <w:wAfter w:w="46" w:type="dxa"/>
          <w:trHeight w:val="841"/>
        </w:trPr>
        <w:tc>
          <w:tcPr>
            <w:tcW w:w="963" w:type="dxa"/>
            <w:vMerge/>
            <w:tcBorders>
              <w:left w:val="single" w:sz="4" w:space="0" w:color="auto"/>
              <w:bottom w:val="single" w:sz="4" w:space="0" w:color="auto"/>
              <w:right w:val="single" w:sz="4" w:space="0" w:color="auto"/>
            </w:tcBorders>
          </w:tcPr>
          <w:p w14:paraId="0111DEE0" w14:textId="20CEE468" w:rsidR="00B3273B" w:rsidRPr="008C5F1C" w:rsidRDefault="00B3273B" w:rsidP="00101F9A">
            <w:pPr>
              <w:spacing w:after="0"/>
              <w:rPr>
                <w:rFonts w:ascii="Times New Roman" w:hAnsi="Times New Roman" w:cs="Times New Roman"/>
                <w:b/>
                <w:bCs/>
                <w:iCs/>
              </w:rPr>
            </w:pPr>
          </w:p>
        </w:tc>
        <w:tc>
          <w:tcPr>
            <w:tcW w:w="815" w:type="dxa"/>
            <w:vMerge/>
            <w:tcBorders>
              <w:left w:val="single" w:sz="4" w:space="0" w:color="auto"/>
              <w:bottom w:val="single" w:sz="4" w:space="0" w:color="auto"/>
              <w:right w:val="single" w:sz="4" w:space="0" w:color="auto"/>
            </w:tcBorders>
          </w:tcPr>
          <w:p w14:paraId="259FE622" w14:textId="2DFB678B" w:rsidR="00B3273B" w:rsidRPr="008C5F1C" w:rsidRDefault="00B3273B" w:rsidP="00101F9A">
            <w:pPr>
              <w:spacing w:after="0"/>
              <w:rPr>
                <w:rFonts w:ascii="Times New Roman" w:hAnsi="Times New Roman" w:cs="Times New Roman"/>
                <w:b/>
                <w:iCs/>
              </w:rPr>
            </w:pPr>
          </w:p>
        </w:tc>
        <w:tc>
          <w:tcPr>
            <w:tcW w:w="1194" w:type="dxa"/>
            <w:vMerge/>
            <w:tcBorders>
              <w:left w:val="single" w:sz="4" w:space="0" w:color="auto"/>
              <w:bottom w:val="single" w:sz="4" w:space="0" w:color="auto"/>
              <w:right w:val="single" w:sz="4" w:space="0" w:color="auto"/>
            </w:tcBorders>
          </w:tcPr>
          <w:p w14:paraId="024C6705" w14:textId="3B1B7EF4" w:rsidR="00B3273B" w:rsidRPr="008C5F1C" w:rsidRDefault="00B3273B" w:rsidP="00101F9A">
            <w:pPr>
              <w:spacing w:after="0"/>
              <w:rPr>
                <w:rFonts w:ascii="Times New Roman" w:hAnsi="Times New Roman" w:cs="Times New Roman"/>
                <w:b/>
                <w:iCs/>
              </w:rPr>
            </w:pPr>
          </w:p>
        </w:tc>
        <w:tc>
          <w:tcPr>
            <w:tcW w:w="5812" w:type="dxa"/>
            <w:tcBorders>
              <w:top w:val="single" w:sz="4" w:space="0" w:color="auto"/>
              <w:left w:val="single" w:sz="4" w:space="0" w:color="auto"/>
              <w:bottom w:val="single" w:sz="4" w:space="0" w:color="auto"/>
              <w:right w:val="single" w:sz="4" w:space="0" w:color="auto"/>
            </w:tcBorders>
          </w:tcPr>
          <w:p w14:paraId="4818E06D" w14:textId="0171B088" w:rsidR="00B3273B" w:rsidRPr="00CA4001" w:rsidRDefault="00B3273B" w:rsidP="00CA4001">
            <w:pPr>
              <w:tabs>
                <w:tab w:val="left" w:pos="9781"/>
                <w:tab w:val="left" w:pos="9923"/>
              </w:tabs>
              <w:spacing w:after="120" w:line="240" w:lineRule="auto"/>
              <w:jc w:val="both"/>
              <w:rPr>
                <w:rFonts w:ascii="Times New Roman" w:hAnsi="Times New Roman" w:cs="Times New Roman"/>
                <w:iCs/>
                <w:sz w:val="20"/>
                <w:szCs w:val="20"/>
              </w:rPr>
            </w:pPr>
            <w:r w:rsidRPr="00CA4001">
              <w:rPr>
                <w:rFonts w:ascii="Times New Roman" w:hAnsi="Times New Roman" w:cs="Times New Roman"/>
                <w:b/>
                <w:bCs/>
              </w:rPr>
              <w:t>010</w:t>
            </w:r>
            <w:r w:rsidRPr="00CA4001">
              <w:rPr>
                <w:rFonts w:ascii="Times New Roman" w:hAnsi="Times New Roman" w:cs="Times New Roman"/>
                <w:sz w:val="20"/>
                <w:szCs w:val="20"/>
              </w:rPr>
              <w:t xml:space="preserve"> </w:t>
            </w:r>
            <w:r w:rsidRPr="00CA4001">
              <w:rPr>
                <w:rFonts w:ascii="Times New Roman" w:hAnsi="Times New Roman" w:cs="Times New Roman"/>
                <w:noProof/>
                <w:sz w:val="20"/>
                <w:szCs w:val="20"/>
              </w:rPr>
              <w:t>Digitalizarea IMM-urilor (inclusiv comerț electronic, activități economice electronice și procese economice în rețea, huburi de inovare digitală, laboratoare vii, antreprenori web și start-upuri în domeniul TIC, B2B)</w:t>
            </w:r>
          </w:p>
        </w:tc>
        <w:tc>
          <w:tcPr>
            <w:tcW w:w="1316" w:type="dxa"/>
            <w:vMerge w:val="restart"/>
            <w:tcBorders>
              <w:top w:val="single" w:sz="4" w:space="0" w:color="auto"/>
              <w:left w:val="single" w:sz="4" w:space="0" w:color="auto"/>
              <w:right w:val="single" w:sz="4" w:space="0" w:color="auto"/>
            </w:tcBorders>
            <w:vAlign w:val="center"/>
          </w:tcPr>
          <w:p w14:paraId="7D66A13B" w14:textId="553E27AA" w:rsidR="00B3273B" w:rsidRPr="008C5F1C" w:rsidRDefault="00B3273B" w:rsidP="00B3273B">
            <w:pPr>
              <w:spacing w:after="0"/>
              <w:jc w:val="right"/>
              <w:rPr>
                <w:rFonts w:ascii="Times New Roman" w:hAnsi="Times New Roman" w:cs="Times New Roman"/>
                <w:b/>
                <w:iCs/>
              </w:rPr>
            </w:pPr>
            <w:r w:rsidRPr="008C5F1C">
              <w:rPr>
                <w:rFonts w:ascii="Times New Roman" w:hAnsi="Times New Roman" w:cs="Times New Roman"/>
                <w:b/>
                <w:bCs/>
              </w:rPr>
              <w:t>1</w:t>
            </w:r>
            <w:r w:rsidR="00EE349D">
              <w:rPr>
                <w:rFonts w:ascii="Times New Roman" w:hAnsi="Times New Roman" w:cs="Times New Roman"/>
                <w:b/>
                <w:bCs/>
              </w:rPr>
              <w:t>1</w:t>
            </w:r>
            <w:r w:rsidRPr="008C5F1C">
              <w:rPr>
                <w:rFonts w:ascii="Times New Roman" w:hAnsi="Times New Roman" w:cs="Times New Roman"/>
                <w:b/>
                <w:bCs/>
              </w:rPr>
              <w:t>7.</w:t>
            </w:r>
            <w:r w:rsidR="00EE349D">
              <w:rPr>
                <w:rFonts w:ascii="Times New Roman" w:hAnsi="Times New Roman" w:cs="Times New Roman"/>
                <w:b/>
                <w:bCs/>
              </w:rPr>
              <w:t>542.613</w:t>
            </w:r>
          </w:p>
        </w:tc>
      </w:tr>
      <w:tr w:rsidR="00EE349D" w:rsidRPr="008C5F1C" w14:paraId="6FE72D06" w14:textId="77777777" w:rsidTr="00CA4001">
        <w:trPr>
          <w:gridAfter w:val="1"/>
          <w:wAfter w:w="46" w:type="dxa"/>
        </w:trPr>
        <w:tc>
          <w:tcPr>
            <w:tcW w:w="963" w:type="dxa"/>
            <w:vMerge/>
            <w:tcBorders>
              <w:left w:val="single" w:sz="4" w:space="0" w:color="auto"/>
              <w:right w:val="single" w:sz="4" w:space="0" w:color="auto"/>
            </w:tcBorders>
          </w:tcPr>
          <w:p w14:paraId="17879903" w14:textId="77777777" w:rsidR="00B3273B" w:rsidRPr="008C5F1C" w:rsidRDefault="00B3273B" w:rsidP="00101F9A">
            <w:pPr>
              <w:spacing w:after="0"/>
              <w:rPr>
                <w:rFonts w:ascii="Times New Roman" w:hAnsi="Times New Roman" w:cs="Times New Roman"/>
                <w:b/>
                <w:bCs/>
                <w:iCs/>
              </w:rPr>
            </w:pPr>
          </w:p>
        </w:tc>
        <w:tc>
          <w:tcPr>
            <w:tcW w:w="815" w:type="dxa"/>
            <w:vMerge/>
            <w:tcBorders>
              <w:left w:val="single" w:sz="4" w:space="0" w:color="auto"/>
              <w:right w:val="single" w:sz="4" w:space="0" w:color="auto"/>
            </w:tcBorders>
          </w:tcPr>
          <w:p w14:paraId="4805C275" w14:textId="77777777" w:rsidR="00B3273B" w:rsidRPr="008C5F1C" w:rsidRDefault="00B3273B" w:rsidP="00101F9A">
            <w:pPr>
              <w:spacing w:after="0"/>
              <w:rPr>
                <w:rFonts w:ascii="Times New Roman" w:hAnsi="Times New Roman" w:cs="Times New Roman"/>
                <w:b/>
                <w:iCs/>
              </w:rPr>
            </w:pPr>
          </w:p>
        </w:tc>
        <w:tc>
          <w:tcPr>
            <w:tcW w:w="1194" w:type="dxa"/>
            <w:vMerge/>
            <w:tcBorders>
              <w:left w:val="single" w:sz="4" w:space="0" w:color="auto"/>
              <w:right w:val="single" w:sz="4" w:space="0" w:color="auto"/>
            </w:tcBorders>
          </w:tcPr>
          <w:p w14:paraId="2001EF74" w14:textId="77777777" w:rsidR="00B3273B" w:rsidRPr="008C5F1C" w:rsidRDefault="00B3273B" w:rsidP="00101F9A">
            <w:pPr>
              <w:spacing w:after="0"/>
              <w:rPr>
                <w:rFonts w:ascii="Times New Roman" w:hAnsi="Times New Roman" w:cs="Times New Roman"/>
                <w:b/>
                <w:iCs/>
              </w:rPr>
            </w:pPr>
          </w:p>
        </w:tc>
        <w:tc>
          <w:tcPr>
            <w:tcW w:w="5812" w:type="dxa"/>
            <w:tcBorders>
              <w:top w:val="single" w:sz="4" w:space="0" w:color="auto"/>
              <w:left w:val="single" w:sz="4" w:space="0" w:color="auto"/>
              <w:bottom w:val="single" w:sz="4" w:space="0" w:color="auto"/>
              <w:right w:val="single" w:sz="4" w:space="0" w:color="auto"/>
            </w:tcBorders>
            <w:vAlign w:val="center"/>
          </w:tcPr>
          <w:p w14:paraId="054BECAB" w14:textId="3D21FDA0" w:rsidR="00B3273B" w:rsidRPr="00CA4001" w:rsidRDefault="00B3273B" w:rsidP="00CA4001">
            <w:pPr>
              <w:tabs>
                <w:tab w:val="left" w:pos="9781"/>
                <w:tab w:val="left" w:pos="9923"/>
              </w:tabs>
              <w:spacing w:after="120" w:line="240" w:lineRule="auto"/>
              <w:jc w:val="both"/>
              <w:rPr>
                <w:rFonts w:ascii="Times New Roman" w:eastAsia="Calibri" w:hAnsi="Times New Roman" w:cs="Times New Roman"/>
                <w:sz w:val="20"/>
                <w:szCs w:val="20"/>
              </w:rPr>
            </w:pPr>
            <w:r w:rsidRPr="00CA4001">
              <w:rPr>
                <w:rFonts w:ascii="Times New Roman" w:hAnsi="Times New Roman" w:cs="Times New Roman"/>
                <w:b/>
                <w:bCs/>
                <w:iCs/>
                <w:noProof/>
              </w:rPr>
              <w:t>015</w:t>
            </w:r>
            <w:r w:rsidRPr="00CA4001">
              <w:rPr>
                <w:rFonts w:ascii="Times New Roman" w:hAnsi="Times New Roman" w:cs="Times New Roman"/>
                <w:b/>
                <w:bCs/>
                <w:noProof/>
              </w:rPr>
              <w:t xml:space="preserve"> </w:t>
            </w:r>
            <w:r w:rsidRPr="00CA4001">
              <w:rPr>
                <w:rFonts w:ascii="Times New Roman" w:hAnsi="Times New Roman" w:cs="Times New Roman"/>
                <w:noProof/>
                <w:sz w:val="20"/>
                <w:szCs w:val="20"/>
              </w:rPr>
              <w:t>SME business development and internationalisation, including productive investments</w:t>
            </w:r>
          </w:p>
        </w:tc>
        <w:tc>
          <w:tcPr>
            <w:tcW w:w="1316" w:type="dxa"/>
            <w:vMerge/>
            <w:tcBorders>
              <w:left w:val="single" w:sz="4" w:space="0" w:color="auto"/>
              <w:right w:val="single" w:sz="4" w:space="0" w:color="auto"/>
            </w:tcBorders>
            <w:shd w:val="clear" w:color="auto" w:fill="auto"/>
            <w:vAlign w:val="bottom"/>
          </w:tcPr>
          <w:p w14:paraId="4CC30016" w14:textId="2AEDE691" w:rsidR="00B3273B" w:rsidRPr="008C5F1C" w:rsidRDefault="00B3273B" w:rsidP="00101F9A">
            <w:pPr>
              <w:spacing w:after="0"/>
              <w:jc w:val="right"/>
              <w:rPr>
                <w:rFonts w:ascii="Times New Roman" w:hAnsi="Times New Roman" w:cs="Times New Roman"/>
                <w:b/>
                <w:iCs/>
              </w:rPr>
            </w:pPr>
          </w:p>
        </w:tc>
      </w:tr>
      <w:tr w:rsidR="00EE349D" w:rsidRPr="008C5F1C" w14:paraId="196BA81D" w14:textId="77777777" w:rsidTr="00CA4001">
        <w:trPr>
          <w:gridAfter w:val="1"/>
          <w:wAfter w:w="46" w:type="dxa"/>
          <w:trHeight w:val="169"/>
        </w:trPr>
        <w:tc>
          <w:tcPr>
            <w:tcW w:w="963" w:type="dxa"/>
            <w:vMerge/>
            <w:tcBorders>
              <w:left w:val="single" w:sz="4" w:space="0" w:color="auto"/>
              <w:bottom w:val="single" w:sz="4" w:space="0" w:color="auto"/>
              <w:right w:val="single" w:sz="4" w:space="0" w:color="auto"/>
            </w:tcBorders>
          </w:tcPr>
          <w:p w14:paraId="5768CB63" w14:textId="77777777" w:rsidR="00B3273B" w:rsidRPr="008C5F1C" w:rsidRDefault="00B3273B" w:rsidP="00101F9A">
            <w:pPr>
              <w:spacing w:after="0"/>
              <w:rPr>
                <w:rFonts w:ascii="Times New Roman" w:hAnsi="Times New Roman" w:cs="Times New Roman"/>
                <w:b/>
                <w:bCs/>
                <w:iCs/>
              </w:rPr>
            </w:pPr>
          </w:p>
        </w:tc>
        <w:tc>
          <w:tcPr>
            <w:tcW w:w="815" w:type="dxa"/>
            <w:vMerge/>
            <w:tcBorders>
              <w:left w:val="single" w:sz="4" w:space="0" w:color="auto"/>
              <w:bottom w:val="single" w:sz="4" w:space="0" w:color="auto"/>
              <w:right w:val="single" w:sz="4" w:space="0" w:color="auto"/>
            </w:tcBorders>
          </w:tcPr>
          <w:p w14:paraId="6A4F8667" w14:textId="77777777" w:rsidR="00B3273B" w:rsidRPr="008C5F1C" w:rsidRDefault="00B3273B" w:rsidP="00101F9A">
            <w:pPr>
              <w:spacing w:after="0"/>
              <w:rPr>
                <w:rFonts w:ascii="Times New Roman" w:hAnsi="Times New Roman" w:cs="Times New Roman"/>
                <w:b/>
                <w:iCs/>
              </w:rPr>
            </w:pPr>
          </w:p>
        </w:tc>
        <w:tc>
          <w:tcPr>
            <w:tcW w:w="1194" w:type="dxa"/>
            <w:vMerge/>
            <w:tcBorders>
              <w:left w:val="single" w:sz="4" w:space="0" w:color="auto"/>
              <w:bottom w:val="single" w:sz="4" w:space="0" w:color="auto"/>
              <w:right w:val="single" w:sz="4" w:space="0" w:color="auto"/>
            </w:tcBorders>
          </w:tcPr>
          <w:p w14:paraId="07E41DC6" w14:textId="77777777" w:rsidR="00B3273B" w:rsidRPr="008C5F1C" w:rsidRDefault="00B3273B" w:rsidP="00101F9A">
            <w:pPr>
              <w:spacing w:after="0"/>
              <w:rPr>
                <w:rFonts w:ascii="Times New Roman" w:hAnsi="Times New Roman" w:cs="Times New Roman"/>
                <w:b/>
                <w:iCs/>
              </w:rPr>
            </w:pPr>
          </w:p>
        </w:tc>
        <w:tc>
          <w:tcPr>
            <w:tcW w:w="5812" w:type="dxa"/>
            <w:tcBorders>
              <w:top w:val="single" w:sz="4" w:space="0" w:color="auto"/>
              <w:left w:val="single" w:sz="4" w:space="0" w:color="auto"/>
              <w:bottom w:val="single" w:sz="4" w:space="0" w:color="auto"/>
              <w:right w:val="single" w:sz="4" w:space="0" w:color="auto"/>
            </w:tcBorders>
            <w:vAlign w:val="center"/>
          </w:tcPr>
          <w:p w14:paraId="5556EE2D" w14:textId="01160915" w:rsidR="00B3273B" w:rsidRPr="00CA4001" w:rsidRDefault="00B3273B" w:rsidP="00CA4001">
            <w:pPr>
              <w:tabs>
                <w:tab w:val="left" w:pos="9781"/>
                <w:tab w:val="left" w:pos="9923"/>
              </w:tabs>
              <w:spacing w:after="120" w:line="240" w:lineRule="auto"/>
              <w:jc w:val="both"/>
              <w:rPr>
                <w:rFonts w:ascii="Times New Roman" w:hAnsi="Times New Roman" w:cs="Times New Roman"/>
                <w:sz w:val="20"/>
                <w:szCs w:val="20"/>
              </w:rPr>
            </w:pPr>
            <w:r w:rsidRPr="00CA4001">
              <w:rPr>
                <w:rFonts w:ascii="Times New Roman" w:hAnsi="Times New Roman" w:cs="Times New Roman"/>
                <w:b/>
                <w:bCs/>
                <w:iCs/>
              </w:rPr>
              <w:t>020</w:t>
            </w:r>
            <w:r w:rsidRPr="00CA4001">
              <w:rPr>
                <w:rFonts w:ascii="Times New Roman" w:hAnsi="Times New Roman" w:cs="Times New Roman"/>
                <w:iCs/>
              </w:rPr>
              <w:t xml:space="preserve"> </w:t>
            </w:r>
            <w:r w:rsidRPr="00CA4001">
              <w:rPr>
                <w:rFonts w:ascii="Times New Roman" w:hAnsi="Times New Roman" w:cs="Times New Roman"/>
                <w:noProof/>
                <w:sz w:val="20"/>
                <w:szCs w:val="20"/>
              </w:rPr>
              <w:t>Procese de inovare în IMM-uri (inovare la nivel de proces, la nivel organizațional, la nivel de marketing, la nivel de co-creare și de utilizator și inovare bazată pe cerere)</w:t>
            </w:r>
          </w:p>
        </w:tc>
        <w:tc>
          <w:tcPr>
            <w:tcW w:w="1316" w:type="dxa"/>
            <w:vMerge/>
            <w:tcBorders>
              <w:left w:val="single" w:sz="4" w:space="0" w:color="auto"/>
              <w:bottom w:val="single" w:sz="8" w:space="0" w:color="auto"/>
              <w:right w:val="single" w:sz="4" w:space="0" w:color="auto"/>
            </w:tcBorders>
            <w:shd w:val="clear" w:color="auto" w:fill="auto"/>
            <w:vAlign w:val="bottom"/>
          </w:tcPr>
          <w:p w14:paraId="02FC0580" w14:textId="22FF44AC" w:rsidR="00B3273B" w:rsidRPr="008C5F1C" w:rsidRDefault="00B3273B" w:rsidP="00101F9A">
            <w:pPr>
              <w:spacing w:after="0"/>
              <w:jc w:val="right"/>
              <w:rPr>
                <w:rFonts w:ascii="Times New Roman" w:hAnsi="Times New Roman" w:cs="Times New Roman"/>
                <w:b/>
                <w:iCs/>
              </w:rPr>
            </w:pPr>
          </w:p>
        </w:tc>
      </w:tr>
      <w:tr w:rsidR="00EE349D" w:rsidRPr="008C5F1C" w14:paraId="11E31014" w14:textId="77777777" w:rsidTr="00CA4001">
        <w:trPr>
          <w:gridAfter w:val="1"/>
          <w:wAfter w:w="46" w:type="dxa"/>
        </w:trPr>
        <w:tc>
          <w:tcPr>
            <w:tcW w:w="963" w:type="dxa"/>
            <w:vMerge/>
            <w:tcBorders>
              <w:left w:val="single" w:sz="4" w:space="0" w:color="auto"/>
              <w:right w:val="single" w:sz="4" w:space="0" w:color="auto"/>
            </w:tcBorders>
          </w:tcPr>
          <w:p w14:paraId="1E35B97B" w14:textId="77777777" w:rsidR="00B3273B" w:rsidRPr="008C5F1C" w:rsidRDefault="00B3273B" w:rsidP="00101F9A">
            <w:pPr>
              <w:spacing w:after="0"/>
              <w:rPr>
                <w:rFonts w:ascii="Times New Roman" w:hAnsi="Times New Roman" w:cs="Times New Roman"/>
                <w:b/>
                <w:bCs/>
                <w:iCs/>
              </w:rPr>
            </w:pPr>
          </w:p>
        </w:tc>
        <w:tc>
          <w:tcPr>
            <w:tcW w:w="815" w:type="dxa"/>
            <w:vMerge/>
            <w:tcBorders>
              <w:left w:val="single" w:sz="4" w:space="0" w:color="auto"/>
              <w:right w:val="single" w:sz="4" w:space="0" w:color="auto"/>
            </w:tcBorders>
          </w:tcPr>
          <w:p w14:paraId="0E195A9C" w14:textId="77777777" w:rsidR="00B3273B" w:rsidRPr="008C5F1C" w:rsidRDefault="00B3273B" w:rsidP="00101F9A">
            <w:pPr>
              <w:spacing w:after="0"/>
              <w:rPr>
                <w:rFonts w:ascii="Times New Roman" w:hAnsi="Times New Roman" w:cs="Times New Roman"/>
                <w:b/>
                <w:iCs/>
              </w:rPr>
            </w:pPr>
          </w:p>
        </w:tc>
        <w:tc>
          <w:tcPr>
            <w:tcW w:w="1194" w:type="dxa"/>
            <w:vMerge/>
            <w:tcBorders>
              <w:left w:val="single" w:sz="4" w:space="0" w:color="auto"/>
              <w:right w:val="single" w:sz="4" w:space="0" w:color="auto"/>
            </w:tcBorders>
          </w:tcPr>
          <w:p w14:paraId="7DB5D71E" w14:textId="77777777" w:rsidR="00B3273B" w:rsidRPr="008C5F1C" w:rsidRDefault="00B3273B" w:rsidP="00101F9A">
            <w:pPr>
              <w:spacing w:after="0"/>
              <w:rPr>
                <w:rFonts w:ascii="Times New Roman" w:hAnsi="Times New Roman" w:cs="Times New Roman"/>
                <w:b/>
                <w:iCs/>
              </w:rPr>
            </w:pPr>
          </w:p>
        </w:tc>
        <w:tc>
          <w:tcPr>
            <w:tcW w:w="5812" w:type="dxa"/>
            <w:tcBorders>
              <w:top w:val="single" w:sz="4" w:space="0" w:color="auto"/>
              <w:left w:val="single" w:sz="4" w:space="0" w:color="auto"/>
              <w:bottom w:val="single" w:sz="4" w:space="0" w:color="auto"/>
              <w:right w:val="single" w:sz="4" w:space="0" w:color="auto"/>
            </w:tcBorders>
            <w:vAlign w:val="center"/>
          </w:tcPr>
          <w:p w14:paraId="440A842F" w14:textId="0A69309C" w:rsidR="00B3273B" w:rsidRPr="00CA4001" w:rsidRDefault="00B3273B" w:rsidP="00CA4001">
            <w:pPr>
              <w:tabs>
                <w:tab w:val="left" w:pos="9781"/>
                <w:tab w:val="left" w:pos="9923"/>
              </w:tabs>
              <w:spacing w:after="120" w:line="240" w:lineRule="auto"/>
              <w:jc w:val="both"/>
              <w:rPr>
                <w:rFonts w:ascii="Times New Roman" w:hAnsi="Times New Roman" w:cs="Times New Roman"/>
                <w:sz w:val="20"/>
                <w:szCs w:val="20"/>
              </w:rPr>
            </w:pPr>
            <w:r w:rsidRPr="00CA4001">
              <w:rPr>
                <w:rFonts w:ascii="Times New Roman" w:hAnsi="Times New Roman" w:cs="Times New Roman"/>
                <w:b/>
                <w:bCs/>
              </w:rPr>
              <w:t>014</w:t>
            </w:r>
            <w:r w:rsidRPr="00CA4001">
              <w:rPr>
                <w:rFonts w:ascii="Times New Roman" w:hAnsi="Times New Roman" w:cs="Times New Roman"/>
                <w:b/>
                <w:bCs/>
                <w:sz w:val="20"/>
                <w:szCs w:val="20"/>
              </w:rPr>
              <w:t xml:space="preserve"> </w:t>
            </w:r>
            <w:r w:rsidRPr="00CA4001">
              <w:rPr>
                <w:rFonts w:ascii="Times New Roman" w:hAnsi="Times New Roman" w:cs="Times New Roman"/>
                <w:noProof/>
                <w:sz w:val="20"/>
                <w:szCs w:val="20"/>
              </w:rPr>
              <w:t>Infrastructuri comerciale pentru IMM-uri (inclusiv parcuri și situri industriale)</w:t>
            </w:r>
          </w:p>
        </w:tc>
        <w:tc>
          <w:tcPr>
            <w:tcW w:w="1316" w:type="dxa"/>
            <w:vMerge w:val="restart"/>
            <w:tcBorders>
              <w:top w:val="single" w:sz="4" w:space="0" w:color="auto"/>
              <w:left w:val="single" w:sz="4" w:space="0" w:color="auto"/>
              <w:right w:val="single" w:sz="4" w:space="0" w:color="auto"/>
            </w:tcBorders>
            <w:vAlign w:val="center"/>
          </w:tcPr>
          <w:p w14:paraId="627DDF0E" w14:textId="557C567B" w:rsidR="00B3273B" w:rsidRPr="008C5F1C" w:rsidRDefault="00EE349D" w:rsidP="00101F9A">
            <w:pPr>
              <w:spacing w:after="0"/>
              <w:jc w:val="right"/>
              <w:rPr>
                <w:rFonts w:ascii="Times New Roman" w:hAnsi="Times New Roman" w:cs="Times New Roman"/>
                <w:b/>
                <w:iCs/>
              </w:rPr>
            </w:pPr>
            <w:r>
              <w:rPr>
                <w:rFonts w:ascii="Times New Roman" w:hAnsi="Times New Roman" w:cs="Times New Roman"/>
                <w:b/>
                <w:bCs/>
              </w:rPr>
              <w:t>52.240.690</w:t>
            </w:r>
            <w:r w:rsidR="00B3273B" w:rsidRPr="008C5F1C">
              <w:rPr>
                <w:rFonts w:ascii="Times New Roman" w:hAnsi="Times New Roman" w:cs="Times New Roman"/>
                <w:b/>
                <w:bCs/>
              </w:rPr>
              <w:t xml:space="preserve"> </w:t>
            </w:r>
          </w:p>
        </w:tc>
      </w:tr>
      <w:tr w:rsidR="00EE349D" w:rsidRPr="008C5F1C" w14:paraId="3E38924C" w14:textId="77777777" w:rsidTr="00CA4001">
        <w:trPr>
          <w:gridAfter w:val="1"/>
          <w:wAfter w:w="46" w:type="dxa"/>
        </w:trPr>
        <w:tc>
          <w:tcPr>
            <w:tcW w:w="963" w:type="dxa"/>
            <w:vMerge/>
            <w:tcBorders>
              <w:left w:val="single" w:sz="4" w:space="0" w:color="auto"/>
              <w:right w:val="single" w:sz="4" w:space="0" w:color="auto"/>
            </w:tcBorders>
          </w:tcPr>
          <w:p w14:paraId="4EEC89A2" w14:textId="77777777" w:rsidR="00B3273B" w:rsidRPr="008C5F1C" w:rsidRDefault="00B3273B" w:rsidP="00101F9A">
            <w:pPr>
              <w:spacing w:after="0"/>
              <w:rPr>
                <w:rFonts w:ascii="Times New Roman" w:hAnsi="Times New Roman" w:cs="Times New Roman"/>
                <w:b/>
                <w:bCs/>
                <w:iCs/>
              </w:rPr>
            </w:pPr>
          </w:p>
        </w:tc>
        <w:tc>
          <w:tcPr>
            <w:tcW w:w="815" w:type="dxa"/>
            <w:vMerge/>
            <w:tcBorders>
              <w:left w:val="single" w:sz="4" w:space="0" w:color="auto"/>
              <w:right w:val="single" w:sz="4" w:space="0" w:color="auto"/>
            </w:tcBorders>
          </w:tcPr>
          <w:p w14:paraId="6368F8CC" w14:textId="77777777" w:rsidR="00B3273B" w:rsidRPr="008C5F1C" w:rsidRDefault="00B3273B" w:rsidP="00101F9A">
            <w:pPr>
              <w:spacing w:after="0"/>
              <w:rPr>
                <w:rFonts w:ascii="Times New Roman" w:hAnsi="Times New Roman" w:cs="Times New Roman"/>
                <w:b/>
                <w:iCs/>
              </w:rPr>
            </w:pPr>
          </w:p>
        </w:tc>
        <w:tc>
          <w:tcPr>
            <w:tcW w:w="1194" w:type="dxa"/>
            <w:vMerge/>
            <w:tcBorders>
              <w:left w:val="single" w:sz="4" w:space="0" w:color="auto"/>
              <w:right w:val="single" w:sz="4" w:space="0" w:color="auto"/>
            </w:tcBorders>
          </w:tcPr>
          <w:p w14:paraId="4D1D87FE" w14:textId="77777777" w:rsidR="00B3273B" w:rsidRPr="008C5F1C" w:rsidRDefault="00B3273B" w:rsidP="00101F9A">
            <w:pPr>
              <w:spacing w:after="0"/>
              <w:rPr>
                <w:rFonts w:ascii="Times New Roman" w:hAnsi="Times New Roman" w:cs="Times New Roman"/>
                <w:b/>
                <w:iCs/>
              </w:rPr>
            </w:pPr>
          </w:p>
        </w:tc>
        <w:tc>
          <w:tcPr>
            <w:tcW w:w="5812" w:type="dxa"/>
            <w:tcBorders>
              <w:top w:val="single" w:sz="4" w:space="0" w:color="auto"/>
              <w:left w:val="single" w:sz="4" w:space="0" w:color="auto"/>
              <w:bottom w:val="single" w:sz="4" w:space="0" w:color="auto"/>
              <w:right w:val="single" w:sz="4" w:space="0" w:color="auto"/>
            </w:tcBorders>
          </w:tcPr>
          <w:p w14:paraId="00F70BF8" w14:textId="405CA3E8" w:rsidR="00B3273B" w:rsidRPr="00CA4001" w:rsidRDefault="00B3273B" w:rsidP="00CA4001">
            <w:pPr>
              <w:tabs>
                <w:tab w:val="left" w:pos="9781"/>
                <w:tab w:val="left" w:pos="9923"/>
              </w:tabs>
              <w:spacing w:after="120" w:line="240" w:lineRule="auto"/>
              <w:jc w:val="both"/>
              <w:rPr>
                <w:rFonts w:ascii="Times New Roman" w:hAnsi="Times New Roman" w:cs="Times New Roman"/>
                <w:bCs/>
                <w:sz w:val="20"/>
                <w:szCs w:val="20"/>
              </w:rPr>
            </w:pPr>
            <w:r w:rsidRPr="00CA4001">
              <w:rPr>
                <w:rFonts w:ascii="Times New Roman" w:hAnsi="Times New Roman" w:cs="Times New Roman"/>
                <w:b/>
                <w:iCs/>
              </w:rPr>
              <w:t>018</w:t>
            </w:r>
            <w:r w:rsidRPr="00CA4001">
              <w:rPr>
                <w:rFonts w:ascii="Times New Roman" w:hAnsi="Times New Roman" w:cs="Times New Roman"/>
                <w:bCs/>
                <w:iCs/>
              </w:rPr>
              <w:t xml:space="preserve"> </w:t>
            </w:r>
            <w:r w:rsidRPr="00CA4001">
              <w:rPr>
                <w:rFonts w:ascii="Times New Roman" w:hAnsi="Times New Roman" w:cs="Times New Roman"/>
                <w:bCs/>
                <w:noProof/>
                <w:sz w:val="20"/>
                <w:szCs w:val="20"/>
              </w:rPr>
              <w:t>Incubare, sprijinirea societăților spin off și spin-out și a start-upurilor</w:t>
            </w:r>
          </w:p>
        </w:tc>
        <w:tc>
          <w:tcPr>
            <w:tcW w:w="1316" w:type="dxa"/>
            <w:vMerge/>
            <w:tcBorders>
              <w:left w:val="single" w:sz="4" w:space="0" w:color="auto"/>
              <w:right w:val="single" w:sz="4" w:space="0" w:color="auto"/>
            </w:tcBorders>
            <w:vAlign w:val="center"/>
          </w:tcPr>
          <w:p w14:paraId="2092E3C4" w14:textId="53C3E02A" w:rsidR="00B3273B" w:rsidRPr="008C5F1C" w:rsidRDefault="00B3273B" w:rsidP="00101F9A">
            <w:pPr>
              <w:spacing w:after="0"/>
              <w:jc w:val="right"/>
              <w:rPr>
                <w:rFonts w:ascii="Times New Roman" w:hAnsi="Times New Roman" w:cs="Times New Roman"/>
                <w:b/>
                <w:iCs/>
              </w:rPr>
            </w:pPr>
          </w:p>
        </w:tc>
      </w:tr>
      <w:tr w:rsidR="00EE349D" w:rsidRPr="008C5F1C" w14:paraId="159575A5" w14:textId="77777777" w:rsidTr="00CA4001">
        <w:trPr>
          <w:gridAfter w:val="1"/>
          <w:wAfter w:w="46" w:type="dxa"/>
        </w:trPr>
        <w:tc>
          <w:tcPr>
            <w:tcW w:w="963" w:type="dxa"/>
            <w:vMerge/>
            <w:tcBorders>
              <w:left w:val="single" w:sz="4" w:space="0" w:color="auto"/>
              <w:right w:val="single" w:sz="4" w:space="0" w:color="auto"/>
            </w:tcBorders>
          </w:tcPr>
          <w:p w14:paraId="1B514684" w14:textId="77777777" w:rsidR="00B3273B" w:rsidRPr="008C5F1C" w:rsidRDefault="00B3273B" w:rsidP="00101F9A">
            <w:pPr>
              <w:spacing w:after="0"/>
              <w:rPr>
                <w:rFonts w:ascii="Times New Roman" w:hAnsi="Times New Roman" w:cs="Times New Roman"/>
                <w:b/>
                <w:bCs/>
                <w:iCs/>
              </w:rPr>
            </w:pPr>
          </w:p>
        </w:tc>
        <w:tc>
          <w:tcPr>
            <w:tcW w:w="815" w:type="dxa"/>
            <w:vMerge/>
            <w:tcBorders>
              <w:left w:val="single" w:sz="4" w:space="0" w:color="auto"/>
              <w:right w:val="single" w:sz="4" w:space="0" w:color="auto"/>
            </w:tcBorders>
          </w:tcPr>
          <w:p w14:paraId="180AEA1B" w14:textId="77777777" w:rsidR="00B3273B" w:rsidRPr="008C5F1C" w:rsidRDefault="00B3273B" w:rsidP="00101F9A">
            <w:pPr>
              <w:spacing w:after="0"/>
              <w:rPr>
                <w:rFonts w:ascii="Times New Roman" w:hAnsi="Times New Roman" w:cs="Times New Roman"/>
                <w:b/>
                <w:iCs/>
              </w:rPr>
            </w:pPr>
          </w:p>
        </w:tc>
        <w:tc>
          <w:tcPr>
            <w:tcW w:w="1194" w:type="dxa"/>
            <w:vMerge/>
            <w:tcBorders>
              <w:left w:val="single" w:sz="4" w:space="0" w:color="auto"/>
              <w:right w:val="single" w:sz="4" w:space="0" w:color="auto"/>
            </w:tcBorders>
          </w:tcPr>
          <w:p w14:paraId="75C3D177" w14:textId="77777777" w:rsidR="00B3273B" w:rsidRPr="008C5F1C" w:rsidRDefault="00B3273B" w:rsidP="00101F9A">
            <w:pPr>
              <w:spacing w:after="0"/>
              <w:rPr>
                <w:rFonts w:ascii="Times New Roman" w:hAnsi="Times New Roman" w:cs="Times New Roman"/>
                <w:b/>
                <w:iCs/>
              </w:rPr>
            </w:pPr>
          </w:p>
        </w:tc>
        <w:tc>
          <w:tcPr>
            <w:tcW w:w="5812" w:type="dxa"/>
            <w:tcBorders>
              <w:top w:val="single" w:sz="4" w:space="0" w:color="auto"/>
              <w:left w:val="single" w:sz="4" w:space="0" w:color="auto"/>
              <w:bottom w:val="single" w:sz="4" w:space="0" w:color="auto"/>
              <w:right w:val="single" w:sz="4" w:space="0" w:color="auto"/>
            </w:tcBorders>
          </w:tcPr>
          <w:p w14:paraId="7447C341" w14:textId="183248EF" w:rsidR="00B3273B" w:rsidRPr="00CA4001" w:rsidRDefault="00B3273B" w:rsidP="00CA4001">
            <w:pPr>
              <w:tabs>
                <w:tab w:val="left" w:pos="9781"/>
                <w:tab w:val="left" w:pos="9923"/>
              </w:tabs>
              <w:spacing w:after="120" w:line="240" w:lineRule="auto"/>
              <w:jc w:val="both"/>
              <w:rPr>
                <w:rFonts w:ascii="Times New Roman" w:hAnsi="Times New Roman" w:cs="Times New Roman"/>
                <w:bCs/>
                <w:sz w:val="20"/>
                <w:szCs w:val="20"/>
              </w:rPr>
            </w:pPr>
            <w:r w:rsidRPr="00CA4001">
              <w:rPr>
                <w:rFonts w:ascii="Times New Roman" w:hAnsi="Times New Roman" w:cs="Times New Roman"/>
                <w:b/>
                <w:iCs/>
              </w:rPr>
              <w:t>019</w:t>
            </w:r>
            <w:r w:rsidRPr="00CA4001">
              <w:rPr>
                <w:rFonts w:ascii="Times New Roman" w:hAnsi="Times New Roman" w:cs="Times New Roman"/>
                <w:bCs/>
                <w:iCs/>
                <w:sz w:val="20"/>
                <w:szCs w:val="20"/>
              </w:rPr>
              <w:t xml:space="preserve"> </w:t>
            </w:r>
            <w:r w:rsidRPr="00CA4001">
              <w:rPr>
                <w:rFonts w:ascii="Times New Roman" w:hAnsi="Times New Roman" w:cs="Times New Roman"/>
                <w:bCs/>
                <w:noProof/>
                <w:sz w:val="20"/>
                <w:szCs w:val="20"/>
              </w:rPr>
              <w:t>Sprijinirea clusterelor de inovare și rețele comerciale, în principal în beneficiul IMM-urilor</w:t>
            </w:r>
          </w:p>
        </w:tc>
        <w:tc>
          <w:tcPr>
            <w:tcW w:w="1316" w:type="dxa"/>
            <w:vMerge/>
            <w:tcBorders>
              <w:left w:val="single" w:sz="4" w:space="0" w:color="auto"/>
              <w:bottom w:val="single" w:sz="4" w:space="0" w:color="auto"/>
              <w:right w:val="single" w:sz="4" w:space="0" w:color="auto"/>
            </w:tcBorders>
            <w:vAlign w:val="center"/>
          </w:tcPr>
          <w:p w14:paraId="001A8CBA" w14:textId="63F7964A" w:rsidR="00B3273B" w:rsidRPr="008C5F1C" w:rsidRDefault="00B3273B" w:rsidP="00101F9A">
            <w:pPr>
              <w:spacing w:after="0"/>
              <w:jc w:val="right"/>
              <w:rPr>
                <w:rFonts w:ascii="Times New Roman" w:hAnsi="Times New Roman" w:cs="Times New Roman"/>
                <w:b/>
                <w:iCs/>
              </w:rPr>
            </w:pPr>
          </w:p>
        </w:tc>
      </w:tr>
      <w:tr w:rsidR="00EE349D" w:rsidRPr="008C5F1C" w14:paraId="19CF1311" w14:textId="77777777" w:rsidTr="00CA4001">
        <w:trPr>
          <w:gridAfter w:val="1"/>
          <w:wAfter w:w="46" w:type="dxa"/>
          <w:trHeight w:val="132"/>
        </w:trPr>
        <w:tc>
          <w:tcPr>
            <w:tcW w:w="963" w:type="dxa"/>
            <w:vMerge/>
            <w:tcBorders>
              <w:left w:val="single" w:sz="4" w:space="0" w:color="auto"/>
              <w:right w:val="single" w:sz="4" w:space="0" w:color="auto"/>
            </w:tcBorders>
          </w:tcPr>
          <w:p w14:paraId="21CEE5A7" w14:textId="77777777" w:rsidR="00B3273B" w:rsidRPr="008C5F1C" w:rsidRDefault="00B3273B" w:rsidP="00101F9A">
            <w:pPr>
              <w:spacing w:after="0"/>
              <w:rPr>
                <w:rFonts w:ascii="Times New Roman" w:hAnsi="Times New Roman" w:cs="Times New Roman"/>
                <w:b/>
                <w:bCs/>
                <w:iCs/>
              </w:rPr>
            </w:pPr>
          </w:p>
        </w:tc>
        <w:tc>
          <w:tcPr>
            <w:tcW w:w="815" w:type="dxa"/>
            <w:vMerge/>
            <w:tcBorders>
              <w:left w:val="single" w:sz="4" w:space="0" w:color="auto"/>
              <w:right w:val="single" w:sz="4" w:space="0" w:color="auto"/>
            </w:tcBorders>
          </w:tcPr>
          <w:p w14:paraId="194D0E0B" w14:textId="77777777" w:rsidR="00B3273B" w:rsidRPr="008C5F1C" w:rsidRDefault="00B3273B" w:rsidP="00101F9A">
            <w:pPr>
              <w:spacing w:after="0"/>
              <w:rPr>
                <w:rFonts w:ascii="Times New Roman" w:hAnsi="Times New Roman" w:cs="Times New Roman"/>
                <w:b/>
                <w:iCs/>
              </w:rPr>
            </w:pPr>
          </w:p>
        </w:tc>
        <w:tc>
          <w:tcPr>
            <w:tcW w:w="1194" w:type="dxa"/>
            <w:vMerge/>
            <w:tcBorders>
              <w:left w:val="single" w:sz="4" w:space="0" w:color="auto"/>
              <w:right w:val="single" w:sz="4" w:space="0" w:color="auto"/>
            </w:tcBorders>
          </w:tcPr>
          <w:p w14:paraId="3C2087E6" w14:textId="77777777" w:rsidR="00B3273B" w:rsidRPr="008C5F1C" w:rsidRDefault="00B3273B" w:rsidP="00101F9A">
            <w:pPr>
              <w:spacing w:after="0"/>
              <w:rPr>
                <w:rFonts w:ascii="Times New Roman" w:hAnsi="Times New Roman" w:cs="Times New Roman"/>
                <w:b/>
                <w:iCs/>
              </w:rPr>
            </w:pPr>
          </w:p>
        </w:tc>
        <w:tc>
          <w:tcPr>
            <w:tcW w:w="5812" w:type="dxa"/>
            <w:tcBorders>
              <w:top w:val="single" w:sz="4" w:space="0" w:color="auto"/>
              <w:left w:val="single" w:sz="4" w:space="0" w:color="auto"/>
              <w:right w:val="single" w:sz="4" w:space="0" w:color="auto"/>
            </w:tcBorders>
          </w:tcPr>
          <w:p w14:paraId="470A5C78" w14:textId="3CD9C439" w:rsidR="00B3273B" w:rsidRPr="00CA4001" w:rsidRDefault="00B3273B" w:rsidP="00CA4001">
            <w:pPr>
              <w:spacing w:after="120" w:line="240" w:lineRule="auto"/>
              <w:rPr>
                <w:rFonts w:ascii="Times New Roman" w:hAnsi="Times New Roman" w:cs="Times New Roman"/>
                <w:b/>
                <w:iCs/>
                <w:sz w:val="20"/>
                <w:szCs w:val="20"/>
              </w:rPr>
            </w:pPr>
            <w:r w:rsidRPr="00CA4001">
              <w:rPr>
                <w:rFonts w:ascii="Times New Roman" w:hAnsi="Times New Roman" w:cs="Times New Roman"/>
                <w:b/>
                <w:bCs/>
              </w:rPr>
              <w:t>021</w:t>
            </w:r>
            <w:r w:rsidRPr="00CA4001">
              <w:rPr>
                <w:rFonts w:ascii="Times New Roman" w:hAnsi="Times New Roman" w:cs="Times New Roman"/>
                <w:b/>
                <w:bCs/>
                <w:sz w:val="20"/>
                <w:szCs w:val="20"/>
              </w:rPr>
              <w:t xml:space="preserve"> </w:t>
            </w:r>
            <w:r w:rsidRPr="00CA4001">
              <w:rPr>
                <w:rFonts w:ascii="Times New Roman" w:hAnsi="Times New Roman" w:cs="Times New Roman"/>
                <w:noProof/>
                <w:sz w:val="20"/>
                <w:szCs w:val="20"/>
              </w:rPr>
              <w:t>Transfer de tehnologie și cooperare între întreprinderi, centre de cercetare și sectorul învățământului superior</w:t>
            </w:r>
          </w:p>
        </w:tc>
        <w:tc>
          <w:tcPr>
            <w:tcW w:w="1316" w:type="dxa"/>
            <w:tcBorders>
              <w:top w:val="single" w:sz="4" w:space="0" w:color="auto"/>
              <w:left w:val="single" w:sz="4" w:space="0" w:color="auto"/>
              <w:right w:val="single" w:sz="4" w:space="0" w:color="auto"/>
            </w:tcBorders>
            <w:vAlign w:val="center"/>
          </w:tcPr>
          <w:p w14:paraId="738A403B" w14:textId="7ED6F7A1" w:rsidR="00B3273B" w:rsidRPr="008C5F1C" w:rsidRDefault="00B3273B" w:rsidP="00101F9A">
            <w:pPr>
              <w:spacing w:after="0"/>
              <w:jc w:val="right"/>
              <w:rPr>
                <w:rFonts w:ascii="Times New Roman" w:hAnsi="Times New Roman" w:cs="Times New Roman"/>
                <w:b/>
                <w:iCs/>
              </w:rPr>
            </w:pPr>
            <w:r w:rsidRPr="008C5F1C">
              <w:rPr>
                <w:rFonts w:ascii="Times New Roman" w:hAnsi="Times New Roman" w:cs="Times New Roman"/>
                <w:b/>
                <w:bCs/>
              </w:rPr>
              <w:t>29.590.2</w:t>
            </w:r>
            <w:r w:rsidR="00357AF6">
              <w:rPr>
                <w:rFonts w:ascii="Times New Roman" w:hAnsi="Times New Roman" w:cs="Times New Roman"/>
                <w:b/>
                <w:bCs/>
              </w:rPr>
              <w:t>32</w:t>
            </w:r>
            <w:r w:rsidRPr="008C5F1C">
              <w:rPr>
                <w:rFonts w:ascii="Times New Roman" w:hAnsi="Times New Roman" w:cs="Times New Roman"/>
                <w:b/>
                <w:bCs/>
              </w:rPr>
              <w:t xml:space="preserve"> </w:t>
            </w:r>
          </w:p>
        </w:tc>
      </w:tr>
    </w:tbl>
    <w:p w14:paraId="520F2AB9" w14:textId="77777777" w:rsidR="00653571" w:rsidRPr="008C5F1C" w:rsidRDefault="00653571" w:rsidP="00653571">
      <w:pPr>
        <w:rPr>
          <w:rFonts w:ascii="Times New Roman" w:hAnsi="Times New Roman" w:cs="Times New Roman"/>
        </w:rPr>
      </w:pPr>
    </w:p>
    <w:tbl>
      <w:tblPr>
        <w:tblW w:w="8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2257"/>
        <w:gridCol w:w="1559"/>
        <w:gridCol w:w="2177"/>
      </w:tblGrid>
      <w:tr w:rsidR="00653571" w:rsidRPr="008C5F1C" w14:paraId="760C0D92" w14:textId="77777777" w:rsidTr="00B3273B">
        <w:tc>
          <w:tcPr>
            <w:tcW w:w="8976" w:type="dxa"/>
            <w:gridSpan w:val="5"/>
            <w:tcBorders>
              <w:top w:val="single" w:sz="4" w:space="0" w:color="auto"/>
              <w:left w:val="single" w:sz="4" w:space="0" w:color="auto"/>
              <w:bottom w:val="single" w:sz="4" w:space="0" w:color="auto"/>
              <w:right w:val="single" w:sz="4" w:space="0" w:color="auto"/>
            </w:tcBorders>
            <w:hideMark/>
          </w:tcPr>
          <w:p w14:paraId="2AE6DF2A"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Table 5: </w:t>
            </w:r>
            <w:proofErr w:type="spellStart"/>
            <w:r w:rsidRPr="008C5F1C">
              <w:rPr>
                <w:rFonts w:ascii="Times New Roman" w:hAnsi="Times New Roman" w:cs="Times New Roman"/>
                <w:b/>
                <w:iCs/>
              </w:rPr>
              <w:t>Dimension</w:t>
            </w:r>
            <w:proofErr w:type="spellEnd"/>
            <w:r w:rsidRPr="008C5F1C">
              <w:rPr>
                <w:rFonts w:ascii="Times New Roman" w:hAnsi="Times New Roman" w:cs="Times New Roman"/>
                <w:b/>
                <w:iCs/>
              </w:rPr>
              <w:t xml:space="preserve"> 2 – </w:t>
            </w:r>
            <w:proofErr w:type="spellStart"/>
            <w:r w:rsidRPr="008C5F1C">
              <w:rPr>
                <w:rFonts w:ascii="Times New Roman" w:hAnsi="Times New Roman" w:cs="Times New Roman"/>
                <w:b/>
                <w:iCs/>
              </w:rPr>
              <w:t>form</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support</w:t>
            </w:r>
            <w:proofErr w:type="spellEnd"/>
          </w:p>
        </w:tc>
      </w:tr>
      <w:tr w:rsidR="00653571" w:rsidRPr="008C5F1C" w14:paraId="21E28C03" w14:textId="77777777" w:rsidTr="00B3273B">
        <w:tc>
          <w:tcPr>
            <w:tcW w:w="1599" w:type="dxa"/>
            <w:tcBorders>
              <w:top w:val="single" w:sz="4" w:space="0" w:color="auto"/>
              <w:left w:val="single" w:sz="4" w:space="0" w:color="auto"/>
              <w:bottom w:val="single" w:sz="4" w:space="0" w:color="auto"/>
              <w:right w:val="single" w:sz="4" w:space="0" w:color="auto"/>
            </w:tcBorders>
            <w:hideMark/>
          </w:tcPr>
          <w:p w14:paraId="47718689"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Priority</w:t>
            </w:r>
            <w:proofErr w:type="spellEnd"/>
            <w:r w:rsidRPr="008C5F1C">
              <w:rPr>
                <w:rFonts w:ascii="Times New Roman" w:hAnsi="Times New Roman" w:cs="Times New Roman"/>
                <w:b/>
                <w:iCs/>
              </w:rPr>
              <w:t xml:space="preserve"> No</w:t>
            </w:r>
          </w:p>
        </w:tc>
        <w:tc>
          <w:tcPr>
            <w:tcW w:w="1384" w:type="dxa"/>
            <w:tcBorders>
              <w:top w:val="single" w:sz="4" w:space="0" w:color="auto"/>
              <w:left w:val="single" w:sz="4" w:space="0" w:color="auto"/>
              <w:bottom w:val="single" w:sz="4" w:space="0" w:color="auto"/>
              <w:right w:val="single" w:sz="4" w:space="0" w:color="auto"/>
            </w:tcBorders>
            <w:hideMark/>
          </w:tcPr>
          <w:p w14:paraId="69431035"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Fund</w:t>
            </w:r>
          </w:p>
        </w:tc>
        <w:tc>
          <w:tcPr>
            <w:tcW w:w="2257" w:type="dxa"/>
            <w:tcBorders>
              <w:top w:val="single" w:sz="4" w:space="0" w:color="auto"/>
              <w:left w:val="single" w:sz="4" w:space="0" w:color="auto"/>
              <w:bottom w:val="single" w:sz="4" w:space="0" w:color="auto"/>
              <w:right w:val="single" w:sz="4" w:space="0" w:color="auto"/>
            </w:tcBorders>
            <w:hideMark/>
          </w:tcPr>
          <w:p w14:paraId="4CD1A44F"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Category</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region</w:t>
            </w:r>
            <w:proofErr w:type="spellEnd"/>
            <w:r w:rsidRPr="008C5F1C">
              <w:rPr>
                <w:rFonts w:ascii="Times New Roman" w:hAnsi="Times New Roman" w:cs="Times New Roman"/>
                <w:b/>
                <w:iCs/>
                <w:vertAlign w:val="superscript"/>
              </w:rPr>
              <w:footnoteReference w:id="34"/>
            </w:r>
          </w:p>
        </w:tc>
        <w:tc>
          <w:tcPr>
            <w:tcW w:w="1559" w:type="dxa"/>
            <w:tcBorders>
              <w:top w:val="single" w:sz="4" w:space="0" w:color="auto"/>
              <w:left w:val="single" w:sz="4" w:space="0" w:color="auto"/>
              <w:bottom w:val="single" w:sz="4" w:space="0" w:color="auto"/>
              <w:right w:val="single" w:sz="4" w:space="0" w:color="auto"/>
            </w:tcBorders>
            <w:hideMark/>
          </w:tcPr>
          <w:p w14:paraId="2199497C"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Code </w:t>
            </w:r>
          </w:p>
        </w:tc>
        <w:tc>
          <w:tcPr>
            <w:tcW w:w="2175" w:type="dxa"/>
            <w:tcBorders>
              <w:top w:val="single" w:sz="4" w:space="0" w:color="auto"/>
              <w:left w:val="single" w:sz="4" w:space="0" w:color="auto"/>
              <w:bottom w:val="single" w:sz="4" w:space="0" w:color="auto"/>
              <w:right w:val="single" w:sz="4" w:space="0" w:color="auto"/>
            </w:tcBorders>
            <w:hideMark/>
          </w:tcPr>
          <w:p w14:paraId="10A4EB46"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Amount</w:t>
            </w:r>
            <w:proofErr w:type="spellEnd"/>
            <w:r w:rsidRPr="008C5F1C">
              <w:rPr>
                <w:rFonts w:ascii="Times New Roman" w:hAnsi="Times New Roman" w:cs="Times New Roman"/>
                <w:b/>
                <w:iCs/>
              </w:rPr>
              <w:t xml:space="preserve"> (EUR)</w:t>
            </w:r>
          </w:p>
        </w:tc>
      </w:tr>
      <w:tr w:rsidR="0050314A" w:rsidRPr="008C5F1C" w14:paraId="33308DDF" w14:textId="77777777" w:rsidTr="00B3273B">
        <w:trPr>
          <w:trHeight w:val="443"/>
        </w:trPr>
        <w:tc>
          <w:tcPr>
            <w:tcW w:w="1599" w:type="dxa"/>
            <w:tcBorders>
              <w:top w:val="single" w:sz="4" w:space="0" w:color="auto"/>
              <w:left w:val="single" w:sz="4" w:space="0" w:color="auto"/>
              <w:bottom w:val="single" w:sz="4" w:space="0" w:color="auto"/>
              <w:right w:val="single" w:sz="4" w:space="0" w:color="auto"/>
            </w:tcBorders>
          </w:tcPr>
          <w:p w14:paraId="0B220FAE" w14:textId="77777777" w:rsidR="0050314A" w:rsidRPr="008C5F1C" w:rsidRDefault="0050314A" w:rsidP="00534127">
            <w:pPr>
              <w:rPr>
                <w:rFonts w:ascii="Times New Roman" w:hAnsi="Times New Roman" w:cs="Times New Roman"/>
                <w:b/>
                <w:bCs/>
                <w:iCs/>
              </w:rPr>
            </w:pPr>
            <w:r w:rsidRPr="008C5F1C">
              <w:rPr>
                <w:rFonts w:ascii="Times New Roman" w:hAnsi="Times New Roman" w:cs="Times New Roman"/>
                <w:b/>
                <w:bCs/>
                <w:iCs/>
              </w:rPr>
              <w:t>1</w:t>
            </w:r>
          </w:p>
        </w:tc>
        <w:tc>
          <w:tcPr>
            <w:tcW w:w="1384" w:type="dxa"/>
            <w:tcBorders>
              <w:top w:val="single" w:sz="4" w:space="0" w:color="auto"/>
              <w:left w:val="single" w:sz="4" w:space="0" w:color="auto"/>
              <w:bottom w:val="single" w:sz="4" w:space="0" w:color="auto"/>
              <w:right w:val="single" w:sz="4" w:space="0" w:color="auto"/>
            </w:tcBorders>
          </w:tcPr>
          <w:p w14:paraId="34C04FB7" w14:textId="77777777" w:rsidR="0050314A" w:rsidRPr="008C5F1C" w:rsidRDefault="0050314A" w:rsidP="00534127">
            <w:pPr>
              <w:rPr>
                <w:rFonts w:ascii="Times New Roman" w:hAnsi="Times New Roman" w:cs="Times New Roman"/>
                <w:b/>
                <w:iCs/>
              </w:rPr>
            </w:pPr>
            <w:r w:rsidRPr="008C5F1C">
              <w:rPr>
                <w:rFonts w:ascii="Times New Roman" w:hAnsi="Times New Roman" w:cs="Times New Roman"/>
                <w:b/>
                <w:iCs/>
              </w:rPr>
              <w:t>ERDF</w:t>
            </w:r>
          </w:p>
        </w:tc>
        <w:tc>
          <w:tcPr>
            <w:tcW w:w="2257" w:type="dxa"/>
            <w:tcBorders>
              <w:top w:val="single" w:sz="4" w:space="0" w:color="auto"/>
              <w:left w:val="single" w:sz="4" w:space="0" w:color="auto"/>
              <w:bottom w:val="single" w:sz="4" w:space="0" w:color="auto"/>
              <w:right w:val="single" w:sz="4" w:space="0" w:color="auto"/>
            </w:tcBorders>
          </w:tcPr>
          <w:p w14:paraId="50BF0096" w14:textId="77777777" w:rsidR="0050314A" w:rsidRPr="008C5F1C" w:rsidRDefault="0050314A" w:rsidP="00534127">
            <w:pPr>
              <w:rPr>
                <w:rFonts w:ascii="Times New Roman" w:hAnsi="Times New Roman" w:cs="Times New Roman"/>
                <w:b/>
                <w:iCs/>
              </w:rPr>
            </w:pPr>
            <w:proofErr w:type="spellStart"/>
            <w:r w:rsidRPr="008C5F1C">
              <w:rPr>
                <w:rFonts w:ascii="Times New Roman" w:hAnsi="Times New Roman" w:cs="Times New Roman"/>
                <w:b/>
                <w:iCs/>
              </w:rPr>
              <w:t>Less</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developed</w:t>
            </w:r>
            <w:proofErr w:type="spellEnd"/>
          </w:p>
        </w:tc>
        <w:tc>
          <w:tcPr>
            <w:tcW w:w="1559" w:type="dxa"/>
            <w:tcBorders>
              <w:top w:val="single" w:sz="4" w:space="0" w:color="auto"/>
              <w:left w:val="single" w:sz="4" w:space="0" w:color="auto"/>
              <w:bottom w:val="single" w:sz="4" w:space="0" w:color="auto"/>
              <w:right w:val="single" w:sz="4" w:space="0" w:color="auto"/>
            </w:tcBorders>
          </w:tcPr>
          <w:p w14:paraId="4A8663EA" w14:textId="77777777" w:rsidR="0050314A" w:rsidRPr="008C5F1C" w:rsidRDefault="0050314A" w:rsidP="00534127">
            <w:pPr>
              <w:rPr>
                <w:rFonts w:ascii="Times New Roman" w:hAnsi="Times New Roman" w:cs="Times New Roman"/>
                <w:b/>
                <w:iCs/>
              </w:rPr>
            </w:pPr>
            <w:r w:rsidRPr="008C5F1C">
              <w:rPr>
                <w:rFonts w:ascii="Times New Roman" w:eastAsia="Times New Roman" w:hAnsi="Times New Roman" w:cs="Times New Roman"/>
                <w:sz w:val="20"/>
                <w:szCs w:val="20"/>
              </w:rPr>
              <w:t>001 Grant</w:t>
            </w:r>
          </w:p>
        </w:tc>
        <w:tc>
          <w:tcPr>
            <w:tcW w:w="2175" w:type="dxa"/>
            <w:tcBorders>
              <w:top w:val="single" w:sz="4" w:space="0" w:color="auto"/>
              <w:left w:val="single" w:sz="4" w:space="0" w:color="auto"/>
              <w:bottom w:val="single" w:sz="4" w:space="0" w:color="auto"/>
              <w:right w:val="single" w:sz="4" w:space="0" w:color="auto"/>
            </w:tcBorders>
          </w:tcPr>
          <w:p w14:paraId="20B3F7A7" w14:textId="75CC676E" w:rsidR="0050314A" w:rsidRPr="008C5F1C" w:rsidRDefault="00C117F7" w:rsidP="003C6F83">
            <w:pPr>
              <w:jc w:val="right"/>
              <w:rPr>
                <w:rFonts w:ascii="Times New Roman" w:hAnsi="Times New Roman" w:cs="Times New Roman"/>
                <w:b/>
                <w:iCs/>
              </w:rPr>
            </w:pPr>
            <w:r w:rsidRPr="008C5F1C">
              <w:rPr>
                <w:rFonts w:ascii="Times New Roman" w:hAnsi="Times New Roman" w:cs="Times New Roman"/>
                <w:b/>
                <w:iCs/>
              </w:rPr>
              <w:t>241.613.</w:t>
            </w:r>
            <w:r w:rsidR="001D0965" w:rsidRPr="008C5F1C">
              <w:rPr>
                <w:rFonts w:ascii="Times New Roman" w:hAnsi="Times New Roman" w:cs="Times New Roman"/>
                <w:b/>
                <w:iCs/>
              </w:rPr>
              <w:t>145</w:t>
            </w:r>
          </w:p>
        </w:tc>
      </w:tr>
      <w:tr w:rsidR="00C117F7" w:rsidRPr="008C5F1C" w14:paraId="14B972AD" w14:textId="77777777" w:rsidTr="00B3273B">
        <w:trPr>
          <w:trHeight w:val="443"/>
        </w:trPr>
        <w:tc>
          <w:tcPr>
            <w:tcW w:w="1599" w:type="dxa"/>
            <w:tcBorders>
              <w:top w:val="single" w:sz="4" w:space="0" w:color="auto"/>
              <w:left w:val="single" w:sz="4" w:space="0" w:color="auto"/>
              <w:right w:val="single" w:sz="4" w:space="0" w:color="auto"/>
            </w:tcBorders>
          </w:tcPr>
          <w:p w14:paraId="7B9A0297" w14:textId="6391A804" w:rsidR="00C117F7" w:rsidRPr="008C5F1C" w:rsidRDefault="00C117F7" w:rsidP="00C117F7">
            <w:pPr>
              <w:rPr>
                <w:rFonts w:ascii="Times New Roman" w:hAnsi="Times New Roman" w:cs="Times New Roman"/>
                <w:b/>
                <w:bCs/>
                <w:iCs/>
              </w:rPr>
            </w:pPr>
            <w:r w:rsidRPr="008C5F1C">
              <w:rPr>
                <w:rFonts w:ascii="Times New Roman" w:hAnsi="Times New Roman" w:cs="Times New Roman"/>
                <w:b/>
                <w:bCs/>
                <w:iCs/>
              </w:rPr>
              <w:t>1</w:t>
            </w:r>
          </w:p>
        </w:tc>
        <w:tc>
          <w:tcPr>
            <w:tcW w:w="1384" w:type="dxa"/>
            <w:tcBorders>
              <w:top w:val="single" w:sz="4" w:space="0" w:color="auto"/>
              <w:left w:val="single" w:sz="4" w:space="0" w:color="auto"/>
              <w:right w:val="single" w:sz="4" w:space="0" w:color="auto"/>
            </w:tcBorders>
          </w:tcPr>
          <w:p w14:paraId="5E6259A2" w14:textId="1840F1E2" w:rsidR="00C117F7" w:rsidRPr="008C5F1C" w:rsidRDefault="00F43642" w:rsidP="00C117F7">
            <w:pPr>
              <w:rPr>
                <w:rFonts w:ascii="Times New Roman" w:hAnsi="Times New Roman" w:cs="Times New Roman"/>
                <w:b/>
                <w:iCs/>
              </w:rPr>
            </w:pPr>
            <w:r w:rsidRPr="008C5F1C">
              <w:rPr>
                <w:rFonts w:ascii="Times New Roman" w:hAnsi="Times New Roman" w:cs="Times New Roman"/>
                <w:b/>
                <w:iCs/>
              </w:rPr>
              <w:t>CN</w:t>
            </w:r>
          </w:p>
        </w:tc>
        <w:tc>
          <w:tcPr>
            <w:tcW w:w="2257" w:type="dxa"/>
            <w:tcBorders>
              <w:top w:val="single" w:sz="4" w:space="0" w:color="auto"/>
              <w:left w:val="single" w:sz="4" w:space="0" w:color="auto"/>
              <w:right w:val="single" w:sz="4" w:space="0" w:color="auto"/>
            </w:tcBorders>
          </w:tcPr>
          <w:p w14:paraId="7E158293" w14:textId="01628505" w:rsidR="00C117F7" w:rsidRPr="008C5F1C" w:rsidRDefault="00C117F7" w:rsidP="00C117F7">
            <w:pPr>
              <w:rPr>
                <w:rFonts w:ascii="Times New Roman" w:hAnsi="Times New Roman" w:cs="Times New Roman"/>
                <w:b/>
                <w:iCs/>
              </w:rPr>
            </w:pPr>
            <w:proofErr w:type="spellStart"/>
            <w:r w:rsidRPr="008C5F1C">
              <w:rPr>
                <w:rFonts w:ascii="Times New Roman" w:hAnsi="Times New Roman" w:cs="Times New Roman"/>
                <w:b/>
                <w:iCs/>
              </w:rPr>
              <w:t>Less</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developed</w:t>
            </w:r>
            <w:proofErr w:type="spellEnd"/>
          </w:p>
        </w:tc>
        <w:tc>
          <w:tcPr>
            <w:tcW w:w="1559" w:type="dxa"/>
            <w:tcBorders>
              <w:top w:val="single" w:sz="4" w:space="0" w:color="auto"/>
              <w:left w:val="single" w:sz="4" w:space="0" w:color="auto"/>
              <w:right w:val="single" w:sz="4" w:space="0" w:color="auto"/>
            </w:tcBorders>
          </w:tcPr>
          <w:p w14:paraId="1A3F42BB" w14:textId="3B95B9A7" w:rsidR="00C117F7" w:rsidRPr="008C5F1C" w:rsidRDefault="00C117F7" w:rsidP="00C117F7">
            <w:pPr>
              <w:rPr>
                <w:rFonts w:ascii="Times New Roman" w:eastAsia="Times New Roman" w:hAnsi="Times New Roman" w:cs="Times New Roman"/>
                <w:sz w:val="20"/>
                <w:szCs w:val="20"/>
              </w:rPr>
            </w:pPr>
            <w:r w:rsidRPr="008C5F1C">
              <w:rPr>
                <w:rFonts w:ascii="Times New Roman" w:eastAsia="Times New Roman" w:hAnsi="Times New Roman" w:cs="Times New Roman"/>
                <w:sz w:val="20"/>
                <w:szCs w:val="20"/>
              </w:rPr>
              <w:t>001 Grant</w:t>
            </w:r>
          </w:p>
        </w:tc>
        <w:tc>
          <w:tcPr>
            <w:tcW w:w="2175" w:type="dxa"/>
            <w:tcBorders>
              <w:top w:val="single" w:sz="4" w:space="0" w:color="auto"/>
              <w:left w:val="single" w:sz="4" w:space="0" w:color="auto"/>
              <w:right w:val="single" w:sz="4" w:space="0" w:color="auto"/>
            </w:tcBorders>
          </w:tcPr>
          <w:p w14:paraId="07EFC732" w14:textId="3DA8E717" w:rsidR="00C117F7" w:rsidRPr="008C5F1C" w:rsidRDefault="00C117F7" w:rsidP="00C117F7">
            <w:pPr>
              <w:jc w:val="right"/>
              <w:rPr>
                <w:rFonts w:ascii="Times New Roman" w:hAnsi="Times New Roman" w:cs="Times New Roman"/>
                <w:b/>
                <w:iCs/>
              </w:rPr>
            </w:pPr>
            <w:r w:rsidRPr="008C5F1C">
              <w:rPr>
                <w:rFonts w:ascii="Times New Roman" w:hAnsi="Times New Roman" w:cs="Times New Roman"/>
                <w:b/>
                <w:iCs/>
              </w:rPr>
              <w:t>42.637.</w:t>
            </w:r>
            <w:r w:rsidR="001D0965" w:rsidRPr="008C5F1C">
              <w:rPr>
                <w:rFonts w:ascii="Times New Roman" w:hAnsi="Times New Roman" w:cs="Times New Roman"/>
                <w:b/>
                <w:iCs/>
              </w:rPr>
              <w:t>614</w:t>
            </w:r>
          </w:p>
        </w:tc>
      </w:tr>
    </w:tbl>
    <w:p w14:paraId="42C51D11" w14:textId="77777777" w:rsidR="00653571" w:rsidRPr="008C5F1C" w:rsidRDefault="00653571" w:rsidP="00653571">
      <w:pPr>
        <w:rPr>
          <w:rFonts w:ascii="Times New Roman" w:hAnsi="Times New Roman" w:cs="Times New Roman"/>
          <w:b/>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2257"/>
        <w:gridCol w:w="1053"/>
        <w:gridCol w:w="2175"/>
      </w:tblGrid>
      <w:tr w:rsidR="00653571" w:rsidRPr="008C5F1C" w14:paraId="4D0214A1" w14:textId="77777777" w:rsidTr="00534127">
        <w:tc>
          <w:tcPr>
            <w:tcW w:w="8468" w:type="dxa"/>
            <w:gridSpan w:val="5"/>
            <w:tcBorders>
              <w:top w:val="single" w:sz="4" w:space="0" w:color="auto"/>
              <w:left w:val="single" w:sz="4" w:space="0" w:color="auto"/>
              <w:bottom w:val="single" w:sz="4" w:space="0" w:color="auto"/>
              <w:right w:val="single" w:sz="4" w:space="0" w:color="auto"/>
            </w:tcBorders>
            <w:hideMark/>
          </w:tcPr>
          <w:p w14:paraId="1EF8E1FB"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Table 6: </w:t>
            </w:r>
            <w:proofErr w:type="spellStart"/>
            <w:r w:rsidRPr="008C5F1C">
              <w:rPr>
                <w:rFonts w:ascii="Times New Roman" w:hAnsi="Times New Roman" w:cs="Times New Roman"/>
                <w:b/>
                <w:iCs/>
              </w:rPr>
              <w:t>Dimension</w:t>
            </w:r>
            <w:proofErr w:type="spellEnd"/>
            <w:r w:rsidRPr="008C5F1C">
              <w:rPr>
                <w:rFonts w:ascii="Times New Roman" w:hAnsi="Times New Roman" w:cs="Times New Roman"/>
                <w:b/>
                <w:iCs/>
              </w:rPr>
              <w:t xml:space="preserve"> 3 – </w:t>
            </w:r>
            <w:proofErr w:type="spellStart"/>
            <w:r w:rsidRPr="008C5F1C">
              <w:rPr>
                <w:rFonts w:ascii="Times New Roman" w:hAnsi="Times New Roman" w:cs="Times New Roman"/>
                <w:b/>
                <w:iCs/>
              </w:rPr>
              <w:t>territorial</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delivery</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mechanism</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and</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territorial</w:t>
            </w:r>
            <w:proofErr w:type="spellEnd"/>
            <w:r w:rsidRPr="008C5F1C">
              <w:rPr>
                <w:rFonts w:ascii="Times New Roman" w:hAnsi="Times New Roman" w:cs="Times New Roman"/>
                <w:b/>
                <w:iCs/>
              </w:rPr>
              <w:t xml:space="preserve"> focus</w:t>
            </w:r>
          </w:p>
        </w:tc>
      </w:tr>
      <w:tr w:rsidR="00653571" w:rsidRPr="008C5F1C" w14:paraId="57767C1D" w14:textId="77777777" w:rsidTr="00534127">
        <w:tc>
          <w:tcPr>
            <w:tcW w:w="1599" w:type="dxa"/>
            <w:tcBorders>
              <w:top w:val="single" w:sz="4" w:space="0" w:color="auto"/>
              <w:left w:val="single" w:sz="4" w:space="0" w:color="auto"/>
              <w:bottom w:val="single" w:sz="4" w:space="0" w:color="auto"/>
              <w:right w:val="single" w:sz="4" w:space="0" w:color="auto"/>
            </w:tcBorders>
            <w:hideMark/>
          </w:tcPr>
          <w:p w14:paraId="63DE320A"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Priority</w:t>
            </w:r>
            <w:proofErr w:type="spellEnd"/>
            <w:r w:rsidRPr="008C5F1C">
              <w:rPr>
                <w:rFonts w:ascii="Times New Roman" w:hAnsi="Times New Roman" w:cs="Times New Roman"/>
                <w:b/>
                <w:iCs/>
              </w:rPr>
              <w:t xml:space="preserve"> No</w:t>
            </w:r>
          </w:p>
        </w:tc>
        <w:tc>
          <w:tcPr>
            <w:tcW w:w="1384" w:type="dxa"/>
            <w:tcBorders>
              <w:top w:val="single" w:sz="4" w:space="0" w:color="auto"/>
              <w:left w:val="single" w:sz="4" w:space="0" w:color="auto"/>
              <w:bottom w:val="single" w:sz="4" w:space="0" w:color="auto"/>
              <w:right w:val="single" w:sz="4" w:space="0" w:color="auto"/>
            </w:tcBorders>
            <w:hideMark/>
          </w:tcPr>
          <w:p w14:paraId="5E328365"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Fund</w:t>
            </w:r>
          </w:p>
        </w:tc>
        <w:tc>
          <w:tcPr>
            <w:tcW w:w="2257" w:type="dxa"/>
            <w:tcBorders>
              <w:top w:val="single" w:sz="4" w:space="0" w:color="auto"/>
              <w:left w:val="single" w:sz="4" w:space="0" w:color="auto"/>
              <w:bottom w:val="single" w:sz="4" w:space="0" w:color="auto"/>
              <w:right w:val="single" w:sz="4" w:space="0" w:color="auto"/>
            </w:tcBorders>
            <w:hideMark/>
          </w:tcPr>
          <w:p w14:paraId="52E7AAC2"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Category</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region</w:t>
            </w:r>
            <w:proofErr w:type="spellEnd"/>
            <w:r w:rsidRPr="008C5F1C">
              <w:rPr>
                <w:rFonts w:ascii="Times New Roman" w:hAnsi="Times New Roman" w:cs="Times New Roman"/>
                <w:b/>
                <w:iCs/>
                <w:vertAlign w:val="superscript"/>
              </w:rPr>
              <w:footnoteReference w:id="35"/>
            </w:r>
          </w:p>
        </w:tc>
        <w:tc>
          <w:tcPr>
            <w:tcW w:w="1053" w:type="dxa"/>
            <w:tcBorders>
              <w:top w:val="single" w:sz="4" w:space="0" w:color="auto"/>
              <w:left w:val="single" w:sz="4" w:space="0" w:color="auto"/>
              <w:bottom w:val="single" w:sz="4" w:space="0" w:color="auto"/>
              <w:right w:val="single" w:sz="4" w:space="0" w:color="auto"/>
            </w:tcBorders>
            <w:hideMark/>
          </w:tcPr>
          <w:p w14:paraId="1C8EB1FD"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Code </w:t>
            </w:r>
          </w:p>
        </w:tc>
        <w:tc>
          <w:tcPr>
            <w:tcW w:w="2175" w:type="dxa"/>
            <w:tcBorders>
              <w:top w:val="single" w:sz="4" w:space="0" w:color="auto"/>
              <w:left w:val="single" w:sz="4" w:space="0" w:color="auto"/>
              <w:bottom w:val="single" w:sz="4" w:space="0" w:color="auto"/>
              <w:right w:val="single" w:sz="4" w:space="0" w:color="auto"/>
            </w:tcBorders>
            <w:hideMark/>
          </w:tcPr>
          <w:p w14:paraId="294F04C3"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Amount</w:t>
            </w:r>
            <w:proofErr w:type="spellEnd"/>
            <w:r w:rsidRPr="008C5F1C">
              <w:rPr>
                <w:rFonts w:ascii="Times New Roman" w:hAnsi="Times New Roman" w:cs="Times New Roman"/>
                <w:b/>
                <w:iCs/>
              </w:rPr>
              <w:t xml:space="preserve"> (EUR)</w:t>
            </w:r>
          </w:p>
        </w:tc>
      </w:tr>
      <w:tr w:rsidR="00860BFC" w:rsidRPr="008C5F1C" w14:paraId="59D17933" w14:textId="77777777" w:rsidTr="00453556">
        <w:tc>
          <w:tcPr>
            <w:tcW w:w="1599" w:type="dxa"/>
            <w:tcBorders>
              <w:top w:val="single" w:sz="4" w:space="0" w:color="auto"/>
              <w:left w:val="single" w:sz="4" w:space="0" w:color="auto"/>
              <w:bottom w:val="single" w:sz="4" w:space="0" w:color="auto"/>
              <w:right w:val="single" w:sz="4" w:space="0" w:color="auto"/>
            </w:tcBorders>
          </w:tcPr>
          <w:p w14:paraId="7784451D" w14:textId="77777777" w:rsidR="00860BFC" w:rsidRPr="008C5F1C" w:rsidRDefault="00860BFC" w:rsidP="00534127">
            <w:pPr>
              <w:rPr>
                <w:rFonts w:ascii="Times New Roman" w:hAnsi="Times New Roman" w:cs="Times New Roman"/>
                <w:b/>
                <w:iCs/>
              </w:rPr>
            </w:pPr>
            <w:r w:rsidRPr="008C5F1C">
              <w:rPr>
                <w:rFonts w:ascii="Times New Roman" w:hAnsi="Times New Roman" w:cs="Times New Roman"/>
                <w:b/>
                <w:bCs/>
                <w:iCs/>
              </w:rPr>
              <w:t>1</w:t>
            </w:r>
          </w:p>
        </w:tc>
        <w:tc>
          <w:tcPr>
            <w:tcW w:w="1384" w:type="dxa"/>
            <w:tcBorders>
              <w:top w:val="single" w:sz="4" w:space="0" w:color="auto"/>
              <w:left w:val="single" w:sz="4" w:space="0" w:color="auto"/>
              <w:bottom w:val="single" w:sz="4" w:space="0" w:color="auto"/>
              <w:right w:val="single" w:sz="4" w:space="0" w:color="auto"/>
            </w:tcBorders>
          </w:tcPr>
          <w:p w14:paraId="285C6EE9" w14:textId="77777777" w:rsidR="00860BFC" w:rsidRPr="008C5F1C" w:rsidRDefault="00860BFC" w:rsidP="00534127">
            <w:pPr>
              <w:rPr>
                <w:rFonts w:ascii="Times New Roman" w:hAnsi="Times New Roman" w:cs="Times New Roman"/>
                <w:b/>
                <w:iCs/>
              </w:rPr>
            </w:pPr>
            <w:r w:rsidRPr="008C5F1C">
              <w:rPr>
                <w:rFonts w:ascii="Times New Roman" w:hAnsi="Times New Roman" w:cs="Times New Roman"/>
                <w:b/>
                <w:iCs/>
              </w:rPr>
              <w:t>ERDF</w:t>
            </w:r>
          </w:p>
        </w:tc>
        <w:tc>
          <w:tcPr>
            <w:tcW w:w="2257" w:type="dxa"/>
            <w:tcBorders>
              <w:top w:val="single" w:sz="4" w:space="0" w:color="auto"/>
              <w:left w:val="single" w:sz="4" w:space="0" w:color="auto"/>
              <w:bottom w:val="single" w:sz="4" w:space="0" w:color="auto"/>
              <w:right w:val="single" w:sz="4" w:space="0" w:color="auto"/>
            </w:tcBorders>
          </w:tcPr>
          <w:p w14:paraId="7D17A068" w14:textId="77777777" w:rsidR="00860BFC" w:rsidRPr="008C5F1C" w:rsidRDefault="00860BFC" w:rsidP="00534127">
            <w:pPr>
              <w:rPr>
                <w:rFonts w:ascii="Times New Roman" w:hAnsi="Times New Roman" w:cs="Times New Roman"/>
                <w:b/>
                <w:iCs/>
              </w:rPr>
            </w:pPr>
            <w:proofErr w:type="spellStart"/>
            <w:r w:rsidRPr="008C5F1C">
              <w:rPr>
                <w:rFonts w:ascii="Times New Roman" w:hAnsi="Times New Roman" w:cs="Times New Roman"/>
                <w:b/>
                <w:iCs/>
              </w:rPr>
              <w:t>Less</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developed</w:t>
            </w:r>
            <w:proofErr w:type="spellEnd"/>
          </w:p>
        </w:tc>
        <w:tc>
          <w:tcPr>
            <w:tcW w:w="1053" w:type="dxa"/>
            <w:tcBorders>
              <w:top w:val="single" w:sz="4" w:space="0" w:color="auto"/>
              <w:left w:val="single" w:sz="4" w:space="0" w:color="auto"/>
              <w:bottom w:val="single" w:sz="4" w:space="0" w:color="auto"/>
              <w:right w:val="single" w:sz="4" w:space="0" w:color="auto"/>
            </w:tcBorders>
          </w:tcPr>
          <w:p w14:paraId="0E71A5BA" w14:textId="77777777" w:rsidR="00860BFC" w:rsidRPr="008C5F1C" w:rsidRDefault="00860BFC" w:rsidP="00534127">
            <w:pPr>
              <w:rPr>
                <w:rFonts w:ascii="Times New Roman" w:hAnsi="Times New Roman" w:cs="Times New Roman"/>
                <w:b/>
                <w:iCs/>
              </w:rPr>
            </w:pPr>
          </w:p>
        </w:tc>
        <w:tc>
          <w:tcPr>
            <w:tcW w:w="2175" w:type="dxa"/>
            <w:tcBorders>
              <w:top w:val="single" w:sz="4" w:space="0" w:color="auto"/>
              <w:left w:val="single" w:sz="4" w:space="0" w:color="auto"/>
              <w:bottom w:val="single" w:sz="4" w:space="0" w:color="auto"/>
              <w:right w:val="single" w:sz="4" w:space="0" w:color="auto"/>
            </w:tcBorders>
          </w:tcPr>
          <w:p w14:paraId="38EF926F" w14:textId="3F15B8F5" w:rsidR="00860BFC" w:rsidRPr="008C5F1C" w:rsidRDefault="00860BFC" w:rsidP="003C6F83">
            <w:pPr>
              <w:jc w:val="right"/>
              <w:rPr>
                <w:rFonts w:ascii="Times New Roman" w:hAnsi="Times New Roman" w:cs="Times New Roman"/>
                <w:b/>
                <w:iCs/>
              </w:rPr>
            </w:pPr>
          </w:p>
        </w:tc>
      </w:tr>
    </w:tbl>
    <w:p w14:paraId="5423814D" w14:textId="77777777" w:rsidR="00653571" w:rsidRPr="008C5F1C" w:rsidRDefault="00653571" w:rsidP="00653571">
      <w:pPr>
        <w:rPr>
          <w:rFonts w:ascii="Times New Roman" w:hAnsi="Times New Roman" w:cs="Times New Roman"/>
          <w:b/>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2115"/>
        <w:gridCol w:w="1053"/>
        <w:gridCol w:w="2175"/>
      </w:tblGrid>
      <w:tr w:rsidR="00653571" w:rsidRPr="008C5F1C" w14:paraId="1A217758" w14:textId="77777777" w:rsidTr="00534127">
        <w:tc>
          <w:tcPr>
            <w:tcW w:w="8326" w:type="dxa"/>
            <w:gridSpan w:val="5"/>
            <w:tcBorders>
              <w:top w:val="single" w:sz="4" w:space="0" w:color="auto"/>
              <w:left w:val="single" w:sz="4" w:space="0" w:color="auto"/>
              <w:bottom w:val="single" w:sz="4" w:space="0" w:color="auto"/>
              <w:right w:val="single" w:sz="4" w:space="0" w:color="auto"/>
            </w:tcBorders>
            <w:hideMark/>
          </w:tcPr>
          <w:p w14:paraId="712456C3"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Table 7: </w:t>
            </w:r>
            <w:proofErr w:type="spellStart"/>
            <w:r w:rsidRPr="008C5F1C">
              <w:rPr>
                <w:rFonts w:ascii="Times New Roman" w:hAnsi="Times New Roman" w:cs="Times New Roman"/>
                <w:b/>
                <w:iCs/>
              </w:rPr>
              <w:t>Dimension</w:t>
            </w:r>
            <w:proofErr w:type="spellEnd"/>
            <w:r w:rsidRPr="008C5F1C">
              <w:rPr>
                <w:rFonts w:ascii="Times New Roman" w:hAnsi="Times New Roman" w:cs="Times New Roman"/>
                <w:b/>
                <w:iCs/>
              </w:rPr>
              <w:t xml:space="preserve"> 6 – ESF+ </w:t>
            </w:r>
            <w:proofErr w:type="spellStart"/>
            <w:r w:rsidRPr="008C5F1C">
              <w:rPr>
                <w:rFonts w:ascii="Times New Roman" w:hAnsi="Times New Roman" w:cs="Times New Roman"/>
                <w:b/>
                <w:iCs/>
              </w:rPr>
              <w:t>secondary</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themes</w:t>
            </w:r>
            <w:proofErr w:type="spellEnd"/>
          </w:p>
        </w:tc>
      </w:tr>
      <w:tr w:rsidR="00653571" w:rsidRPr="008C5F1C" w14:paraId="3B40DBEB" w14:textId="77777777" w:rsidTr="00534127">
        <w:tc>
          <w:tcPr>
            <w:tcW w:w="1599" w:type="dxa"/>
            <w:tcBorders>
              <w:top w:val="single" w:sz="4" w:space="0" w:color="auto"/>
              <w:left w:val="single" w:sz="4" w:space="0" w:color="auto"/>
              <w:bottom w:val="single" w:sz="4" w:space="0" w:color="auto"/>
              <w:right w:val="single" w:sz="4" w:space="0" w:color="auto"/>
            </w:tcBorders>
            <w:hideMark/>
          </w:tcPr>
          <w:p w14:paraId="10EC323B"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Priority</w:t>
            </w:r>
            <w:proofErr w:type="spellEnd"/>
            <w:r w:rsidRPr="008C5F1C">
              <w:rPr>
                <w:rFonts w:ascii="Times New Roman" w:hAnsi="Times New Roman" w:cs="Times New Roman"/>
                <w:b/>
                <w:iCs/>
              </w:rPr>
              <w:t xml:space="preserve"> No</w:t>
            </w:r>
          </w:p>
        </w:tc>
        <w:tc>
          <w:tcPr>
            <w:tcW w:w="1384" w:type="dxa"/>
            <w:tcBorders>
              <w:top w:val="single" w:sz="4" w:space="0" w:color="auto"/>
              <w:left w:val="single" w:sz="4" w:space="0" w:color="auto"/>
              <w:bottom w:val="single" w:sz="4" w:space="0" w:color="auto"/>
              <w:right w:val="single" w:sz="4" w:space="0" w:color="auto"/>
            </w:tcBorders>
            <w:hideMark/>
          </w:tcPr>
          <w:p w14:paraId="504FAAF1"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Fund</w:t>
            </w:r>
          </w:p>
        </w:tc>
        <w:tc>
          <w:tcPr>
            <w:tcW w:w="2115" w:type="dxa"/>
            <w:tcBorders>
              <w:top w:val="single" w:sz="4" w:space="0" w:color="auto"/>
              <w:left w:val="single" w:sz="4" w:space="0" w:color="auto"/>
              <w:bottom w:val="single" w:sz="4" w:space="0" w:color="auto"/>
              <w:right w:val="single" w:sz="4" w:space="0" w:color="auto"/>
            </w:tcBorders>
            <w:hideMark/>
          </w:tcPr>
          <w:p w14:paraId="1B5DD185"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Category</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region</w:t>
            </w:r>
            <w:proofErr w:type="spellEnd"/>
          </w:p>
        </w:tc>
        <w:tc>
          <w:tcPr>
            <w:tcW w:w="1053" w:type="dxa"/>
            <w:tcBorders>
              <w:top w:val="single" w:sz="4" w:space="0" w:color="auto"/>
              <w:left w:val="single" w:sz="4" w:space="0" w:color="auto"/>
              <w:bottom w:val="single" w:sz="4" w:space="0" w:color="auto"/>
              <w:right w:val="single" w:sz="4" w:space="0" w:color="auto"/>
            </w:tcBorders>
            <w:hideMark/>
          </w:tcPr>
          <w:p w14:paraId="793B995B"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Code </w:t>
            </w:r>
          </w:p>
        </w:tc>
        <w:tc>
          <w:tcPr>
            <w:tcW w:w="2175" w:type="dxa"/>
            <w:tcBorders>
              <w:top w:val="single" w:sz="4" w:space="0" w:color="auto"/>
              <w:left w:val="single" w:sz="4" w:space="0" w:color="auto"/>
              <w:bottom w:val="single" w:sz="4" w:space="0" w:color="auto"/>
              <w:right w:val="single" w:sz="4" w:space="0" w:color="auto"/>
            </w:tcBorders>
            <w:hideMark/>
          </w:tcPr>
          <w:p w14:paraId="7E77212E"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Amount</w:t>
            </w:r>
            <w:proofErr w:type="spellEnd"/>
            <w:r w:rsidRPr="008C5F1C">
              <w:rPr>
                <w:rFonts w:ascii="Times New Roman" w:hAnsi="Times New Roman" w:cs="Times New Roman"/>
                <w:b/>
                <w:iCs/>
              </w:rPr>
              <w:t xml:space="preserve"> (EUR)</w:t>
            </w:r>
          </w:p>
        </w:tc>
      </w:tr>
      <w:tr w:rsidR="00653571" w:rsidRPr="008C5F1C" w14:paraId="4379D88A" w14:textId="77777777" w:rsidTr="00534127">
        <w:tc>
          <w:tcPr>
            <w:tcW w:w="1599" w:type="dxa"/>
            <w:tcBorders>
              <w:top w:val="single" w:sz="4" w:space="0" w:color="auto"/>
              <w:left w:val="single" w:sz="4" w:space="0" w:color="auto"/>
              <w:bottom w:val="single" w:sz="4" w:space="0" w:color="auto"/>
              <w:right w:val="single" w:sz="4" w:space="0" w:color="auto"/>
            </w:tcBorders>
          </w:tcPr>
          <w:p w14:paraId="4241AA1A" w14:textId="77777777" w:rsidR="00653571" w:rsidRPr="008C5F1C" w:rsidRDefault="00653571" w:rsidP="00534127">
            <w:pPr>
              <w:rPr>
                <w:rFonts w:ascii="Times New Roman" w:hAnsi="Times New Roman" w:cs="Times New Roman"/>
                <w:b/>
                <w:iCs/>
              </w:rPr>
            </w:pPr>
          </w:p>
        </w:tc>
        <w:tc>
          <w:tcPr>
            <w:tcW w:w="1384" w:type="dxa"/>
            <w:tcBorders>
              <w:top w:val="single" w:sz="4" w:space="0" w:color="auto"/>
              <w:left w:val="single" w:sz="4" w:space="0" w:color="auto"/>
              <w:bottom w:val="single" w:sz="4" w:space="0" w:color="auto"/>
              <w:right w:val="single" w:sz="4" w:space="0" w:color="auto"/>
            </w:tcBorders>
          </w:tcPr>
          <w:p w14:paraId="6C277837" w14:textId="77777777" w:rsidR="00653571" w:rsidRPr="008C5F1C" w:rsidRDefault="00653571" w:rsidP="00534127">
            <w:pPr>
              <w:rPr>
                <w:rFonts w:ascii="Times New Roman" w:hAnsi="Times New Roman" w:cs="Times New Roman"/>
                <w:b/>
                <w:iCs/>
              </w:rPr>
            </w:pPr>
          </w:p>
        </w:tc>
        <w:tc>
          <w:tcPr>
            <w:tcW w:w="2115" w:type="dxa"/>
            <w:tcBorders>
              <w:top w:val="single" w:sz="4" w:space="0" w:color="auto"/>
              <w:left w:val="single" w:sz="4" w:space="0" w:color="auto"/>
              <w:bottom w:val="single" w:sz="4" w:space="0" w:color="auto"/>
              <w:right w:val="single" w:sz="4" w:space="0" w:color="auto"/>
            </w:tcBorders>
          </w:tcPr>
          <w:p w14:paraId="413BCED7" w14:textId="77777777" w:rsidR="00653571" w:rsidRPr="008C5F1C" w:rsidRDefault="00653571" w:rsidP="00534127">
            <w:pPr>
              <w:rPr>
                <w:rFonts w:ascii="Times New Roman" w:hAnsi="Times New Roman" w:cs="Times New Roman"/>
                <w:b/>
                <w:iCs/>
              </w:rPr>
            </w:pPr>
          </w:p>
        </w:tc>
        <w:tc>
          <w:tcPr>
            <w:tcW w:w="1053" w:type="dxa"/>
            <w:tcBorders>
              <w:top w:val="single" w:sz="4" w:space="0" w:color="auto"/>
              <w:left w:val="single" w:sz="4" w:space="0" w:color="auto"/>
              <w:bottom w:val="single" w:sz="4" w:space="0" w:color="auto"/>
              <w:right w:val="single" w:sz="4" w:space="0" w:color="auto"/>
            </w:tcBorders>
          </w:tcPr>
          <w:p w14:paraId="2E7AE77F" w14:textId="77777777" w:rsidR="00653571" w:rsidRPr="008C5F1C" w:rsidRDefault="00653571" w:rsidP="00534127">
            <w:pPr>
              <w:rPr>
                <w:rFonts w:ascii="Times New Roman" w:hAnsi="Times New Roman" w:cs="Times New Roman"/>
                <w:b/>
                <w:iCs/>
              </w:rPr>
            </w:pPr>
          </w:p>
        </w:tc>
        <w:tc>
          <w:tcPr>
            <w:tcW w:w="2175" w:type="dxa"/>
            <w:tcBorders>
              <w:top w:val="single" w:sz="4" w:space="0" w:color="auto"/>
              <w:left w:val="single" w:sz="4" w:space="0" w:color="auto"/>
              <w:bottom w:val="single" w:sz="4" w:space="0" w:color="auto"/>
              <w:right w:val="single" w:sz="4" w:space="0" w:color="auto"/>
            </w:tcBorders>
          </w:tcPr>
          <w:p w14:paraId="3C0FC15D" w14:textId="77777777" w:rsidR="00653571" w:rsidRPr="008C5F1C" w:rsidRDefault="00653571" w:rsidP="00534127">
            <w:pPr>
              <w:rPr>
                <w:rFonts w:ascii="Times New Roman" w:hAnsi="Times New Roman" w:cs="Times New Roman"/>
                <w:b/>
                <w:iCs/>
              </w:rPr>
            </w:pPr>
          </w:p>
        </w:tc>
      </w:tr>
    </w:tbl>
    <w:p w14:paraId="3474F21C" w14:textId="77777777" w:rsidR="00653571" w:rsidRPr="008C5F1C" w:rsidRDefault="00653571" w:rsidP="00653571">
      <w:pPr>
        <w:tabs>
          <w:tab w:val="left" w:pos="3150"/>
        </w:tabs>
        <w:rPr>
          <w:rFonts w:ascii="Times New Roman" w:hAnsi="Times New Roman" w:cs="Times New Roman"/>
        </w:rPr>
      </w:pPr>
    </w:p>
    <w:p w14:paraId="0578FD0F" w14:textId="77777777" w:rsidR="00653571" w:rsidRPr="008C5F1C" w:rsidRDefault="00653571" w:rsidP="00653571">
      <w:pPr>
        <w:pStyle w:val="Heading3"/>
        <w:numPr>
          <w:ilvl w:val="0"/>
          <w:numId w:val="0"/>
        </w:numPr>
        <w:shd w:val="clear" w:color="auto" w:fill="B4C6E7" w:themeFill="accent1" w:themeFillTint="66"/>
        <w:spacing w:line="276" w:lineRule="auto"/>
        <w:rPr>
          <w:rFonts w:cs="Times New Roman"/>
          <w:noProof/>
          <w:lang w:val="ro-RO"/>
        </w:rPr>
      </w:pPr>
      <w:bookmarkStart w:id="8" w:name="_Toc39840929"/>
      <w:r w:rsidRPr="008C5F1C">
        <w:rPr>
          <w:rFonts w:cs="Times New Roman"/>
          <w:noProof/>
          <w:lang w:val="ro-RO"/>
        </w:rPr>
        <w:t>2.A.3 OS a (i) Dezvoltarea capacit</w:t>
      </w:r>
      <w:r w:rsidR="00BA7827" w:rsidRPr="008C5F1C">
        <w:rPr>
          <w:rFonts w:cs="Times New Roman"/>
          <w:noProof/>
          <w:lang w:val="ro-RO"/>
        </w:rPr>
        <w:t>ă</w:t>
      </w:r>
      <w:r w:rsidR="00E22FF2" w:rsidRPr="008C5F1C">
        <w:rPr>
          <w:rFonts w:cs="Times New Roman"/>
          <w:noProof/>
          <w:lang w:val="ro-RO"/>
        </w:rPr>
        <w:t>ț</w:t>
      </w:r>
      <w:r w:rsidRPr="008C5F1C">
        <w:rPr>
          <w:rFonts w:cs="Times New Roman"/>
          <w:noProof/>
          <w:lang w:val="ro-RO"/>
        </w:rPr>
        <w:t xml:space="preserve">ilor de cercetare </w:t>
      </w:r>
      <w:r w:rsidR="00106240" w:rsidRPr="008C5F1C">
        <w:rPr>
          <w:rFonts w:cs="Times New Roman"/>
          <w:noProof/>
          <w:lang w:val="ro-RO"/>
        </w:rPr>
        <w:t>ș</w:t>
      </w:r>
      <w:r w:rsidRPr="008C5F1C">
        <w:rPr>
          <w:rFonts w:cs="Times New Roman"/>
          <w:noProof/>
          <w:lang w:val="ro-RO"/>
        </w:rPr>
        <w:t xml:space="preserve">i inovare </w:t>
      </w:r>
      <w:r w:rsidR="00106240" w:rsidRPr="008C5F1C">
        <w:rPr>
          <w:rFonts w:cs="Times New Roman"/>
          <w:noProof/>
          <w:lang w:val="ro-RO"/>
        </w:rPr>
        <w:t>ș</w:t>
      </w:r>
      <w:r w:rsidRPr="008C5F1C">
        <w:rPr>
          <w:rFonts w:cs="Times New Roman"/>
          <w:noProof/>
          <w:lang w:val="ro-RO"/>
        </w:rPr>
        <w:t>i adoptarea tehnologiilor avansate</w:t>
      </w:r>
      <w:bookmarkEnd w:id="8"/>
    </w:p>
    <w:p w14:paraId="0D90D69C" w14:textId="77777777" w:rsidR="00653571" w:rsidRPr="008C5F1C" w:rsidRDefault="00653571" w:rsidP="00653571">
      <w:pPr>
        <w:pStyle w:val="Heading4"/>
        <w:numPr>
          <w:ilvl w:val="0"/>
          <w:numId w:val="0"/>
        </w:numPr>
        <w:ind w:left="851" w:hanging="851"/>
        <w:rPr>
          <w:rFonts w:cs="Times New Roman"/>
          <w:noProof/>
          <w:lang w:val="ro-RO"/>
        </w:rPr>
      </w:pPr>
      <w:r w:rsidRPr="008C5F1C">
        <w:rPr>
          <w:rFonts w:cs="Times New Roman"/>
          <w:noProof/>
          <w:lang w:val="ro-RO"/>
        </w:rPr>
        <w:t>2.A.3.1 Interventions of the Funds</w:t>
      </w:r>
    </w:p>
    <w:p w14:paraId="0885CDF5" w14:textId="77777777" w:rsidR="00653571" w:rsidRPr="008C5F1C" w:rsidRDefault="00653571" w:rsidP="00653571">
      <w:pPr>
        <w:spacing w:before="120" w:after="120" w:line="360" w:lineRule="auto"/>
        <w:rPr>
          <w:rFonts w:ascii="Times New Roman" w:eastAsia="Times New Roman" w:hAnsi="Times New Roman" w:cs="Times New Roman"/>
          <w:b/>
          <w:bCs/>
          <w:i/>
          <w:iCs/>
          <w:noProof/>
          <w:sz w:val="24"/>
          <w:szCs w:val="24"/>
          <w:u w:val="single"/>
        </w:rPr>
      </w:pPr>
      <w:r w:rsidRPr="008C5F1C">
        <w:rPr>
          <w:rFonts w:ascii="Times New Roman" w:eastAsia="Times New Roman" w:hAnsi="Times New Roman" w:cs="Times New Roman"/>
          <w:i/>
          <w:noProof/>
          <w:sz w:val="24"/>
          <w:szCs w:val="24"/>
        </w:rPr>
        <w:t>Reference: Article 17(3)(d)(i),(iii),(iv),(v),(vi); The related types of actions – Article 17(3)(d)(i) CPR; Article 6(2) ESF+</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653571" w:rsidRPr="008C5F1C" w14:paraId="50CA0CB1" w14:textId="77777777" w:rsidTr="00534127">
        <w:tc>
          <w:tcPr>
            <w:tcW w:w="9634" w:type="dxa"/>
            <w:tcBorders>
              <w:top w:val="single" w:sz="4" w:space="0" w:color="auto"/>
              <w:left w:val="single" w:sz="4" w:space="0" w:color="auto"/>
              <w:bottom w:val="single" w:sz="4" w:space="0" w:color="auto"/>
              <w:right w:val="single" w:sz="4" w:space="0" w:color="auto"/>
            </w:tcBorders>
            <w:hideMark/>
          </w:tcPr>
          <w:p w14:paraId="1FFEA0D4" w14:textId="580BBE33" w:rsidR="00336446" w:rsidRPr="000662EE" w:rsidRDefault="00336446" w:rsidP="00336446">
            <w:pPr>
              <w:spacing w:after="120" w:line="240" w:lineRule="auto"/>
              <w:jc w:val="both"/>
              <w:rPr>
                <w:rFonts w:ascii="Times New Roman" w:hAnsi="Times New Roman" w:cs="Times New Roman"/>
              </w:rPr>
            </w:pPr>
            <w:r w:rsidRPr="000662EE">
              <w:rPr>
                <w:rFonts w:ascii="Times New Roman" w:hAnsi="Times New Roman" w:cs="Times New Roman"/>
              </w:rPr>
              <w:t xml:space="preserve">La nivelul regiunii se află aproximativ 20% dintre întreprinderile inovatoare din țară,  </w:t>
            </w:r>
            <w:r w:rsidR="00200DAA">
              <w:rPr>
                <w:rFonts w:ascii="Times New Roman" w:hAnsi="Times New Roman" w:cs="Times New Roman"/>
              </w:rPr>
              <w:t>d</w:t>
            </w:r>
            <w:r w:rsidRPr="000662EE">
              <w:rPr>
                <w:rFonts w:ascii="Times New Roman" w:hAnsi="Times New Roman" w:cs="Times New Roman"/>
              </w:rPr>
              <w:t xml:space="preserve">intre acestea 54% </w:t>
            </w:r>
            <w:r w:rsidR="00200DAA">
              <w:rPr>
                <w:rFonts w:ascii="Times New Roman" w:hAnsi="Times New Roman" w:cs="Times New Roman"/>
              </w:rPr>
              <w:t>fiind</w:t>
            </w:r>
            <w:r w:rsidRPr="000662EE">
              <w:rPr>
                <w:rFonts w:ascii="Times New Roman" w:hAnsi="Times New Roman" w:cs="Times New Roman"/>
              </w:rPr>
              <w:t xml:space="preserve"> din domeniul industriei, iar 46% din domeniul serviciilor. Majoritatea firmelor high-tech din regiune sunt din domeniul software/IT, alături de design și producție. Cele 14 clustere industriale din regiune și 15 universități au capacitatea de a stimula inovația în și între IMM-uri</w:t>
            </w:r>
            <w:r w:rsidRPr="000662EE">
              <w:rPr>
                <w:rStyle w:val="FootnoteReference"/>
                <w:rFonts w:ascii="Times New Roman" w:hAnsi="Times New Roman" w:cs="Times New Roman"/>
              </w:rPr>
              <w:footnoteReference w:id="36"/>
            </w:r>
            <w:r w:rsidRPr="000662EE">
              <w:rPr>
                <w:rFonts w:ascii="Times New Roman" w:hAnsi="Times New Roman" w:cs="Times New Roman"/>
              </w:rPr>
              <w:t xml:space="preserve">. </w:t>
            </w:r>
          </w:p>
          <w:p w14:paraId="1458AF71" w14:textId="71E5469A" w:rsidR="00336446" w:rsidRPr="000662EE" w:rsidRDefault="00336446" w:rsidP="00336446">
            <w:pPr>
              <w:spacing w:after="120" w:line="240" w:lineRule="auto"/>
              <w:jc w:val="both"/>
              <w:rPr>
                <w:rFonts w:ascii="Times New Roman" w:hAnsi="Times New Roman" w:cs="Times New Roman"/>
              </w:rPr>
            </w:pPr>
            <w:r w:rsidRPr="000662EE">
              <w:rPr>
                <w:rFonts w:ascii="Times New Roman" w:hAnsi="Times New Roman" w:cs="Times New Roman"/>
              </w:rPr>
              <w:t>În regiune se regăsesc 2</w:t>
            </w:r>
            <w:r w:rsidR="00200DAA">
              <w:rPr>
                <w:rFonts w:ascii="Times New Roman" w:hAnsi="Times New Roman" w:cs="Times New Roman"/>
              </w:rPr>
              <w:t>4</w:t>
            </w:r>
            <w:r w:rsidRPr="000662EE">
              <w:rPr>
                <w:rFonts w:ascii="Times New Roman" w:hAnsi="Times New Roman" w:cs="Times New Roman"/>
              </w:rPr>
              <w:t xml:space="preserve"> unități de CD de interes național, între care 4 universități considerate ca fiind de cercetare avansată, din cele 12 din țară</w:t>
            </w:r>
            <w:r w:rsidRPr="000662EE">
              <w:rPr>
                <w:rStyle w:val="FootnoteReference"/>
                <w:rFonts w:ascii="Times New Roman" w:hAnsi="Times New Roman" w:cs="Times New Roman"/>
              </w:rPr>
              <w:footnoteReference w:id="37"/>
            </w:r>
            <w:r w:rsidR="00EE21C1">
              <w:rPr>
                <w:rFonts w:ascii="Times New Roman" w:hAnsi="Times New Roman" w:cs="Times New Roman"/>
              </w:rPr>
              <w:t xml:space="preserve">. </w:t>
            </w:r>
            <w:r w:rsidRPr="000662EE">
              <w:rPr>
                <w:rFonts w:ascii="Times New Roman" w:hAnsi="Times New Roman" w:cs="Times New Roman"/>
              </w:rPr>
              <w:t>Alături de organizațiile publice, 88 unități și instituții de CD de drept privat din regiune sunt organizate ca societăți comerciale</w:t>
            </w:r>
            <w:r w:rsidRPr="000662EE">
              <w:rPr>
                <w:rStyle w:val="FootnoteReference"/>
                <w:rFonts w:ascii="Times New Roman" w:hAnsi="Times New Roman" w:cs="Times New Roman"/>
              </w:rPr>
              <w:footnoteReference w:id="38"/>
            </w:r>
            <w:r w:rsidRPr="000662EE">
              <w:rPr>
                <w:rFonts w:ascii="Times New Roman" w:hAnsi="Times New Roman" w:cs="Times New Roman"/>
              </w:rPr>
              <w:t>. Cele</w:t>
            </w:r>
            <w:r w:rsidR="00530D63">
              <w:rPr>
                <w:rFonts w:ascii="Times New Roman" w:hAnsi="Times New Roman" w:cs="Times New Roman"/>
              </w:rPr>
              <w:t xml:space="preserve"> 4</w:t>
            </w:r>
            <w:r w:rsidRPr="000662EE">
              <w:rPr>
                <w:rFonts w:ascii="Times New Roman" w:hAnsi="Times New Roman" w:cs="Times New Roman"/>
              </w:rPr>
              <w:t xml:space="preserve"> centre de transfer tehnologic (CTT) și </w:t>
            </w:r>
            <w:r w:rsidR="00530D63">
              <w:rPr>
                <w:rFonts w:ascii="Times New Roman" w:hAnsi="Times New Roman" w:cs="Times New Roman"/>
              </w:rPr>
              <w:t>2</w:t>
            </w:r>
            <w:r w:rsidRPr="000662EE">
              <w:rPr>
                <w:rFonts w:ascii="Times New Roman" w:hAnsi="Times New Roman" w:cs="Times New Roman"/>
              </w:rPr>
              <w:t xml:space="preserve"> centre de informare tehnologică (CIT)  din regiune</w:t>
            </w:r>
            <w:r w:rsidR="008A2045">
              <w:rPr>
                <w:rFonts w:ascii="Times New Roman" w:hAnsi="Times New Roman" w:cs="Times New Roman"/>
              </w:rPr>
              <w:t xml:space="preserve"> susțin activitatea de CD </w:t>
            </w:r>
            <w:r w:rsidRPr="000662EE">
              <w:rPr>
                <w:rFonts w:ascii="Times New Roman" w:hAnsi="Times New Roman" w:cs="Times New Roman"/>
              </w:rPr>
              <w:t>în numeroase domenii și oferă servicii de transfer tehnologic, informare tehnologică și dezvoltare tehnologică, consultanță</w:t>
            </w:r>
            <w:r w:rsidR="00EA0CE5">
              <w:rPr>
                <w:rFonts w:ascii="Times New Roman" w:hAnsi="Times New Roman" w:cs="Times New Roman"/>
              </w:rPr>
              <w:t xml:space="preserve"> specializată</w:t>
            </w:r>
            <w:r w:rsidR="008A2045">
              <w:rPr>
                <w:rFonts w:ascii="Times New Roman" w:hAnsi="Times New Roman" w:cs="Times New Roman"/>
              </w:rPr>
              <w:t xml:space="preserve">, </w:t>
            </w:r>
            <w:r w:rsidRPr="000662EE">
              <w:rPr>
                <w:rFonts w:ascii="Times New Roman" w:hAnsi="Times New Roman" w:cs="Times New Roman"/>
              </w:rPr>
              <w:t xml:space="preserve"> managementul proprietății intelectuale, facilitarea accesului pe piață, </w:t>
            </w:r>
            <w:proofErr w:type="spellStart"/>
            <w:r w:rsidRPr="000662EE">
              <w:rPr>
                <w:rFonts w:ascii="Times New Roman" w:hAnsi="Times New Roman" w:cs="Times New Roman"/>
              </w:rPr>
              <w:t>networ</w:t>
            </w:r>
            <w:r w:rsidR="00EA0CE5">
              <w:rPr>
                <w:rFonts w:ascii="Times New Roman" w:hAnsi="Times New Roman" w:cs="Times New Roman"/>
              </w:rPr>
              <w:t>king</w:t>
            </w:r>
            <w:proofErr w:type="spellEnd"/>
            <w:r w:rsidRPr="000662EE">
              <w:rPr>
                <w:rFonts w:ascii="Times New Roman" w:hAnsi="Times New Roman" w:cs="Times New Roman"/>
              </w:rPr>
              <w:t>.</w:t>
            </w:r>
          </w:p>
          <w:p w14:paraId="294F3B13" w14:textId="77777777" w:rsidR="00336446" w:rsidRPr="000662EE" w:rsidRDefault="00336446" w:rsidP="00336446">
            <w:pPr>
              <w:spacing w:after="120" w:line="240" w:lineRule="auto"/>
              <w:jc w:val="both"/>
              <w:rPr>
                <w:rFonts w:ascii="Times New Roman" w:hAnsi="Times New Roman" w:cs="Times New Roman"/>
              </w:rPr>
            </w:pPr>
            <w:r w:rsidRPr="000662EE">
              <w:rPr>
                <w:rFonts w:ascii="Times New Roman" w:hAnsi="Times New Roman" w:cs="Times New Roman"/>
              </w:rPr>
              <w:t xml:space="preserve">În ciuda potențialului ridicat, regiunea prezintă realizări modeste în materie de inovare. Potrivit </w:t>
            </w:r>
            <w:r w:rsidRPr="000662EE">
              <w:rPr>
                <w:rFonts w:ascii="Times New Roman" w:hAnsi="Times New Roman" w:cs="Times New Roman"/>
                <w:i/>
                <w:iCs/>
              </w:rPr>
              <w:t>Tabloului de bord privind inovarea regională 2019</w:t>
            </w:r>
            <w:r w:rsidRPr="000662EE">
              <w:rPr>
                <w:rStyle w:val="FootnoteReference"/>
                <w:rFonts w:ascii="Times New Roman" w:hAnsi="Times New Roman" w:cs="Times New Roman"/>
              </w:rPr>
              <w:footnoteReference w:id="39"/>
            </w:r>
            <w:r w:rsidRPr="000662EE">
              <w:rPr>
                <w:rFonts w:ascii="Times New Roman" w:hAnsi="Times New Roman" w:cs="Times New Roman"/>
              </w:rPr>
              <w:t xml:space="preserve">, valorile regionale se situează mult sub valorile medii ale UE la </w:t>
            </w:r>
            <w:r w:rsidRPr="000662EE">
              <w:rPr>
                <w:rFonts w:ascii="Times New Roman" w:hAnsi="Times New Roman" w:cs="Times New Roman"/>
              </w:rPr>
              <w:lastRenderedPageBreak/>
              <w:t>toți indicatorii de inovare evaluați, cu excepția publicațiilor științifice. Aproximativ 50% dintre cele 390 de brevete eliberate la nivelul regiunii între 2008-2017 sunt rezultatul activității colectivelor de cercetare din cadrul universităților și sunt localizate în Cluj și Bihor, sau sunt deținute de cercetătorii din institutele de cercetare. Doar 15,5% reprezintă rezultatul activității de cercetare din societăți comerciale din regiune (Cluj și Bistrița-Năsăud), restul fiind deținute de persoane fizice. Rezultatele cercetării nu sunt comercializate de către echipele de cercetare, iar firmele existente nu inovează suficient.</w:t>
            </w:r>
          </w:p>
          <w:p w14:paraId="5F9A0425" w14:textId="069BFA06" w:rsidR="00336446" w:rsidRPr="000662EE" w:rsidRDefault="00EA0CE5" w:rsidP="00336446">
            <w:pPr>
              <w:spacing w:after="120" w:line="240" w:lineRule="auto"/>
              <w:jc w:val="both"/>
              <w:rPr>
                <w:rFonts w:ascii="Times New Roman" w:hAnsi="Times New Roman" w:cs="Times New Roman"/>
              </w:rPr>
            </w:pPr>
            <w:r>
              <w:rPr>
                <w:rFonts w:ascii="Times New Roman" w:hAnsi="Times New Roman" w:cs="Times New Roman"/>
              </w:rPr>
              <w:t>Între</w:t>
            </w:r>
            <w:r w:rsidR="00336446" w:rsidRPr="000662EE">
              <w:rPr>
                <w:rFonts w:ascii="Times New Roman" w:hAnsi="Times New Roman" w:cs="Times New Roman"/>
              </w:rPr>
              <w:t xml:space="preserve"> cauze</w:t>
            </w:r>
            <w:r>
              <w:rPr>
                <w:rFonts w:ascii="Times New Roman" w:hAnsi="Times New Roman" w:cs="Times New Roman"/>
              </w:rPr>
              <w:t>le</w:t>
            </w:r>
            <w:r w:rsidR="00336446" w:rsidRPr="000662EE">
              <w:rPr>
                <w:rFonts w:ascii="Times New Roman" w:hAnsi="Times New Roman" w:cs="Times New Roman"/>
              </w:rPr>
              <w:t xml:space="preserve"> rezultatel</w:t>
            </w:r>
            <w:r>
              <w:rPr>
                <w:rFonts w:ascii="Times New Roman" w:hAnsi="Times New Roman" w:cs="Times New Roman"/>
              </w:rPr>
              <w:t>or</w:t>
            </w:r>
            <w:r w:rsidR="00336446" w:rsidRPr="000662EE">
              <w:rPr>
                <w:rFonts w:ascii="Times New Roman" w:hAnsi="Times New Roman" w:cs="Times New Roman"/>
              </w:rPr>
              <w:t xml:space="preserve"> modeste în materie de valorificare a cercetării </w:t>
            </w:r>
            <w:r>
              <w:rPr>
                <w:rFonts w:ascii="Times New Roman" w:hAnsi="Times New Roman" w:cs="Times New Roman"/>
              </w:rPr>
              <w:t>derulate</w:t>
            </w:r>
            <w:r w:rsidR="00336446" w:rsidRPr="000662EE">
              <w:rPr>
                <w:rFonts w:ascii="Times New Roman" w:hAnsi="Times New Roman" w:cs="Times New Roman"/>
              </w:rPr>
              <w:t xml:space="preserve"> în unitățile CD publice</w:t>
            </w:r>
            <w:r>
              <w:rPr>
                <w:rFonts w:ascii="Times New Roman" w:hAnsi="Times New Roman" w:cs="Times New Roman"/>
              </w:rPr>
              <w:t xml:space="preserve"> se numără </w:t>
            </w:r>
            <w:r w:rsidRPr="000662EE">
              <w:rPr>
                <w:rFonts w:ascii="Times New Roman" w:hAnsi="Times New Roman" w:cs="Times New Roman"/>
              </w:rPr>
              <w:t xml:space="preserve">nivelul scăzut al cheltuielilor cu CDI, </w:t>
            </w:r>
            <w:r>
              <w:rPr>
                <w:rFonts w:ascii="Times New Roman" w:hAnsi="Times New Roman" w:cs="Times New Roman"/>
              </w:rPr>
              <w:t>e</w:t>
            </w:r>
            <w:r w:rsidR="00336446" w:rsidRPr="000662EE">
              <w:rPr>
                <w:rFonts w:ascii="Times New Roman" w:hAnsi="Times New Roman" w:cs="Times New Roman"/>
              </w:rPr>
              <w:t>ducați</w:t>
            </w:r>
            <w:r>
              <w:rPr>
                <w:rFonts w:ascii="Times New Roman" w:hAnsi="Times New Roman" w:cs="Times New Roman"/>
              </w:rPr>
              <w:t>a</w:t>
            </w:r>
            <w:r w:rsidR="00336446" w:rsidRPr="000662EE">
              <w:rPr>
                <w:rFonts w:ascii="Times New Roman" w:hAnsi="Times New Roman" w:cs="Times New Roman"/>
              </w:rPr>
              <w:t xml:space="preserve"> antreprenorială </w:t>
            </w:r>
            <w:r>
              <w:rPr>
                <w:rFonts w:ascii="Times New Roman" w:hAnsi="Times New Roman" w:cs="Times New Roman"/>
              </w:rPr>
              <w:t xml:space="preserve">redusă </w:t>
            </w:r>
            <w:r w:rsidR="00336446" w:rsidRPr="000662EE">
              <w:rPr>
                <w:rFonts w:ascii="Times New Roman" w:hAnsi="Times New Roman" w:cs="Times New Roman"/>
              </w:rPr>
              <w:t xml:space="preserve">în rândul cercetătorilor, lipsa recompenselor pentru comercializarea cercetării, lipsa finanțărilor pentru etapele inițiale (TRL3-7, de la </w:t>
            </w:r>
            <w:proofErr w:type="spellStart"/>
            <w:r w:rsidR="00336446" w:rsidRPr="000662EE">
              <w:rPr>
                <w:rFonts w:ascii="Times New Roman" w:hAnsi="Times New Roman" w:cs="Times New Roman"/>
                <w:i/>
                <w:iCs/>
              </w:rPr>
              <w:t>proof</w:t>
            </w:r>
            <w:proofErr w:type="spellEnd"/>
            <w:r w:rsidR="00336446" w:rsidRPr="000662EE">
              <w:rPr>
                <w:rFonts w:ascii="Times New Roman" w:hAnsi="Times New Roman" w:cs="Times New Roman"/>
                <w:i/>
                <w:iCs/>
              </w:rPr>
              <w:t xml:space="preserve"> of concept</w:t>
            </w:r>
            <w:r w:rsidR="00336446" w:rsidRPr="000662EE">
              <w:rPr>
                <w:rFonts w:ascii="Times New Roman" w:hAnsi="Times New Roman" w:cs="Times New Roman"/>
              </w:rPr>
              <w:t xml:space="preserve"> la minimum </w:t>
            </w:r>
            <w:proofErr w:type="spellStart"/>
            <w:r w:rsidR="00336446" w:rsidRPr="000662EE">
              <w:rPr>
                <w:rFonts w:ascii="Times New Roman" w:hAnsi="Times New Roman" w:cs="Times New Roman"/>
              </w:rPr>
              <w:t>viable</w:t>
            </w:r>
            <w:proofErr w:type="spellEnd"/>
            <w:r w:rsidR="00336446" w:rsidRPr="000662EE">
              <w:rPr>
                <w:rFonts w:ascii="Times New Roman" w:hAnsi="Times New Roman" w:cs="Times New Roman"/>
              </w:rPr>
              <w:t xml:space="preserve"> </w:t>
            </w:r>
            <w:proofErr w:type="spellStart"/>
            <w:r w:rsidR="00336446" w:rsidRPr="000662EE">
              <w:rPr>
                <w:rFonts w:ascii="Times New Roman" w:hAnsi="Times New Roman" w:cs="Times New Roman"/>
              </w:rPr>
              <w:t>prototipe</w:t>
            </w:r>
            <w:proofErr w:type="spellEnd"/>
            <w:r w:rsidR="00336446" w:rsidRPr="000662EE">
              <w:rPr>
                <w:rFonts w:ascii="Times New Roman" w:hAnsi="Times New Roman" w:cs="Times New Roman"/>
              </w:rPr>
              <w:t xml:space="preserve"> (MVP)). </w:t>
            </w:r>
            <w:r>
              <w:rPr>
                <w:rFonts w:ascii="Times New Roman" w:hAnsi="Times New Roman" w:cs="Times New Roman"/>
              </w:rPr>
              <w:t>R</w:t>
            </w:r>
            <w:r w:rsidR="00336446" w:rsidRPr="000662EE">
              <w:rPr>
                <w:rFonts w:ascii="Times New Roman" w:hAnsi="Times New Roman" w:cs="Times New Roman"/>
              </w:rPr>
              <w:t xml:space="preserve">egiunea rămâne în urmă în ceea ce privește tehnologiile generice esențiale (TGE): micro/ </w:t>
            </w:r>
            <w:proofErr w:type="spellStart"/>
            <w:r w:rsidR="00336446" w:rsidRPr="000662EE">
              <w:rPr>
                <w:rFonts w:ascii="Times New Roman" w:hAnsi="Times New Roman" w:cs="Times New Roman"/>
              </w:rPr>
              <w:t>nanoelectronica</w:t>
            </w:r>
            <w:proofErr w:type="spellEnd"/>
            <w:r w:rsidR="00336446" w:rsidRPr="000662EE">
              <w:rPr>
                <w:rFonts w:ascii="Times New Roman" w:hAnsi="Times New Roman" w:cs="Times New Roman"/>
              </w:rPr>
              <w:t>, nanotehnologia, fotonica, materialele avansate, biotehnologia industrială și tehnologiile de fabricare avansate, considerate ca fiind TGE cu aplicabilitate trans-sectorială .</w:t>
            </w:r>
          </w:p>
          <w:p w14:paraId="329DDAC8" w14:textId="4C65DD9D" w:rsidR="00336446" w:rsidRPr="000662EE" w:rsidRDefault="00336446" w:rsidP="00A418DD">
            <w:pPr>
              <w:spacing w:after="120" w:line="240" w:lineRule="auto"/>
              <w:jc w:val="both"/>
              <w:rPr>
                <w:rFonts w:ascii="Times New Roman" w:hAnsi="Times New Roman" w:cs="Times New Roman"/>
              </w:rPr>
            </w:pPr>
            <w:r w:rsidRPr="000662EE">
              <w:rPr>
                <w:rFonts w:ascii="Times New Roman" w:hAnsi="Times New Roman" w:cs="Times New Roman"/>
              </w:rPr>
              <w:t>Acestora li se adaugă provocările cu care se confruntă firmele</w:t>
            </w:r>
            <w:r w:rsidR="00C14246">
              <w:rPr>
                <w:rFonts w:ascii="Times New Roman" w:hAnsi="Times New Roman" w:cs="Times New Roman"/>
              </w:rPr>
              <w:t xml:space="preserve">, precum </w:t>
            </w:r>
            <w:r w:rsidRPr="000662EE">
              <w:rPr>
                <w:rFonts w:ascii="Times New Roman" w:hAnsi="Times New Roman" w:cs="Times New Roman"/>
              </w:rPr>
              <w:t xml:space="preserve">lipsa finanțărilor de tip </w:t>
            </w:r>
            <w:proofErr w:type="spellStart"/>
            <w:r w:rsidRPr="000662EE">
              <w:rPr>
                <w:rFonts w:ascii="Times New Roman" w:hAnsi="Times New Roman" w:cs="Times New Roman"/>
              </w:rPr>
              <w:t>seed</w:t>
            </w:r>
            <w:proofErr w:type="spellEnd"/>
            <w:r w:rsidRPr="000662EE">
              <w:rPr>
                <w:rFonts w:ascii="Times New Roman" w:hAnsi="Times New Roman" w:cs="Times New Roman"/>
              </w:rPr>
              <w:t xml:space="preserve"> și pre-</w:t>
            </w:r>
            <w:proofErr w:type="spellStart"/>
            <w:r w:rsidRPr="000662EE">
              <w:rPr>
                <w:rFonts w:ascii="Times New Roman" w:hAnsi="Times New Roman" w:cs="Times New Roman"/>
              </w:rPr>
              <w:t>seed</w:t>
            </w:r>
            <w:proofErr w:type="spellEnd"/>
            <w:r w:rsidRPr="000662EE">
              <w:rPr>
                <w:rFonts w:ascii="Times New Roman" w:hAnsi="Times New Roman" w:cs="Times New Roman"/>
              </w:rPr>
              <w:t xml:space="preserve"> pentru inovații disruptive, lipsa intermediarilor specializați, lipsa inovării deschise în firmele mari și în instituțiile publice</w:t>
            </w:r>
            <w:r w:rsidRPr="000662EE">
              <w:rPr>
                <w:rStyle w:val="FootnoteReference"/>
                <w:rFonts w:ascii="Times New Roman" w:hAnsi="Times New Roman" w:cs="Times New Roman"/>
              </w:rPr>
              <w:footnoteReference w:id="40"/>
            </w:r>
            <w:r w:rsidR="00C14246">
              <w:rPr>
                <w:rFonts w:ascii="Times New Roman" w:hAnsi="Times New Roman" w:cs="Times New Roman"/>
              </w:rPr>
              <w:t>, n</w:t>
            </w:r>
            <w:r w:rsidRPr="000662EE">
              <w:rPr>
                <w:rFonts w:ascii="Times New Roman" w:hAnsi="Times New Roman" w:cs="Times New Roman"/>
              </w:rPr>
              <w:t>ivelul scăzut de cercetare aplicată și transfer tehnologic, capacitatea redusă de răspuns la nevoile de inovare cerute de către piață, numărul scăzut de companii puternice la nivel național, dar și orientarea scăzută către producție și inovare a IMM-urilor, precum și ponderea scăzută a angajaților din domenii intensive în tehnologie</w:t>
            </w:r>
            <w:r w:rsidRPr="000662EE">
              <w:rPr>
                <w:rStyle w:val="FootnoteReference"/>
                <w:rFonts w:ascii="Times New Roman" w:hAnsi="Times New Roman" w:cs="Times New Roman"/>
              </w:rPr>
              <w:footnoteReference w:id="41"/>
            </w:r>
            <w:r w:rsidRPr="000662EE">
              <w:rPr>
                <w:rFonts w:ascii="Times New Roman" w:hAnsi="Times New Roman" w:cs="Times New Roman"/>
              </w:rPr>
              <w:t xml:space="preserve">. </w:t>
            </w:r>
            <w:r w:rsidR="00C14246">
              <w:rPr>
                <w:rFonts w:ascii="Times New Roman" w:hAnsi="Times New Roman" w:cs="Times New Roman"/>
              </w:rPr>
              <w:t>N</w:t>
            </w:r>
            <w:r w:rsidRPr="000662EE">
              <w:rPr>
                <w:rFonts w:ascii="Times New Roman" w:hAnsi="Times New Roman" w:cs="Times New Roman"/>
              </w:rPr>
              <w:t>evoil</w:t>
            </w:r>
            <w:r w:rsidR="00C14246">
              <w:rPr>
                <w:rFonts w:ascii="Times New Roman" w:hAnsi="Times New Roman" w:cs="Times New Roman"/>
              </w:rPr>
              <w:t>e</w:t>
            </w:r>
            <w:r w:rsidRPr="000662EE">
              <w:rPr>
                <w:rFonts w:ascii="Times New Roman" w:hAnsi="Times New Roman" w:cs="Times New Roman"/>
              </w:rPr>
              <w:t xml:space="preserve"> de transfer tehnologic ale firmelor regionale</w:t>
            </w:r>
            <w:r w:rsidR="00C14246" w:rsidRPr="000662EE">
              <w:rPr>
                <w:rStyle w:val="FootnoteReference"/>
                <w:rFonts w:ascii="Times New Roman" w:hAnsi="Times New Roman" w:cs="Times New Roman"/>
              </w:rPr>
              <w:footnoteReference w:id="42"/>
            </w:r>
            <w:r w:rsidRPr="000662EE">
              <w:rPr>
                <w:rFonts w:ascii="Times New Roman" w:hAnsi="Times New Roman" w:cs="Times New Roman"/>
              </w:rPr>
              <w:t xml:space="preserve"> </w:t>
            </w:r>
            <w:r w:rsidR="00C14246">
              <w:rPr>
                <w:rFonts w:ascii="Times New Roman" w:hAnsi="Times New Roman" w:cs="Times New Roman"/>
              </w:rPr>
              <w:t>vizează</w:t>
            </w:r>
            <w:r w:rsidRPr="000662EE">
              <w:rPr>
                <w:rFonts w:ascii="Times New Roman" w:hAnsi="Times New Roman" w:cs="Times New Roman"/>
              </w:rPr>
              <w:t xml:space="preserve"> următoarele categorii: (i) soluții tehnologice, (ii) informare și </w:t>
            </w:r>
            <w:proofErr w:type="spellStart"/>
            <w:r w:rsidRPr="000662EE">
              <w:rPr>
                <w:rFonts w:ascii="Times New Roman" w:hAnsi="Times New Roman" w:cs="Times New Roman"/>
              </w:rPr>
              <w:t>networking</w:t>
            </w:r>
            <w:proofErr w:type="spellEnd"/>
            <w:r w:rsidRPr="000662EE">
              <w:rPr>
                <w:rFonts w:ascii="Times New Roman" w:hAnsi="Times New Roman" w:cs="Times New Roman"/>
              </w:rPr>
              <w:t xml:space="preserve">, (iii) resurse umane. </w:t>
            </w:r>
            <w:r w:rsidR="00C14246" w:rsidRPr="000662EE">
              <w:rPr>
                <w:rFonts w:ascii="Times New Roman" w:hAnsi="Times New Roman" w:cs="Times New Roman"/>
              </w:rPr>
              <w:t>studiu</w:t>
            </w:r>
          </w:p>
          <w:p w14:paraId="1F20E96D" w14:textId="318361D6" w:rsidR="00F729F2" w:rsidRPr="000662EE" w:rsidRDefault="00F729F2" w:rsidP="00A418DD">
            <w:pPr>
              <w:spacing w:after="120" w:line="240" w:lineRule="auto"/>
              <w:jc w:val="both"/>
              <w:rPr>
                <w:rFonts w:ascii="Times New Roman" w:hAnsi="Times New Roman" w:cs="Times New Roman"/>
              </w:rPr>
            </w:pPr>
            <w:r w:rsidRPr="000662EE">
              <w:rPr>
                <w:rFonts w:ascii="Times New Roman" w:hAnsi="Times New Roman" w:cs="Times New Roman"/>
              </w:rPr>
              <w:t xml:space="preserve">Sectoarele care utilizează tehnologie înaltă și mediu-înaltă concentrează doar 0,9% din numărul de întreprinderi, 9,3% din cifra de afaceri și 9,3% din numărul de salariați, ceea ce indică o intensitate redusă a inovării în mediul privat. Totodată, companiile active în acest domeniu sunt de regulă rezultatul unor investiții străine realizate pe baza avantajului competitiv al forței de muncă înalt calificate, însă cu un cost al factorilor de producție redus, avantajos din punct de vedere al relocalizării. Municipiile Cluj-Napoca și Bistrița concentrează jumătate din totalul forței de muncă încadrată în domenii de tehnologie medie-înaltă, înregistrând totodată și o creștere a numărului salariaților. Alte orașe care completează lista sunt din rândul celor cu tradiție industrială, unde investițiile străine au permis dezvoltarea nivelului de tehnologie (Oradea, Baia Mare, Tăuții </w:t>
            </w:r>
            <w:proofErr w:type="spellStart"/>
            <w:r w:rsidRPr="000662EE">
              <w:rPr>
                <w:rFonts w:ascii="Times New Roman" w:hAnsi="Times New Roman" w:cs="Times New Roman"/>
              </w:rPr>
              <w:t>Măgherăuș</w:t>
            </w:r>
            <w:proofErr w:type="spellEnd"/>
            <w:r w:rsidRPr="000662EE">
              <w:rPr>
                <w:rFonts w:ascii="Times New Roman" w:hAnsi="Times New Roman" w:cs="Times New Roman"/>
              </w:rPr>
              <w:t>, Turda).</w:t>
            </w:r>
          </w:p>
          <w:p w14:paraId="6CDEEE3D" w14:textId="77777777" w:rsidR="00336446" w:rsidRPr="000662EE" w:rsidRDefault="00336446" w:rsidP="00336446">
            <w:pPr>
              <w:spacing w:after="120" w:line="240" w:lineRule="auto"/>
              <w:jc w:val="both"/>
              <w:rPr>
                <w:rFonts w:ascii="Times New Roman" w:hAnsi="Times New Roman" w:cs="Times New Roman"/>
              </w:rPr>
            </w:pPr>
            <w:r w:rsidRPr="000662EE">
              <w:rPr>
                <w:rFonts w:ascii="Times New Roman" w:hAnsi="Times New Roman" w:cs="Times New Roman"/>
              </w:rPr>
              <w:t xml:space="preserve">Potrivit Strategiei de Specializare Inteligentă în Cercetare și Inovare a Regiunii de Dezvoltare Nord-Vest (RIS3 2021-2027), principala cauză identificată pentru insuficienta valorificare a potențialului inovativ este lipsa legăturilor structurale între măsurile de sprijinire a competitivității și cele de suport pentru inovare, între ofertanții rezultatelor de cercetare și actorii de pe piață, lipsa coeziunii ecosistemului de inovare în general. </w:t>
            </w:r>
          </w:p>
          <w:p w14:paraId="3F669438" w14:textId="77777777" w:rsidR="00336446" w:rsidRPr="008C5F1C" w:rsidRDefault="00336446" w:rsidP="00336446">
            <w:pPr>
              <w:spacing w:after="120" w:line="240" w:lineRule="auto"/>
              <w:jc w:val="both"/>
              <w:rPr>
                <w:rFonts w:ascii="Times New Roman" w:hAnsi="Times New Roman" w:cs="Times New Roman"/>
              </w:rPr>
            </w:pPr>
            <w:r w:rsidRPr="000662EE">
              <w:rPr>
                <w:rFonts w:ascii="Times New Roman" w:hAnsi="Times New Roman" w:cs="Times New Roman"/>
              </w:rPr>
              <w:t>Drept urmare, acțiunile prevăzute pentru perioada 2021-2027 au în vedere continuarea procesului de consolidare a capacității de CDI de la nivelul regiunii, precum și de dezvoltare conexiunilor între mediul de CD, afaceri și societate în general, cu scopul de</w:t>
            </w:r>
            <w:r w:rsidRPr="008C5F1C">
              <w:rPr>
                <w:rFonts w:ascii="Times New Roman" w:hAnsi="Times New Roman" w:cs="Times New Roman"/>
              </w:rPr>
              <w:t xml:space="preserve"> a crea produse, procese, practici, metode (de organizare, comercializare, marketing) sau servicii  noi sau îmbunătățite substanțial. Acest lucru presupune spirit antreprenorial, asumarea unor riscuri, dar și ecosisteme de inovare conectate, funcționale, în care există o cooperare efectivă și eficientă între sfera de CDI și mediul de afaceri, iar rezultatele activității de cercetare ajung să fie comercializate pe piață.</w:t>
            </w:r>
          </w:p>
          <w:p w14:paraId="5D50FE23" w14:textId="77777777" w:rsidR="00336446" w:rsidRPr="008C5F1C" w:rsidRDefault="00336446" w:rsidP="00336446">
            <w:pPr>
              <w:spacing w:after="120" w:line="240" w:lineRule="auto"/>
              <w:jc w:val="both"/>
              <w:rPr>
                <w:rFonts w:ascii="Times New Roman" w:hAnsi="Times New Roman" w:cs="Times New Roman"/>
              </w:rPr>
            </w:pPr>
            <w:r w:rsidRPr="008C5F1C">
              <w:rPr>
                <w:rFonts w:ascii="Times New Roman" w:hAnsi="Times New Roman" w:cs="Times New Roman"/>
              </w:rPr>
              <w:t xml:space="preserve">Principalele acțiuni care se urmăresc în cadrul acestui obiectiv sunt legate de sprijinirea integrării organizațiilor CDI în structuri, parteneriate și programe de colaborare transfrontaliere și internaționale, sprijinirea creării unui  sistem atractiv de inovare în economie pentru toate tipurile de inovare și sprijinirea companiilor inovative pentru a depăși provocările descrise mai sus. Acțiunile prevăzute continuă eforturile investiționale depuse în perioadele anterioare de programare și vizează următoarele paliere:   </w:t>
            </w:r>
          </w:p>
          <w:p w14:paraId="07325DBC" w14:textId="29AC09E3" w:rsidR="00336446" w:rsidRPr="008C5F1C" w:rsidRDefault="00336446" w:rsidP="00336446">
            <w:pPr>
              <w:spacing w:line="240" w:lineRule="auto"/>
              <w:jc w:val="both"/>
              <w:rPr>
                <w:rFonts w:ascii="Times New Roman" w:hAnsi="Times New Roman" w:cs="Times New Roman"/>
                <w:b/>
                <w:bCs/>
              </w:rPr>
            </w:pPr>
            <w:r w:rsidRPr="008C5F1C">
              <w:rPr>
                <w:rFonts w:ascii="Times New Roman" w:hAnsi="Times New Roman" w:cs="Times New Roman"/>
                <w:b/>
                <w:bCs/>
              </w:rPr>
              <w:lastRenderedPageBreak/>
              <w:t>a) Dezvoltarea structurilor CDI în folosul întreprinderilor din sectoarele de specializare inteligentă (proiecte CDI de impact regional</w:t>
            </w:r>
            <w:r w:rsidR="003D64F1" w:rsidRPr="008C5F1C">
              <w:rPr>
                <w:rFonts w:ascii="Times New Roman" w:hAnsi="Times New Roman" w:cs="Times New Roman"/>
                <w:b/>
                <w:bCs/>
              </w:rPr>
              <w:t xml:space="preserve"> / local</w:t>
            </w:r>
            <w:r w:rsidRPr="008C5F1C">
              <w:rPr>
                <w:rFonts w:ascii="Times New Roman" w:hAnsi="Times New Roman" w:cs="Times New Roman"/>
                <w:b/>
                <w:bCs/>
              </w:rPr>
              <w:t xml:space="preserve">). </w:t>
            </w:r>
            <w:r w:rsidRPr="008C5F1C">
              <w:rPr>
                <w:rFonts w:ascii="Times New Roman" w:hAnsi="Times New Roman" w:cs="Times New Roman"/>
              </w:rPr>
              <w:t xml:space="preserve">Tipurile de activități avute în vedere sunt următoarele: </w:t>
            </w:r>
          </w:p>
          <w:p w14:paraId="3242A0AE" w14:textId="77777777" w:rsidR="00336446" w:rsidRPr="008C5F1C" w:rsidRDefault="00336446" w:rsidP="00F729F2">
            <w:pPr>
              <w:pStyle w:val="ListParagraph"/>
              <w:numPr>
                <w:ilvl w:val="0"/>
                <w:numId w:val="70"/>
              </w:numPr>
              <w:spacing w:after="0" w:line="240" w:lineRule="auto"/>
              <w:jc w:val="both"/>
              <w:rPr>
                <w:iCs/>
                <w:sz w:val="22"/>
                <w:lang w:val="ro-RO"/>
              </w:rPr>
            </w:pPr>
            <w:r w:rsidRPr="008C5F1C">
              <w:rPr>
                <w:iCs/>
                <w:sz w:val="22"/>
                <w:lang w:val="ro-RO"/>
              </w:rPr>
              <w:t>Activități de cercetare-inovare atât pentru organizații de cercetare cât și pentru întreprinderi realizate prin cooperare intra-regională în domenii RIS3 (informare, promovare, parteneriate și proiecte promovate de acestea), inclusiv intervenții aliniate KIC.</w:t>
            </w:r>
          </w:p>
          <w:p w14:paraId="411B1392" w14:textId="77777777" w:rsidR="00336446" w:rsidRPr="008C5F1C" w:rsidRDefault="00336446" w:rsidP="00F729F2">
            <w:pPr>
              <w:pStyle w:val="ListParagraph"/>
              <w:numPr>
                <w:ilvl w:val="0"/>
                <w:numId w:val="70"/>
              </w:numPr>
              <w:spacing w:after="0" w:line="240" w:lineRule="auto"/>
              <w:jc w:val="both"/>
              <w:rPr>
                <w:iCs/>
                <w:sz w:val="22"/>
                <w:lang w:val="ro-RO"/>
              </w:rPr>
            </w:pPr>
            <w:r w:rsidRPr="008C5F1C">
              <w:rPr>
                <w:iCs/>
                <w:sz w:val="22"/>
                <w:lang w:val="ro-RO"/>
              </w:rPr>
              <w:t xml:space="preserve">Activități de cercetare industrială și/ sau dezvoltare experimentală, derulate individual sau în colaborare. </w:t>
            </w:r>
          </w:p>
          <w:p w14:paraId="46CA9225" w14:textId="77777777" w:rsidR="00336446" w:rsidRPr="008C5F1C" w:rsidRDefault="00336446" w:rsidP="00F729F2">
            <w:pPr>
              <w:pStyle w:val="ListParagraph"/>
              <w:numPr>
                <w:ilvl w:val="0"/>
                <w:numId w:val="70"/>
              </w:numPr>
              <w:spacing w:after="0" w:line="240" w:lineRule="auto"/>
              <w:jc w:val="both"/>
              <w:rPr>
                <w:iCs/>
                <w:sz w:val="22"/>
                <w:lang w:val="ro-RO"/>
              </w:rPr>
            </w:pPr>
            <w:r w:rsidRPr="008C5F1C">
              <w:rPr>
                <w:iCs/>
                <w:sz w:val="22"/>
                <w:lang w:val="ro-RO"/>
              </w:rPr>
              <w:t>Activități CDI în întreprinderi, aferente specializării inteligente la nivel regional (abordare pe lanțul valoric al inovării – activități CDI, valorizare produse/servicii);</w:t>
            </w:r>
          </w:p>
          <w:p w14:paraId="64556191" w14:textId="77777777" w:rsidR="00336446" w:rsidRPr="008C5F1C" w:rsidRDefault="00336446" w:rsidP="00F729F2">
            <w:pPr>
              <w:pStyle w:val="ListParagraph"/>
              <w:numPr>
                <w:ilvl w:val="0"/>
                <w:numId w:val="70"/>
              </w:numPr>
              <w:spacing w:after="0" w:line="240" w:lineRule="auto"/>
              <w:jc w:val="both"/>
              <w:rPr>
                <w:iCs/>
                <w:sz w:val="22"/>
                <w:lang w:val="ro-RO"/>
              </w:rPr>
            </w:pPr>
            <w:r w:rsidRPr="008C5F1C">
              <w:rPr>
                <w:iCs/>
                <w:sz w:val="22"/>
                <w:lang w:val="ro-RO"/>
              </w:rPr>
              <w:t>Activități de cercetare și inovare în centre publice de cercetare, de învățământ superior și de competență, inclusiv colaborarea în rețea, exclusiv în folosul întreprinderilor;</w:t>
            </w:r>
          </w:p>
          <w:p w14:paraId="3A8CE67F" w14:textId="77777777" w:rsidR="00336446" w:rsidRPr="008C5F1C" w:rsidRDefault="00336446" w:rsidP="00F729F2">
            <w:pPr>
              <w:pStyle w:val="ListParagraph"/>
              <w:numPr>
                <w:ilvl w:val="0"/>
                <w:numId w:val="70"/>
              </w:numPr>
              <w:spacing w:after="0" w:line="240" w:lineRule="auto"/>
              <w:jc w:val="both"/>
              <w:rPr>
                <w:iCs/>
                <w:sz w:val="22"/>
                <w:lang w:val="ro-RO"/>
              </w:rPr>
            </w:pPr>
            <w:r w:rsidRPr="008C5F1C">
              <w:rPr>
                <w:iCs/>
                <w:sz w:val="22"/>
                <w:lang w:val="ro-RO"/>
              </w:rPr>
              <w:t>Activități de inovare, inclusiv inovare de proces și organizațională, destinate IMM-urilor.</w:t>
            </w:r>
          </w:p>
          <w:p w14:paraId="4A73626A" w14:textId="77777777" w:rsidR="00336446" w:rsidRPr="008C5F1C" w:rsidRDefault="00336446" w:rsidP="00336446">
            <w:pPr>
              <w:spacing w:after="0"/>
              <w:jc w:val="both"/>
              <w:rPr>
                <w:rFonts w:ascii="Times New Roman" w:hAnsi="Times New Roman" w:cs="Times New Roman"/>
              </w:rPr>
            </w:pPr>
          </w:p>
          <w:p w14:paraId="479352E6" w14:textId="77777777" w:rsidR="00336446" w:rsidRPr="008C5F1C" w:rsidRDefault="00336446" w:rsidP="00336446">
            <w:pPr>
              <w:spacing w:after="0"/>
              <w:jc w:val="both"/>
              <w:rPr>
                <w:rFonts w:ascii="Times New Roman" w:hAnsi="Times New Roman" w:cs="Times New Roman"/>
                <w:b/>
                <w:bCs/>
              </w:rPr>
            </w:pPr>
            <w:r w:rsidRPr="008C5F1C">
              <w:rPr>
                <w:rFonts w:ascii="Times New Roman" w:hAnsi="Times New Roman" w:cs="Times New Roman"/>
                <w:b/>
                <w:bCs/>
              </w:rPr>
              <w:t xml:space="preserve">b) Sprijinirea transferului tehnologic. </w:t>
            </w:r>
            <w:r w:rsidRPr="008C5F1C">
              <w:rPr>
                <w:rFonts w:ascii="Times New Roman" w:hAnsi="Times New Roman" w:cs="Times New Roman"/>
              </w:rPr>
              <w:t>Tipurile de activități avute în vedere sunt următoarele:</w:t>
            </w:r>
          </w:p>
          <w:p w14:paraId="79E02BF3" w14:textId="77777777" w:rsidR="00336446" w:rsidRPr="008C5F1C" w:rsidRDefault="00336446" w:rsidP="00F729F2">
            <w:pPr>
              <w:pStyle w:val="ListParagraph"/>
              <w:numPr>
                <w:ilvl w:val="0"/>
                <w:numId w:val="70"/>
              </w:numPr>
              <w:spacing w:after="0" w:line="240" w:lineRule="auto"/>
              <w:jc w:val="both"/>
              <w:rPr>
                <w:iCs/>
                <w:sz w:val="22"/>
                <w:lang w:val="ro-RO"/>
              </w:rPr>
            </w:pPr>
            <w:r w:rsidRPr="008C5F1C">
              <w:rPr>
                <w:iCs/>
                <w:sz w:val="22"/>
                <w:lang w:val="ro-RO"/>
              </w:rPr>
              <w:t xml:space="preserve">Crearea și dezvoltarea infrastructurilor de inovare si transfer tehnologic (ITT), fizice sau digitale,  în scopul facilitării interacțiunii între mediul CDI și mediul de afaceri și comercializării rezultatelor CDI, inclusiv dezvoltarea unor noi tipuri de infrastructuri care facilitează transferul tehnologic (de ex. </w:t>
            </w:r>
            <w:proofErr w:type="spellStart"/>
            <w:r w:rsidRPr="008C5F1C">
              <w:rPr>
                <w:iCs/>
                <w:sz w:val="22"/>
                <w:lang w:val="ro-RO"/>
              </w:rPr>
              <w:t>demo-lab</w:t>
            </w:r>
            <w:proofErr w:type="spellEnd"/>
            <w:r w:rsidRPr="008C5F1C">
              <w:rPr>
                <w:iCs/>
                <w:sz w:val="22"/>
                <w:lang w:val="ro-RO"/>
              </w:rPr>
              <w:t xml:space="preserve">, living </w:t>
            </w:r>
            <w:proofErr w:type="spellStart"/>
            <w:r w:rsidRPr="008C5F1C">
              <w:rPr>
                <w:iCs/>
                <w:sz w:val="22"/>
                <w:lang w:val="ro-RO"/>
              </w:rPr>
              <w:t>lab</w:t>
            </w:r>
            <w:proofErr w:type="spellEnd"/>
            <w:r w:rsidRPr="008C5F1C">
              <w:rPr>
                <w:iCs/>
                <w:sz w:val="22"/>
                <w:lang w:val="ro-RO"/>
              </w:rPr>
              <w:t xml:space="preserve">, </w:t>
            </w:r>
            <w:proofErr w:type="spellStart"/>
            <w:r w:rsidRPr="008C5F1C">
              <w:rPr>
                <w:iCs/>
                <w:sz w:val="22"/>
                <w:lang w:val="ro-RO"/>
              </w:rPr>
              <w:t>fab</w:t>
            </w:r>
            <w:proofErr w:type="spellEnd"/>
            <w:r w:rsidRPr="008C5F1C">
              <w:rPr>
                <w:iCs/>
                <w:sz w:val="22"/>
                <w:lang w:val="ro-RO"/>
              </w:rPr>
              <w:t xml:space="preserve"> </w:t>
            </w:r>
            <w:proofErr w:type="spellStart"/>
            <w:r w:rsidRPr="008C5F1C">
              <w:rPr>
                <w:iCs/>
                <w:sz w:val="22"/>
                <w:lang w:val="ro-RO"/>
              </w:rPr>
              <w:t>lab</w:t>
            </w:r>
            <w:proofErr w:type="spellEnd"/>
            <w:r w:rsidRPr="008C5F1C">
              <w:rPr>
                <w:iCs/>
                <w:sz w:val="22"/>
                <w:lang w:val="ro-RO"/>
              </w:rPr>
              <w:t xml:space="preserve">, </w:t>
            </w:r>
            <w:proofErr w:type="spellStart"/>
            <w:r w:rsidRPr="008C5F1C">
              <w:rPr>
                <w:iCs/>
                <w:sz w:val="22"/>
                <w:lang w:val="ro-RO"/>
              </w:rPr>
              <w:t>makers-space</w:t>
            </w:r>
            <w:proofErr w:type="spellEnd"/>
            <w:r w:rsidRPr="008C5F1C">
              <w:rPr>
                <w:iCs/>
                <w:sz w:val="22"/>
                <w:lang w:val="ro-RO"/>
              </w:rPr>
              <w:t xml:space="preserve"> etc.) și a serviciilor aferente;</w:t>
            </w:r>
          </w:p>
          <w:p w14:paraId="280306C9" w14:textId="77777777" w:rsidR="00336446" w:rsidRPr="008C5F1C" w:rsidRDefault="00336446" w:rsidP="00F729F2">
            <w:pPr>
              <w:pStyle w:val="ListParagraph"/>
              <w:numPr>
                <w:ilvl w:val="0"/>
                <w:numId w:val="70"/>
              </w:numPr>
              <w:spacing w:after="0" w:line="240" w:lineRule="auto"/>
              <w:jc w:val="both"/>
              <w:rPr>
                <w:iCs/>
                <w:sz w:val="22"/>
                <w:lang w:val="ro-RO"/>
              </w:rPr>
            </w:pPr>
            <w:r w:rsidRPr="008C5F1C">
              <w:rPr>
                <w:iCs/>
                <w:sz w:val="22"/>
                <w:lang w:val="ro-RO"/>
              </w:rPr>
              <w:t>Sprijin acordat pentru desfășurarea serviciilor de TT, inclusiv prin dezvoltarea unor noi tipuri de servicii de transfer tehnologic corelate cu nevoile mediului de afaceri, consultanță specializată în afaceri sau investiții pentru implementarea unui rezultat al cercetării – inovării in parteneriat între IMM-uri și ITT.</w:t>
            </w:r>
          </w:p>
          <w:p w14:paraId="17280A17" w14:textId="77777777" w:rsidR="00336446" w:rsidRPr="008C5F1C" w:rsidRDefault="00336446" w:rsidP="00336446">
            <w:pPr>
              <w:pStyle w:val="ListParagraph"/>
              <w:spacing w:before="0" w:after="0" w:line="240" w:lineRule="auto"/>
              <w:contextualSpacing w:val="0"/>
              <w:jc w:val="both"/>
              <w:rPr>
                <w:sz w:val="22"/>
                <w:lang w:val="ro-RO"/>
              </w:rPr>
            </w:pPr>
          </w:p>
          <w:p w14:paraId="7617C940" w14:textId="77777777" w:rsidR="00336446" w:rsidRPr="008C5F1C" w:rsidRDefault="00336446" w:rsidP="00336446">
            <w:pPr>
              <w:jc w:val="both"/>
              <w:rPr>
                <w:rFonts w:ascii="Times New Roman" w:hAnsi="Times New Roman" w:cs="Times New Roman"/>
              </w:rPr>
            </w:pPr>
            <w:r w:rsidRPr="008C5F1C">
              <w:rPr>
                <w:rFonts w:ascii="Times New Roman" w:hAnsi="Times New Roman" w:cs="Times New Roman"/>
                <w:b/>
                <w:bCs/>
              </w:rPr>
              <w:t>c) Sprijinirea ecosistemului de inovare.</w:t>
            </w:r>
            <w:r w:rsidRPr="008C5F1C">
              <w:rPr>
                <w:rFonts w:ascii="Times New Roman" w:hAnsi="Times New Roman" w:cs="Times New Roman"/>
              </w:rPr>
              <w:t xml:space="preserve"> Sunt avute în vedere intervenții pentru susținerea sectoarelor economice prioritare la nivel regional, conform RIS3 2021-2027, cum ar fi:</w:t>
            </w:r>
          </w:p>
          <w:p w14:paraId="0990A599" w14:textId="77777777" w:rsidR="00336446" w:rsidRPr="008C5F1C" w:rsidRDefault="00336446" w:rsidP="00F729F2">
            <w:pPr>
              <w:pStyle w:val="ListParagraph"/>
              <w:numPr>
                <w:ilvl w:val="0"/>
                <w:numId w:val="70"/>
              </w:numPr>
              <w:spacing w:after="0" w:line="240" w:lineRule="auto"/>
              <w:jc w:val="both"/>
              <w:rPr>
                <w:sz w:val="22"/>
                <w:lang w:val="ro-RO"/>
              </w:rPr>
            </w:pPr>
            <w:r w:rsidRPr="008C5F1C">
              <w:rPr>
                <w:iCs/>
                <w:sz w:val="22"/>
                <w:lang w:val="ro-RO"/>
              </w:rPr>
              <w:t xml:space="preserve">Sprijin pentru firmele noi, în toate stadiile TRL, pentru susținerea inovatorilor radicali și disruptivi, pentru susținerea potențialului lor de creștere a acestora și pentru a scădea rata de eșec. </w:t>
            </w:r>
          </w:p>
          <w:p w14:paraId="0D2D901D" w14:textId="77777777" w:rsidR="00336446" w:rsidRPr="008C5F1C" w:rsidRDefault="00336446" w:rsidP="00F729F2">
            <w:pPr>
              <w:pStyle w:val="ListParagraph"/>
              <w:numPr>
                <w:ilvl w:val="0"/>
                <w:numId w:val="70"/>
              </w:numPr>
              <w:spacing w:after="0" w:line="240" w:lineRule="auto"/>
              <w:jc w:val="both"/>
              <w:rPr>
                <w:sz w:val="22"/>
                <w:lang w:val="ro-RO"/>
              </w:rPr>
            </w:pPr>
            <w:r w:rsidRPr="008C5F1C">
              <w:rPr>
                <w:iCs/>
                <w:sz w:val="22"/>
                <w:lang w:val="ro-RO"/>
              </w:rPr>
              <w:t>Sprijin pentru firmele inovatoare existente, în special a inovatorilor sociali, pentru scalare (scale-</w:t>
            </w:r>
            <w:proofErr w:type="spellStart"/>
            <w:r w:rsidRPr="008C5F1C">
              <w:rPr>
                <w:iCs/>
                <w:sz w:val="22"/>
                <w:lang w:val="ro-RO"/>
              </w:rPr>
              <w:t>up</w:t>
            </w:r>
            <w:proofErr w:type="spellEnd"/>
            <w:r w:rsidRPr="008C5F1C">
              <w:rPr>
                <w:iCs/>
                <w:sz w:val="22"/>
                <w:lang w:val="ro-RO"/>
              </w:rPr>
              <w:t xml:space="preserve">), pentru trecerea de la concept până la produs și dezvoltarea unui prototip minim viabil (MVP) </w:t>
            </w:r>
          </w:p>
          <w:p w14:paraId="27FE5E7C" w14:textId="77777777" w:rsidR="00336446" w:rsidRPr="008C5F1C" w:rsidRDefault="00336446" w:rsidP="00F729F2">
            <w:pPr>
              <w:pStyle w:val="ListParagraph"/>
              <w:numPr>
                <w:ilvl w:val="0"/>
                <w:numId w:val="70"/>
              </w:numPr>
              <w:spacing w:after="0" w:line="240" w:lineRule="auto"/>
              <w:jc w:val="both"/>
              <w:rPr>
                <w:sz w:val="22"/>
                <w:lang w:val="ro-RO"/>
              </w:rPr>
            </w:pPr>
            <w:r w:rsidRPr="008C5F1C">
              <w:rPr>
                <w:sz w:val="22"/>
                <w:lang w:val="ro-RO"/>
              </w:rPr>
              <w:t xml:space="preserve">Dezvoltarea și susținerea activității unor structuri </w:t>
            </w:r>
            <w:proofErr w:type="spellStart"/>
            <w:r w:rsidRPr="008C5F1C">
              <w:rPr>
                <w:sz w:val="22"/>
                <w:lang w:val="ro-RO"/>
              </w:rPr>
              <w:t>colaborative</w:t>
            </w:r>
            <w:proofErr w:type="spellEnd"/>
            <w:r w:rsidRPr="008C5F1C">
              <w:rPr>
                <w:sz w:val="22"/>
                <w:lang w:val="ro-RO"/>
              </w:rPr>
              <w:t xml:space="preserve"> de management a inovării, pepinieră de inițiative </w:t>
            </w:r>
            <w:proofErr w:type="spellStart"/>
            <w:r w:rsidRPr="008C5F1C">
              <w:rPr>
                <w:sz w:val="22"/>
                <w:lang w:val="ro-RO"/>
              </w:rPr>
              <w:t>colaborative</w:t>
            </w:r>
            <w:proofErr w:type="spellEnd"/>
            <w:r w:rsidRPr="008C5F1C">
              <w:rPr>
                <w:sz w:val="22"/>
                <w:lang w:val="ro-RO"/>
              </w:rPr>
              <w:t xml:space="preserve"> între CDI și întreprinderi, de tipul rețele/ observatoare, consorții  regionale de inovare/ </w:t>
            </w:r>
            <w:proofErr w:type="spellStart"/>
            <w:r w:rsidRPr="008C5F1C">
              <w:rPr>
                <w:sz w:val="22"/>
                <w:lang w:val="ro-RO"/>
              </w:rPr>
              <w:t>huburi</w:t>
            </w:r>
            <w:proofErr w:type="spellEnd"/>
            <w:r w:rsidRPr="008C5F1C">
              <w:rPr>
                <w:sz w:val="22"/>
                <w:lang w:val="ro-RO"/>
              </w:rPr>
              <w:t xml:space="preserve"> de inovare / DIH / centre de resurse/ clustere </w:t>
            </w:r>
          </w:p>
          <w:p w14:paraId="099D0954" w14:textId="77777777" w:rsidR="00002E80" w:rsidRPr="008C5F1C" w:rsidRDefault="00002E80" w:rsidP="00466E84">
            <w:pPr>
              <w:pStyle w:val="ListParagraph"/>
              <w:spacing w:before="0" w:after="0" w:line="240" w:lineRule="auto"/>
              <w:ind w:left="232"/>
              <w:contextualSpacing w:val="0"/>
              <w:rPr>
                <w:iCs/>
                <w:sz w:val="22"/>
                <w:lang w:val="ro-RO"/>
              </w:rPr>
            </w:pPr>
          </w:p>
          <w:p w14:paraId="6618643B" w14:textId="0D30BD97" w:rsidR="0090088F" w:rsidRPr="008C5F1C" w:rsidRDefault="00653571" w:rsidP="00E04B60">
            <w:pPr>
              <w:spacing w:after="120" w:line="240" w:lineRule="auto"/>
              <w:jc w:val="both"/>
              <w:rPr>
                <w:rFonts w:ascii="Times New Roman" w:hAnsi="Times New Roman" w:cs="Times New Roman"/>
              </w:rPr>
            </w:pPr>
            <w:r w:rsidRPr="008C5F1C">
              <w:rPr>
                <w:rFonts w:ascii="Times New Roman" w:hAnsi="Times New Roman" w:cs="Times New Roman"/>
              </w:rPr>
              <w:t>În linie cu abordarea strategic</w:t>
            </w:r>
            <w:r w:rsidR="00BA7827" w:rsidRPr="008C5F1C">
              <w:rPr>
                <w:rFonts w:ascii="Times New Roman" w:hAnsi="Times New Roman" w:cs="Times New Roman"/>
              </w:rPr>
              <w:t>ă</w:t>
            </w:r>
            <w:r w:rsidRPr="008C5F1C">
              <w:rPr>
                <w:rFonts w:ascii="Times New Roman" w:hAnsi="Times New Roman" w:cs="Times New Roman"/>
              </w:rPr>
              <w:t xml:space="preserve"> regional</w:t>
            </w:r>
            <w:r w:rsidR="00BA7827" w:rsidRPr="008C5F1C">
              <w:rPr>
                <w:rFonts w:ascii="Times New Roman" w:hAnsi="Times New Roman" w:cs="Times New Roman"/>
              </w:rPr>
              <w:t>ă</w:t>
            </w:r>
            <w:r w:rsidRPr="008C5F1C">
              <w:rPr>
                <w:rFonts w:ascii="Times New Roman" w:hAnsi="Times New Roman" w:cs="Times New Roman"/>
              </w:rPr>
              <w:t xml:space="preserve"> privind inovarea, pentru a maximiza efectele interven</w:t>
            </w:r>
            <w:r w:rsidR="00E22FF2" w:rsidRPr="008C5F1C">
              <w:rPr>
                <w:rFonts w:ascii="Times New Roman" w:hAnsi="Times New Roman" w:cs="Times New Roman"/>
              </w:rPr>
              <w:t>ț</w:t>
            </w:r>
            <w:r w:rsidRPr="008C5F1C">
              <w:rPr>
                <w:rFonts w:ascii="Times New Roman" w:hAnsi="Times New Roman" w:cs="Times New Roman"/>
              </w:rPr>
              <w:t xml:space="preserve">iilor, resursele </w:t>
            </w:r>
            <w:r w:rsidR="00106240" w:rsidRPr="008C5F1C">
              <w:rPr>
                <w:rFonts w:ascii="Times New Roman" w:hAnsi="Times New Roman" w:cs="Times New Roman"/>
              </w:rPr>
              <w:t>ș</w:t>
            </w:r>
            <w:r w:rsidRPr="008C5F1C">
              <w:rPr>
                <w:rFonts w:ascii="Times New Roman" w:hAnsi="Times New Roman" w:cs="Times New Roman"/>
              </w:rPr>
              <w:t>i investi</w:t>
            </w:r>
            <w:r w:rsidR="00E22FF2" w:rsidRPr="008C5F1C">
              <w:rPr>
                <w:rFonts w:ascii="Times New Roman" w:hAnsi="Times New Roman" w:cs="Times New Roman"/>
              </w:rPr>
              <w:t>ț</w:t>
            </w:r>
            <w:r w:rsidRPr="008C5F1C">
              <w:rPr>
                <w:rFonts w:ascii="Times New Roman" w:hAnsi="Times New Roman" w:cs="Times New Roman"/>
              </w:rPr>
              <w:t>iile vor fi orientate c</w:t>
            </w:r>
            <w:r w:rsidR="00BA7827" w:rsidRPr="008C5F1C">
              <w:rPr>
                <w:rFonts w:ascii="Times New Roman" w:hAnsi="Times New Roman" w:cs="Times New Roman"/>
              </w:rPr>
              <w:t>ă</w:t>
            </w:r>
            <w:r w:rsidRPr="008C5F1C">
              <w:rPr>
                <w:rFonts w:ascii="Times New Roman" w:hAnsi="Times New Roman" w:cs="Times New Roman"/>
              </w:rPr>
              <w:t xml:space="preserve">tre domenii care au impact maxim asupra economiei regionale, conducând la transformare </w:t>
            </w:r>
            <w:r w:rsidR="00106240" w:rsidRPr="008C5F1C">
              <w:rPr>
                <w:rFonts w:ascii="Times New Roman" w:hAnsi="Times New Roman" w:cs="Times New Roman"/>
              </w:rPr>
              <w:t>ș</w:t>
            </w:r>
            <w:r w:rsidRPr="008C5F1C">
              <w:rPr>
                <w:rFonts w:ascii="Times New Roman" w:hAnsi="Times New Roman" w:cs="Times New Roman"/>
              </w:rPr>
              <w:t>i regenerare economic</w:t>
            </w:r>
            <w:r w:rsidR="00BA7827" w:rsidRPr="008C5F1C">
              <w:rPr>
                <w:rFonts w:ascii="Times New Roman" w:hAnsi="Times New Roman" w:cs="Times New Roman"/>
              </w:rPr>
              <w:t>ă</w:t>
            </w:r>
            <w:r w:rsidRPr="008C5F1C">
              <w:rPr>
                <w:rFonts w:ascii="Times New Roman" w:hAnsi="Times New Roman" w:cs="Times New Roman"/>
              </w:rPr>
              <w:t xml:space="preserve"> (cf. RIS3 Nord-Vest 2021-2027). De asemenea, interven</w:t>
            </w:r>
            <w:r w:rsidR="00E22FF2" w:rsidRPr="008C5F1C">
              <w:rPr>
                <w:rFonts w:ascii="Times New Roman" w:hAnsi="Times New Roman" w:cs="Times New Roman"/>
              </w:rPr>
              <w:t>ț</w:t>
            </w:r>
            <w:r w:rsidRPr="008C5F1C">
              <w:rPr>
                <w:rFonts w:ascii="Times New Roman" w:hAnsi="Times New Roman" w:cs="Times New Roman"/>
              </w:rPr>
              <w:t>iile vor sprijin cu prioritate ac</w:t>
            </w:r>
            <w:r w:rsidR="00E22FF2" w:rsidRPr="008C5F1C">
              <w:rPr>
                <w:rFonts w:ascii="Times New Roman" w:hAnsi="Times New Roman" w:cs="Times New Roman"/>
              </w:rPr>
              <w:t>ț</w:t>
            </w:r>
            <w:r w:rsidRPr="008C5F1C">
              <w:rPr>
                <w:rFonts w:ascii="Times New Roman" w:hAnsi="Times New Roman" w:cs="Times New Roman"/>
              </w:rPr>
              <w:t>iunile care pot furniza r</w:t>
            </w:r>
            <w:r w:rsidR="00BA7827" w:rsidRPr="008C5F1C">
              <w:rPr>
                <w:rFonts w:ascii="Times New Roman" w:hAnsi="Times New Roman" w:cs="Times New Roman"/>
              </w:rPr>
              <w:t>ă</w:t>
            </w:r>
            <w:r w:rsidRPr="008C5F1C">
              <w:rPr>
                <w:rFonts w:ascii="Times New Roman" w:hAnsi="Times New Roman" w:cs="Times New Roman"/>
              </w:rPr>
              <w:t>spunsuri la provoc</w:t>
            </w:r>
            <w:r w:rsidR="00BA7827" w:rsidRPr="008C5F1C">
              <w:rPr>
                <w:rFonts w:ascii="Times New Roman" w:hAnsi="Times New Roman" w:cs="Times New Roman"/>
              </w:rPr>
              <w:t>ă</w:t>
            </w:r>
            <w:r w:rsidRPr="008C5F1C">
              <w:rPr>
                <w:rFonts w:ascii="Times New Roman" w:hAnsi="Times New Roman" w:cs="Times New Roman"/>
              </w:rPr>
              <w:t>rile societale actuale, în conformitate cu obiectivele de dezvoltare durabil</w:t>
            </w:r>
            <w:r w:rsidR="00BA7827" w:rsidRPr="008C5F1C">
              <w:rPr>
                <w:rFonts w:ascii="Times New Roman" w:hAnsi="Times New Roman" w:cs="Times New Roman"/>
              </w:rPr>
              <w:t>ă</w:t>
            </w:r>
            <w:r w:rsidRPr="008C5F1C">
              <w:rPr>
                <w:rFonts w:ascii="Times New Roman" w:hAnsi="Times New Roman" w:cs="Times New Roman"/>
              </w:rPr>
              <w:t xml:space="preserve"> asumate la nivel european </w:t>
            </w:r>
            <w:r w:rsidR="00106240" w:rsidRPr="008C5F1C">
              <w:rPr>
                <w:rFonts w:ascii="Times New Roman" w:hAnsi="Times New Roman" w:cs="Times New Roman"/>
              </w:rPr>
              <w:t>ș</w:t>
            </w:r>
            <w:r w:rsidRPr="008C5F1C">
              <w:rPr>
                <w:rFonts w:ascii="Times New Roman" w:hAnsi="Times New Roman" w:cs="Times New Roman"/>
              </w:rPr>
              <w:t>i na</w:t>
            </w:r>
            <w:r w:rsidR="00E22FF2" w:rsidRPr="008C5F1C">
              <w:rPr>
                <w:rFonts w:ascii="Times New Roman" w:hAnsi="Times New Roman" w:cs="Times New Roman"/>
              </w:rPr>
              <w:t>ț</w:t>
            </w:r>
            <w:r w:rsidRPr="008C5F1C">
              <w:rPr>
                <w:rFonts w:ascii="Times New Roman" w:hAnsi="Times New Roman" w:cs="Times New Roman"/>
              </w:rPr>
              <w:t xml:space="preserve">ional, inclusiv în contextul crizei COVID. </w:t>
            </w:r>
          </w:p>
        </w:tc>
      </w:tr>
    </w:tbl>
    <w:p w14:paraId="7255B34C" w14:textId="77777777" w:rsidR="00653571" w:rsidRPr="008C5F1C" w:rsidRDefault="00653571" w:rsidP="00653571">
      <w:pPr>
        <w:spacing w:before="120" w:after="120" w:line="360" w:lineRule="auto"/>
        <w:rPr>
          <w:rFonts w:ascii="Times New Roman" w:eastAsia="Times New Roman" w:hAnsi="Times New Roman" w:cs="Times New Roman"/>
          <w:b/>
          <w:i/>
          <w:iCs/>
          <w:noProof/>
          <w:sz w:val="24"/>
          <w:szCs w:val="24"/>
        </w:rPr>
      </w:pPr>
      <w:r w:rsidRPr="008C5F1C">
        <w:rPr>
          <w:rFonts w:ascii="Times New Roman" w:eastAsia="Times New Roman" w:hAnsi="Times New Roman" w:cs="Times New Roman"/>
          <w:i/>
          <w:noProof/>
          <w:sz w:val="24"/>
          <w:szCs w:val="24"/>
        </w:rPr>
        <w:lastRenderedPageBreak/>
        <w:t>The main target groups - Article 17(3)(d)(iii):</w:t>
      </w:r>
    </w:p>
    <w:p w14:paraId="67359B8C" w14:textId="77777777" w:rsidR="00A53C23" w:rsidRPr="008C5F1C" w:rsidRDefault="002A78D0" w:rsidP="00F24910">
      <w:pPr>
        <w:pBdr>
          <w:top w:val="single" w:sz="4" w:space="1" w:color="auto"/>
          <w:left w:val="single" w:sz="4" w:space="4" w:color="auto"/>
          <w:bottom w:val="single" w:sz="4" w:space="0" w:color="auto"/>
          <w:right w:val="single" w:sz="4" w:space="4" w:color="auto"/>
        </w:pBdr>
        <w:spacing w:after="0" w:line="240" w:lineRule="auto"/>
        <w:ind w:left="360"/>
        <w:rPr>
          <w:rFonts w:ascii="Times New Roman" w:hAnsi="Times New Roman" w:cs="Times New Roman"/>
        </w:rPr>
      </w:pPr>
      <w:r w:rsidRPr="008C5F1C">
        <w:rPr>
          <w:rFonts w:ascii="Times New Roman" w:hAnsi="Times New Roman" w:cs="Times New Roman"/>
        </w:rPr>
        <w:t xml:space="preserve">Sunt avute în vedere următoarele categorii de grupuri țintă: </w:t>
      </w:r>
    </w:p>
    <w:p w14:paraId="5CCC5202" w14:textId="42D7ADDC" w:rsidR="002A78D0" w:rsidRPr="008C5F1C" w:rsidRDefault="002A78D0" w:rsidP="00F24910">
      <w:pPr>
        <w:pBdr>
          <w:top w:val="single" w:sz="4" w:space="1" w:color="auto"/>
          <w:left w:val="single" w:sz="4" w:space="4" w:color="auto"/>
          <w:bottom w:val="single" w:sz="4" w:space="0" w:color="auto"/>
          <w:right w:val="single" w:sz="4" w:space="4" w:color="auto"/>
        </w:pBdr>
        <w:spacing w:after="0" w:line="240" w:lineRule="auto"/>
        <w:ind w:left="360"/>
        <w:rPr>
          <w:rFonts w:ascii="Times New Roman" w:hAnsi="Times New Roman" w:cs="Times New Roman"/>
        </w:rPr>
      </w:pPr>
      <w:r w:rsidRPr="008C5F1C">
        <w:rPr>
          <w:rFonts w:ascii="Times New Roman" w:hAnsi="Times New Roman" w:cs="Times New Roman"/>
        </w:rPr>
        <w:t xml:space="preserve">Întreprinderi mici și mijlocii </w:t>
      </w:r>
    </w:p>
    <w:p w14:paraId="25730A0B" w14:textId="77777777" w:rsidR="002A78D0" w:rsidRPr="008C5F1C" w:rsidRDefault="002A78D0" w:rsidP="00F24910">
      <w:pPr>
        <w:pBdr>
          <w:top w:val="single" w:sz="4" w:space="1" w:color="auto"/>
          <w:left w:val="single" w:sz="4" w:space="4" w:color="auto"/>
          <w:bottom w:val="single" w:sz="4" w:space="0" w:color="auto"/>
          <w:right w:val="single" w:sz="4" w:space="4" w:color="auto"/>
        </w:pBdr>
        <w:spacing w:after="0" w:line="240" w:lineRule="auto"/>
        <w:ind w:left="360"/>
        <w:rPr>
          <w:rFonts w:ascii="Times New Roman" w:hAnsi="Times New Roman" w:cs="Times New Roman"/>
        </w:rPr>
      </w:pPr>
      <w:r w:rsidRPr="008C5F1C">
        <w:rPr>
          <w:rFonts w:ascii="Times New Roman" w:hAnsi="Times New Roman" w:cs="Times New Roman"/>
        </w:rPr>
        <w:t>Organizații de Cercetare Dezvoltare și Inovare</w:t>
      </w:r>
    </w:p>
    <w:p w14:paraId="49551060" w14:textId="77777777" w:rsidR="002A78D0" w:rsidRPr="008C5F1C" w:rsidRDefault="002A78D0" w:rsidP="00F24910">
      <w:pPr>
        <w:pBdr>
          <w:top w:val="single" w:sz="4" w:space="1" w:color="auto"/>
          <w:left w:val="single" w:sz="4" w:space="4" w:color="auto"/>
          <w:bottom w:val="single" w:sz="4" w:space="0" w:color="auto"/>
          <w:right w:val="single" w:sz="4" w:space="4" w:color="auto"/>
        </w:pBdr>
        <w:spacing w:after="0" w:line="240" w:lineRule="auto"/>
        <w:ind w:left="360"/>
        <w:rPr>
          <w:rFonts w:ascii="Times New Roman" w:hAnsi="Times New Roman" w:cs="Times New Roman"/>
        </w:rPr>
      </w:pPr>
      <w:r w:rsidRPr="008C5F1C">
        <w:rPr>
          <w:rFonts w:ascii="Times New Roman" w:hAnsi="Times New Roman" w:cs="Times New Roman"/>
        </w:rPr>
        <w:t>Universități</w:t>
      </w:r>
    </w:p>
    <w:p w14:paraId="5F621E8C" w14:textId="607CCC08" w:rsidR="002A78D0" w:rsidRPr="008C5F1C" w:rsidRDefault="002A78D0" w:rsidP="00F24910">
      <w:pPr>
        <w:pBdr>
          <w:top w:val="single" w:sz="4" w:space="1" w:color="auto"/>
          <w:left w:val="single" w:sz="4" w:space="4" w:color="auto"/>
          <w:bottom w:val="single" w:sz="4" w:space="0" w:color="auto"/>
          <w:right w:val="single" w:sz="4" w:space="4" w:color="auto"/>
        </w:pBdr>
        <w:spacing w:after="0" w:line="240" w:lineRule="auto"/>
        <w:ind w:left="360"/>
        <w:rPr>
          <w:rFonts w:ascii="Times New Roman" w:hAnsi="Times New Roman" w:cs="Times New Roman"/>
        </w:rPr>
      </w:pPr>
      <w:r w:rsidRPr="008C5F1C">
        <w:rPr>
          <w:rFonts w:ascii="Times New Roman" w:hAnsi="Times New Roman" w:cs="Times New Roman"/>
        </w:rPr>
        <w:t>Entități de</w:t>
      </w:r>
      <w:r w:rsidR="001422AF" w:rsidRPr="008C5F1C">
        <w:rPr>
          <w:rFonts w:ascii="Times New Roman" w:hAnsi="Times New Roman" w:cs="Times New Roman"/>
        </w:rPr>
        <w:t xml:space="preserve"> Inovare si</w:t>
      </w:r>
      <w:r w:rsidRPr="008C5F1C">
        <w:rPr>
          <w:rFonts w:ascii="Times New Roman" w:hAnsi="Times New Roman" w:cs="Times New Roman"/>
        </w:rPr>
        <w:t xml:space="preserve"> Transfer Tehnologic</w:t>
      </w:r>
    </w:p>
    <w:p w14:paraId="523ABB5F" w14:textId="77777777" w:rsidR="002A78D0" w:rsidRPr="008C5F1C" w:rsidRDefault="002A78D0" w:rsidP="00F24910">
      <w:pPr>
        <w:pBdr>
          <w:top w:val="single" w:sz="4" w:space="1" w:color="auto"/>
          <w:left w:val="single" w:sz="4" w:space="4" w:color="auto"/>
          <w:bottom w:val="single" w:sz="4" w:space="0" w:color="auto"/>
          <w:right w:val="single" w:sz="4" w:space="4" w:color="auto"/>
        </w:pBdr>
        <w:spacing w:after="0" w:line="240" w:lineRule="auto"/>
        <w:ind w:left="360"/>
        <w:rPr>
          <w:rFonts w:ascii="Times New Roman" w:hAnsi="Times New Roman" w:cs="Times New Roman"/>
        </w:rPr>
      </w:pPr>
      <w:r w:rsidRPr="008C5F1C">
        <w:rPr>
          <w:rFonts w:ascii="Times New Roman" w:hAnsi="Times New Roman" w:cs="Times New Roman"/>
        </w:rPr>
        <w:t>Alte organizații din sistemul regional de inovare, inclusiv clustere, incubatoare, acceleratoare etc.</w:t>
      </w:r>
    </w:p>
    <w:p w14:paraId="32331589" w14:textId="77777777" w:rsidR="00653571" w:rsidRPr="008C5F1C" w:rsidRDefault="00653571" w:rsidP="00653571">
      <w:pPr>
        <w:spacing w:before="120" w:after="120" w:line="360" w:lineRule="auto"/>
        <w:rPr>
          <w:rFonts w:ascii="Times New Roman" w:eastAsia="Times New Roman" w:hAnsi="Times New Roman" w:cs="Times New Roman"/>
          <w:i/>
          <w:noProof/>
          <w:sz w:val="24"/>
          <w:szCs w:val="24"/>
        </w:rPr>
      </w:pPr>
      <w:r w:rsidRPr="008C5F1C">
        <w:rPr>
          <w:rFonts w:ascii="Times New Roman" w:eastAsia="Times New Roman" w:hAnsi="Times New Roman" w:cs="Times New Roman"/>
          <w:i/>
          <w:noProof/>
          <w:sz w:val="24"/>
          <w:szCs w:val="24"/>
        </w:rPr>
        <w:t>Specific territories tageted, including the planned use of territorial tools – Article 17(3)(d)(iv)</w:t>
      </w:r>
    </w:p>
    <w:p w14:paraId="6CCE036E" w14:textId="77777777" w:rsidR="00653571" w:rsidRPr="008C5F1C" w:rsidRDefault="00653571" w:rsidP="0065357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rPr>
      </w:pPr>
      <w:r w:rsidRPr="008C5F1C">
        <w:rPr>
          <w:rFonts w:ascii="Times New Roman" w:eastAsia="Times New Roman" w:hAnsi="Times New Roman" w:cs="Times New Roman"/>
          <w:i/>
          <w:iCs/>
          <w:noProof/>
          <w:sz w:val="24"/>
          <w:szCs w:val="24"/>
        </w:rPr>
        <w:t>Nu este cazul</w:t>
      </w:r>
    </w:p>
    <w:p w14:paraId="36668AEC" w14:textId="77777777" w:rsidR="00653571" w:rsidRPr="008C5F1C" w:rsidRDefault="00653571" w:rsidP="00653571">
      <w:pPr>
        <w:spacing w:before="120" w:after="120" w:line="360" w:lineRule="auto"/>
        <w:rPr>
          <w:rFonts w:ascii="Times New Roman" w:eastAsia="Times New Roman" w:hAnsi="Times New Roman" w:cs="Times New Roman"/>
          <w:b/>
          <w:i/>
          <w:iCs/>
          <w:noProof/>
          <w:sz w:val="24"/>
          <w:szCs w:val="24"/>
        </w:rPr>
      </w:pPr>
      <w:r w:rsidRPr="008C5F1C">
        <w:rPr>
          <w:rFonts w:ascii="Times New Roman" w:eastAsia="Times New Roman" w:hAnsi="Times New Roman" w:cs="Times New Roman"/>
          <w:i/>
          <w:noProof/>
          <w:sz w:val="24"/>
          <w:szCs w:val="24"/>
        </w:rPr>
        <w:lastRenderedPageBreak/>
        <w:t>The interregional and transnational actions  –Article – 17(3)(d)(v)</w:t>
      </w:r>
    </w:p>
    <w:p w14:paraId="16EC523C" w14:textId="77777777" w:rsidR="00653571" w:rsidRPr="008C5F1C" w:rsidRDefault="00653571" w:rsidP="0065357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rPr>
      </w:pPr>
      <w:r w:rsidRPr="008C5F1C">
        <w:rPr>
          <w:rFonts w:ascii="Times New Roman" w:eastAsia="Times New Roman" w:hAnsi="Times New Roman" w:cs="Times New Roman"/>
          <w:i/>
          <w:iCs/>
          <w:noProof/>
          <w:sz w:val="24"/>
          <w:szCs w:val="24"/>
        </w:rPr>
        <w:t>Nu este cazul</w:t>
      </w:r>
    </w:p>
    <w:p w14:paraId="031B7AC1" w14:textId="77777777" w:rsidR="00653571" w:rsidRPr="008C5F1C" w:rsidRDefault="00653571" w:rsidP="00653571">
      <w:pPr>
        <w:spacing w:before="120" w:after="120" w:line="360" w:lineRule="auto"/>
        <w:rPr>
          <w:rFonts w:ascii="Times New Roman" w:eastAsia="Times New Roman" w:hAnsi="Times New Roman" w:cs="Times New Roman"/>
          <w:b/>
          <w:i/>
          <w:iCs/>
          <w:noProof/>
          <w:sz w:val="24"/>
          <w:szCs w:val="24"/>
        </w:rPr>
      </w:pPr>
      <w:r w:rsidRPr="008C5F1C">
        <w:rPr>
          <w:rFonts w:ascii="Times New Roman" w:eastAsia="Times New Roman" w:hAnsi="Times New Roman" w:cs="Times New Roman"/>
          <w:i/>
          <w:noProof/>
          <w:sz w:val="24"/>
          <w:szCs w:val="24"/>
        </w:rPr>
        <w:t>The planned use of financial instruments – Article – 17(3)(d)(vi)</w:t>
      </w:r>
    </w:p>
    <w:p w14:paraId="5040DF02" w14:textId="700F1412" w:rsidR="00E2734C" w:rsidRPr="008C5F1C" w:rsidRDefault="00E2734C" w:rsidP="0065357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rPr>
      </w:pPr>
    </w:p>
    <w:p w14:paraId="63B81F9A" w14:textId="77777777" w:rsidR="00653571" w:rsidRPr="008C5F1C" w:rsidRDefault="00653571" w:rsidP="00653571">
      <w:pPr>
        <w:spacing w:before="120" w:after="120" w:line="240" w:lineRule="auto"/>
        <w:rPr>
          <w:rFonts w:ascii="Times New Roman" w:eastAsia="Times New Roman" w:hAnsi="Times New Roman" w:cs="Times New Roman"/>
          <w:b/>
          <w:iCs/>
          <w:noProof/>
          <w:sz w:val="24"/>
          <w:szCs w:val="24"/>
        </w:rPr>
      </w:pPr>
    </w:p>
    <w:p w14:paraId="29A1398D" w14:textId="77777777" w:rsidR="00653571" w:rsidRPr="008C5F1C" w:rsidRDefault="00653571" w:rsidP="00653571">
      <w:pPr>
        <w:pStyle w:val="Heading4"/>
        <w:numPr>
          <w:ilvl w:val="0"/>
          <w:numId w:val="0"/>
        </w:numPr>
        <w:ind w:left="851" w:hanging="851"/>
        <w:rPr>
          <w:rFonts w:cs="Times New Roman"/>
          <w:lang w:val="ro-RO"/>
        </w:rPr>
      </w:pPr>
      <w:r w:rsidRPr="008C5F1C">
        <w:rPr>
          <w:rFonts w:cs="Times New Roman"/>
          <w:lang w:val="ro-RO"/>
        </w:rPr>
        <w:t xml:space="preserve">2.A.3.2 </w:t>
      </w:r>
      <w:proofErr w:type="spellStart"/>
      <w:r w:rsidRPr="008C5F1C">
        <w:rPr>
          <w:rFonts w:cs="Times New Roman"/>
          <w:lang w:val="ro-RO"/>
        </w:rPr>
        <w:t>Indicators</w:t>
      </w:r>
      <w:proofErr w:type="spellEnd"/>
    </w:p>
    <w:p w14:paraId="2929B190" w14:textId="77777777" w:rsidR="00653571" w:rsidRPr="008C5F1C" w:rsidRDefault="00653571" w:rsidP="00653571">
      <w:pPr>
        <w:rPr>
          <w:rFonts w:ascii="Times New Roman" w:hAnsi="Times New Roman" w:cs="Times New Roman"/>
          <w:b/>
          <w:bCs/>
          <w:i/>
          <w:u w:val="single"/>
        </w:rPr>
      </w:pPr>
      <w:proofErr w:type="spellStart"/>
      <w:r w:rsidRPr="008C5F1C">
        <w:rPr>
          <w:rFonts w:ascii="Times New Roman" w:hAnsi="Times New Roman" w:cs="Times New Roman"/>
          <w:i/>
        </w:rPr>
        <w:t>Reference</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Article</w:t>
      </w:r>
      <w:proofErr w:type="spellEnd"/>
      <w:r w:rsidRPr="008C5F1C">
        <w:rPr>
          <w:rFonts w:ascii="Times New Roman" w:hAnsi="Times New Roman" w:cs="Times New Roman"/>
          <w:i/>
        </w:rPr>
        <w:t xml:space="preserve"> 17(3)(d)(ii) CPR </w:t>
      </w:r>
    </w:p>
    <w:tbl>
      <w:tblPr>
        <w:tblW w:w="51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1223"/>
        <w:gridCol w:w="641"/>
        <w:gridCol w:w="897"/>
        <w:gridCol w:w="560"/>
        <w:gridCol w:w="2268"/>
        <w:gridCol w:w="1188"/>
        <w:gridCol w:w="1037"/>
        <w:gridCol w:w="1302"/>
      </w:tblGrid>
      <w:tr w:rsidR="00653571" w:rsidRPr="008C5F1C" w14:paraId="37FBDF40" w14:textId="77777777" w:rsidTr="00B5368E">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3F8DA4E6" w14:textId="77777777" w:rsidR="00653571" w:rsidRPr="008C5F1C" w:rsidRDefault="00653571" w:rsidP="00534127">
            <w:pPr>
              <w:rPr>
                <w:rFonts w:ascii="Times New Roman" w:hAnsi="Times New Roman" w:cs="Times New Roman"/>
                <w:b/>
              </w:rPr>
            </w:pPr>
            <w:r w:rsidRPr="008C5F1C">
              <w:rPr>
                <w:rFonts w:ascii="Times New Roman" w:hAnsi="Times New Roman" w:cs="Times New Roman"/>
                <w:b/>
                <w:iCs/>
              </w:rPr>
              <w:t xml:space="preserve">Table 2: Output </w:t>
            </w:r>
            <w:proofErr w:type="spellStart"/>
            <w:r w:rsidRPr="008C5F1C">
              <w:rPr>
                <w:rFonts w:ascii="Times New Roman" w:hAnsi="Times New Roman" w:cs="Times New Roman"/>
                <w:b/>
                <w:iCs/>
              </w:rPr>
              <w:t>indicators</w:t>
            </w:r>
            <w:proofErr w:type="spellEnd"/>
          </w:p>
        </w:tc>
      </w:tr>
      <w:tr w:rsidR="00653571" w:rsidRPr="008C5F1C" w14:paraId="0E640B8F" w14:textId="77777777" w:rsidTr="00555977">
        <w:trPr>
          <w:trHeight w:val="1284"/>
        </w:trPr>
        <w:tc>
          <w:tcPr>
            <w:tcW w:w="394" w:type="pct"/>
            <w:tcBorders>
              <w:top w:val="single" w:sz="4" w:space="0" w:color="auto"/>
              <w:left w:val="single" w:sz="4" w:space="0" w:color="auto"/>
              <w:bottom w:val="single" w:sz="4" w:space="0" w:color="auto"/>
              <w:right w:val="single" w:sz="4" w:space="0" w:color="auto"/>
            </w:tcBorders>
            <w:hideMark/>
          </w:tcPr>
          <w:p w14:paraId="54B06FF8"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Priority</w:t>
            </w:r>
            <w:proofErr w:type="spellEnd"/>
            <w:r w:rsidRPr="008C5F1C">
              <w:rPr>
                <w:rFonts w:ascii="Times New Roman" w:hAnsi="Times New Roman" w:cs="Times New Roman"/>
                <w:b/>
                <w:sz w:val="16"/>
                <w:szCs w:val="16"/>
              </w:rPr>
              <w:t xml:space="preserve"> </w:t>
            </w:r>
          </w:p>
        </w:tc>
        <w:tc>
          <w:tcPr>
            <w:tcW w:w="618" w:type="pct"/>
            <w:tcBorders>
              <w:top w:val="single" w:sz="4" w:space="0" w:color="auto"/>
              <w:left w:val="single" w:sz="4" w:space="0" w:color="auto"/>
              <w:bottom w:val="single" w:sz="4" w:space="0" w:color="auto"/>
              <w:right w:val="single" w:sz="4" w:space="0" w:color="auto"/>
            </w:tcBorders>
            <w:hideMark/>
          </w:tcPr>
          <w:p w14:paraId="0FC44F25"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 xml:space="preserve">Specific </w:t>
            </w:r>
            <w:proofErr w:type="spellStart"/>
            <w:r w:rsidRPr="008C5F1C">
              <w:rPr>
                <w:rFonts w:ascii="Times New Roman" w:hAnsi="Times New Roman" w:cs="Times New Roman"/>
                <w:b/>
                <w:sz w:val="16"/>
                <w:szCs w:val="16"/>
              </w:rPr>
              <w:t>objective</w:t>
            </w:r>
            <w:proofErr w:type="spellEnd"/>
            <w:r w:rsidRPr="008C5F1C">
              <w:rPr>
                <w:rFonts w:ascii="Times New Roman" w:hAnsi="Times New Roman" w:cs="Times New Roman"/>
                <w:b/>
                <w:sz w:val="16"/>
                <w:szCs w:val="16"/>
              </w:rPr>
              <w:t xml:space="preserve"> (Investment for </w:t>
            </w:r>
            <w:proofErr w:type="spellStart"/>
            <w:r w:rsidRPr="008C5F1C">
              <w:rPr>
                <w:rFonts w:ascii="Times New Roman" w:hAnsi="Times New Roman" w:cs="Times New Roman"/>
                <w:b/>
                <w:sz w:val="16"/>
                <w:szCs w:val="16"/>
              </w:rPr>
              <w:t>Jobs</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and</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Growth</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goal</w:t>
            </w:r>
            <w:proofErr w:type="spellEnd"/>
            <w:r w:rsidRPr="008C5F1C">
              <w:rPr>
                <w:rFonts w:ascii="Times New Roman" w:hAnsi="Times New Roman" w:cs="Times New Roman"/>
                <w:b/>
                <w:sz w:val="16"/>
                <w:szCs w:val="16"/>
              </w:rPr>
              <w:t xml:space="preserve"> or EMFF)</w:t>
            </w:r>
          </w:p>
        </w:tc>
        <w:tc>
          <w:tcPr>
            <w:tcW w:w="324" w:type="pct"/>
            <w:tcBorders>
              <w:top w:val="single" w:sz="4" w:space="0" w:color="auto"/>
              <w:left w:val="single" w:sz="4" w:space="0" w:color="auto"/>
              <w:bottom w:val="single" w:sz="4" w:space="0" w:color="auto"/>
              <w:right w:val="single" w:sz="4" w:space="0" w:color="auto"/>
            </w:tcBorders>
            <w:hideMark/>
          </w:tcPr>
          <w:p w14:paraId="791CEDF1"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Fund</w:t>
            </w:r>
          </w:p>
        </w:tc>
        <w:tc>
          <w:tcPr>
            <w:tcW w:w="453" w:type="pct"/>
            <w:tcBorders>
              <w:top w:val="single" w:sz="4" w:space="0" w:color="auto"/>
              <w:left w:val="single" w:sz="4" w:space="0" w:color="auto"/>
              <w:bottom w:val="single" w:sz="4" w:space="0" w:color="auto"/>
              <w:right w:val="single" w:sz="4" w:space="0" w:color="auto"/>
            </w:tcBorders>
            <w:hideMark/>
          </w:tcPr>
          <w:p w14:paraId="65E13CE5"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Category</w:t>
            </w:r>
            <w:proofErr w:type="spellEnd"/>
            <w:r w:rsidRPr="008C5F1C">
              <w:rPr>
                <w:rFonts w:ascii="Times New Roman" w:hAnsi="Times New Roman" w:cs="Times New Roman"/>
                <w:b/>
                <w:sz w:val="16"/>
                <w:szCs w:val="16"/>
              </w:rPr>
              <w:t xml:space="preserve"> of </w:t>
            </w:r>
            <w:proofErr w:type="spellStart"/>
            <w:r w:rsidRPr="008C5F1C">
              <w:rPr>
                <w:rFonts w:ascii="Times New Roman" w:hAnsi="Times New Roman" w:cs="Times New Roman"/>
                <w:b/>
                <w:sz w:val="16"/>
                <w:szCs w:val="16"/>
              </w:rPr>
              <w:t>region</w:t>
            </w:r>
            <w:proofErr w:type="spellEnd"/>
          </w:p>
        </w:tc>
        <w:tc>
          <w:tcPr>
            <w:tcW w:w="283" w:type="pct"/>
            <w:tcBorders>
              <w:top w:val="single" w:sz="4" w:space="0" w:color="auto"/>
              <w:left w:val="single" w:sz="4" w:space="0" w:color="auto"/>
              <w:bottom w:val="single" w:sz="4" w:space="0" w:color="auto"/>
              <w:right w:val="single" w:sz="4" w:space="0" w:color="auto"/>
            </w:tcBorders>
            <w:hideMark/>
          </w:tcPr>
          <w:p w14:paraId="0CEA1142"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ID [5]</w:t>
            </w:r>
          </w:p>
        </w:tc>
        <w:tc>
          <w:tcPr>
            <w:tcW w:w="1146" w:type="pct"/>
            <w:tcBorders>
              <w:top w:val="single" w:sz="4" w:space="0" w:color="auto"/>
              <w:left w:val="single" w:sz="4" w:space="0" w:color="auto"/>
              <w:bottom w:val="single" w:sz="4" w:space="0" w:color="auto"/>
              <w:right w:val="single" w:sz="4" w:space="0" w:color="auto"/>
            </w:tcBorders>
            <w:hideMark/>
          </w:tcPr>
          <w:p w14:paraId="0AA4D251"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 xml:space="preserve">Indicator [255] </w:t>
            </w:r>
          </w:p>
        </w:tc>
        <w:tc>
          <w:tcPr>
            <w:tcW w:w="600" w:type="pct"/>
            <w:tcBorders>
              <w:top w:val="single" w:sz="4" w:space="0" w:color="auto"/>
              <w:left w:val="single" w:sz="4" w:space="0" w:color="auto"/>
              <w:bottom w:val="single" w:sz="4" w:space="0" w:color="auto"/>
              <w:right w:val="single" w:sz="4" w:space="0" w:color="auto"/>
            </w:tcBorders>
            <w:hideMark/>
          </w:tcPr>
          <w:p w14:paraId="70252FE2"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Measurement</w:t>
            </w:r>
            <w:proofErr w:type="spellEnd"/>
            <w:r w:rsidRPr="008C5F1C">
              <w:rPr>
                <w:rFonts w:ascii="Times New Roman" w:hAnsi="Times New Roman" w:cs="Times New Roman"/>
                <w:b/>
                <w:sz w:val="16"/>
                <w:szCs w:val="16"/>
              </w:rPr>
              <w:t xml:space="preserve"> unit</w:t>
            </w:r>
          </w:p>
        </w:tc>
        <w:tc>
          <w:tcPr>
            <w:tcW w:w="524" w:type="pct"/>
            <w:tcBorders>
              <w:top w:val="single" w:sz="4" w:space="0" w:color="auto"/>
              <w:left w:val="single" w:sz="4" w:space="0" w:color="auto"/>
              <w:bottom w:val="single" w:sz="4" w:space="0" w:color="auto"/>
              <w:right w:val="single" w:sz="4" w:space="0" w:color="auto"/>
            </w:tcBorders>
          </w:tcPr>
          <w:p w14:paraId="02A1A788" w14:textId="21E61024"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Milestone</w:t>
            </w:r>
            <w:proofErr w:type="spellEnd"/>
            <w:r w:rsidRPr="008C5F1C">
              <w:rPr>
                <w:rFonts w:ascii="Times New Roman" w:hAnsi="Times New Roman" w:cs="Times New Roman"/>
                <w:b/>
                <w:sz w:val="16"/>
                <w:szCs w:val="16"/>
              </w:rPr>
              <w:t xml:space="preserve"> (2024)</w:t>
            </w:r>
          </w:p>
        </w:tc>
        <w:tc>
          <w:tcPr>
            <w:tcW w:w="658" w:type="pct"/>
            <w:tcBorders>
              <w:top w:val="single" w:sz="4" w:space="0" w:color="auto"/>
              <w:left w:val="single" w:sz="4" w:space="0" w:color="auto"/>
              <w:bottom w:val="single" w:sz="4" w:space="0" w:color="auto"/>
              <w:right w:val="single" w:sz="4" w:space="0" w:color="auto"/>
            </w:tcBorders>
          </w:tcPr>
          <w:p w14:paraId="617631DE" w14:textId="1205F718"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Target (2029)</w:t>
            </w:r>
          </w:p>
        </w:tc>
      </w:tr>
      <w:tr w:rsidR="00653571" w:rsidRPr="008C5F1C" w14:paraId="6B439F15" w14:textId="77777777" w:rsidTr="00B5368E">
        <w:trPr>
          <w:trHeight w:val="340"/>
        </w:trPr>
        <w:tc>
          <w:tcPr>
            <w:tcW w:w="394" w:type="pct"/>
            <w:tcBorders>
              <w:top w:val="single" w:sz="4" w:space="0" w:color="auto"/>
              <w:left w:val="single" w:sz="4" w:space="0" w:color="auto"/>
              <w:bottom w:val="single" w:sz="4" w:space="0" w:color="auto"/>
              <w:right w:val="single" w:sz="4" w:space="0" w:color="auto"/>
            </w:tcBorders>
          </w:tcPr>
          <w:p w14:paraId="2F1C34BB" w14:textId="77777777" w:rsidR="00653571" w:rsidRPr="008C5F1C" w:rsidRDefault="006F2A71" w:rsidP="00534127">
            <w:pPr>
              <w:rPr>
                <w:rFonts w:ascii="Times New Roman" w:hAnsi="Times New Roman" w:cs="Times New Roman"/>
                <w:bCs/>
                <w:i/>
                <w:sz w:val="16"/>
                <w:szCs w:val="16"/>
              </w:rPr>
            </w:pPr>
            <w:r w:rsidRPr="008C5F1C">
              <w:rPr>
                <w:rFonts w:ascii="Times New Roman" w:hAnsi="Times New Roman" w:cs="Times New Roman"/>
                <w:bCs/>
                <w:i/>
                <w:sz w:val="16"/>
                <w:szCs w:val="16"/>
              </w:rPr>
              <w:t>1</w:t>
            </w:r>
          </w:p>
        </w:tc>
        <w:tc>
          <w:tcPr>
            <w:tcW w:w="618" w:type="pct"/>
            <w:tcBorders>
              <w:top w:val="single" w:sz="4" w:space="0" w:color="auto"/>
              <w:left w:val="single" w:sz="4" w:space="0" w:color="auto"/>
              <w:bottom w:val="single" w:sz="4" w:space="0" w:color="auto"/>
              <w:right w:val="single" w:sz="4" w:space="0" w:color="auto"/>
            </w:tcBorders>
          </w:tcPr>
          <w:p w14:paraId="681FC438" w14:textId="77777777" w:rsidR="00653571" w:rsidRPr="008C5F1C" w:rsidRDefault="00653571" w:rsidP="00534127">
            <w:pPr>
              <w:rPr>
                <w:rFonts w:ascii="Times New Roman" w:hAnsi="Times New Roman" w:cs="Times New Roman"/>
                <w:noProof/>
                <w:sz w:val="16"/>
                <w:szCs w:val="16"/>
              </w:rPr>
            </w:pPr>
            <w:r w:rsidRPr="008C5F1C">
              <w:rPr>
                <w:rFonts w:ascii="Times New Roman" w:hAnsi="Times New Roman" w:cs="Times New Roman"/>
                <w:noProof/>
                <w:sz w:val="16"/>
                <w:szCs w:val="16"/>
              </w:rPr>
              <w:t>a (i) Dezvoltarea capacit</w:t>
            </w:r>
            <w:r w:rsidR="00BA7827" w:rsidRPr="008C5F1C">
              <w:rPr>
                <w:rFonts w:ascii="Times New Roman" w:hAnsi="Times New Roman" w:cs="Times New Roman"/>
                <w:noProof/>
                <w:sz w:val="16"/>
                <w:szCs w:val="16"/>
              </w:rPr>
              <w:t>ă</w:t>
            </w:r>
            <w:r w:rsidR="00E22FF2" w:rsidRPr="008C5F1C">
              <w:rPr>
                <w:rFonts w:ascii="Times New Roman" w:hAnsi="Times New Roman" w:cs="Times New Roman"/>
                <w:noProof/>
                <w:sz w:val="16"/>
                <w:szCs w:val="16"/>
              </w:rPr>
              <w:t>ț</w:t>
            </w:r>
            <w:r w:rsidRPr="008C5F1C">
              <w:rPr>
                <w:rFonts w:ascii="Times New Roman" w:hAnsi="Times New Roman" w:cs="Times New Roman"/>
                <w:noProof/>
                <w:sz w:val="16"/>
                <w:szCs w:val="16"/>
              </w:rPr>
              <w:t xml:space="preserve">ilor de cercetare </w:t>
            </w:r>
            <w:r w:rsidR="00106240" w:rsidRPr="008C5F1C">
              <w:rPr>
                <w:rFonts w:ascii="Times New Roman" w:hAnsi="Times New Roman" w:cs="Times New Roman"/>
                <w:noProof/>
                <w:sz w:val="16"/>
                <w:szCs w:val="16"/>
              </w:rPr>
              <w:t>ș</w:t>
            </w:r>
            <w:r w:rsidRPr="008C5F1C">
              <w:rPr>
                <w:rFonts w:ascii="Times New Roman" w:hAnsi="Times New Roman" w:cs="Times New Roman"/>
                <w:noProof/>
                <w:sz w:val="16"/>
                <w:szCs w:val="16"/>
              </w:rPr>
              <w:t xml:space="preserve">i inovare </w:t>
            </w:r>
            <w:r w:rsidR="00106240" w:rsidRPr="008C5F1C">
              <w:rPr>
                <w:rFonts w:ascii="Times New Roman" w:hAnsi="Times New Roman" w:cs="Times New Roman"/>
                <w:noProof/>
                <w:sz w:val="16"/>
                <w:szCs w:val="16"/>
              </w:rPr>
              <w:t>ș</w:t>
            </w:r>
            <w:r w:rsidRPr="008C5F1C">
              <w:rPr>
                <w:rFonts w:ascii="Times New Roman" w:hAnsi="Times New Roman" w:cs="Times New Roman"/>
                <w:noProof/>
                <w:sz w:val="16"/>
                <w:szCs w:val="16"/>
              </w:rPr>
              <w:t>i adoptarea tehnologiilor avansate</w:t>
            </w:r>
          </w:p>
        </w:tc>
        <w:tc>
          <w:tcPr>
            <w:tcW w:w="324" w:type="pct"/>
            <w:tcBorders>
              <w:top w:val="single" w:sz="4" w:space="0" w:color="auto"/>
              <w:left w:val="single" w:sz="4" w:space="0" w:color="auto"/>
              <w:bottom w:val="single" w:sz="4" w:space="0" w:color="auto"/>
              <w:right w:val="single" w:sz="4" w:space="0" w:color="auto"/>
            </w:tcBorders>
          </w:tcPr>
          <w:p w14:paraId="25B793D4" w14:textId="77777777" w:rsidR="00653571" w:rsidRPr="008C5F1C" w:rsidRDefault="00653571" w:rsidP="00534127">
            <w:pPr>
              <w:rPr>
                <w:rFonts w:ascii="Times New Roman" w:hAnsi="Times New Roman" w:cs="Times New Roman"/>
                <w:noProof/>
                <w:sz w:val="16"/>
                <w:szCs w:val="16"/>
              </w:rPr>
            </w:pPr>
            <w:r w:rsidRPr="008C5F1C">
              <w:rPr>
                <w:rFonts w:ascii="Times New Roman" w:hAnsi="Times New Roman" w:cs="Times New Roman"/>
                <w:noProof/>
                <w:sz w:val="16"/>
                <w:szCs w:val="16"/>
              </w:rPr>
              <w:t>FEDR</w:t>
            </w:r>
          </w:p>
        </w:tc>
        <w:tc>
          <w:tcPr>
            <w:tcW w:w="453" w:type="pct"/>
            <w:tcBorders>
              <w:top w:val="single" w:sz="4" w:space="0" w:color="auto"/>
              <w:left w:val="single" w:sz="4" w:space="0" w:color="auto"/>
              <w:bottom w:val="single" w:sz="4" w:space="0" w:color="auto"/>
              <w:right w:val="single" w:sz="4" w:space="0" w:color="auto"/>
            </w:tcBorders>
          </w:tcPr>
          <w:p w14:paraId="0EAEECAF" w14:textId="77777777" w:rsidR="00653571" w:rsidRPr="008C5F1C" w:rsidRDefault="00653571" w:rsidP="00534127">
            <w:pPr>
              <w:rPr>
                <w:rFonts w:ascii="Times New Roman" w:hAnsi="Times New Roman" w:cs="Times New Roman"/>
                <w:noProof/>
                <w:sz w:val="16"/>
                <w:szCs w:val="16"/>
              </w:rPr>
            </w:pPr>
            <w:r w:rsidRPr="008C5F1C">
              <w:rPr>
                <w:rFonts w:ascii="Times New Roman" w:hAnsi="Times New Roman" w:cs="Times New Roman"/>
                <w:noProof/>
                <w:sz w:val="16"/>
                <w:szCs w:val="16"/>
              </w:rPr>
              <w:t>Mai pu</w:t>
            </w:r>
            <w:r w:rsidR="00E22FF2" w:rsidRPr="008C5F1C">
              <w:rPr>
                <w:rFonts w:ascii="Times New Roman" w:hAnsi="Times New Roman" w:cs="Times New Roman"/>
                <w:noProof/>
                <w:sz w:val="16"/>
                <w:szCs w:val="16"/>
              </w:rPr>
              <w:t>ț</w:t>
            </w:r>
            <w:r w:rsidRPr="008C5F1C">
              <w:rPr>
                <w:rFonts w:ascii="Times New Roman" w:hAnsi="Times New Roman" w:cs="Times New Roman"/>
                <w:noProof/>
                <w:sz w:val="16"/>
                <w:szCs w:val="16"/>
              </w:rPr>
              <w:t>in dezvoltate</w:t>
            </w:r>
          </w:p>
        </w:tc>
        <w:tc>
          <w:tcPr>
            <w:tcW w:w="283" w:type="pct"/>
            <w:tcBorders>
              <w:top w:val="single" w:sz="4" w:space="0" w:color="auto"/>
              <w:left w:val="single" w:sz="4" w:space="0" w:color="auto"/>
              <w:bottom w:val="single" w:sz="4" w:space="0" w:color="auto"/>
              <w:right w:val="single" w:sz="4" w:space="0" w:color="auto"/>
            </w:tcBorders>
          </w:tcPr>
          <w:p w14:paraId="67BA9FAF" w14:textId="77777777" w:rsidR="00653571" w:rsidRPr="008C5F1C" w:rsidRDefault="00653571" w:rsidP="00534127">
            <w:pPr>
              <w:rPr>
                <w:rFonts w:ascii="Times New Roman" w:hAnsi="Times New Roman" w:cs="Times New Roman"/>
                <w:noProof/>
                <w:sz w:val="16"/>
                <w:szCs w:val="16"/>
              </w:rPr>
            </w:pPr>
            <w:r w:rsidRPr="008C5F1C">
              <w:rPr>
                <w:rFonts w:ascii="Times New Roman" w:hAnsi="Times New Roman" w:cs="Times New Roman"/>
                <w:noProof/>
                <w:sz w:val="16"/>
                <w:szCs w:val="16"/>
              </w:rPr>
              <w:t>RCO 07</w:t>
            </w:r>
          </w:p>
          <w:p w14:paraId="7D8CD98F" w14:textId="77777777" w:rsidR="00653571" w:rsidRPr="008C5F1C" w:rsidRDefault="00653571" w:rsidP="00534127">
            <w:pPr>
              <w:rPr>
                <w:rFonts w:ascii="Times New Roman" w:hAnsi="Times New Roman" w:cs="Times New Roman"/>
                <w:noProof/>
                <w:sz w:val="16"/>
                <w:szCs w:val="16"/>
              </w:rPr>
            </w:pPr>
          </w:p>
        </w:tc>
        <w:tc>
          <w:tcPr>
            <w:tcW w:w="1146" w:type="pct"/>
            <w:tcBorders>
              <w:top w:val="single" w:sz="4" w:space="0" w:color="auto"/>
              <w:left w:val="single" w:sz="4" w:space="0" w:color="auto"/>
              <w:bottom w:val="single" w:sz="4" w:space="0" w:color="auto"/>
              <w:right w:val="single" w:sz="4" w:space="0" w:color="auto"/>
            </w:tcBorders>
          </w:tcPr>
          <w:p w14:paraId="1F832CC0" w14:textId="77777777" w:rsidR="00653571" w:rsidRPr="008C5F1C" w:rsidRDefault="00653571" w:rsidP="00534127">
            <w:pPr>
              <w:rPr>
                <w:rFonts w:ascii="Times New Roman" w:hAnsi="Times New Roman" w:cs="Times New Roman"/>
                <w:noProof/>
                <w:sz w:val="16"/>
                <w:szCs w:val="16"/>
              </w:rPr>
            </w:pPr>
            <w:bookmarkStart w:id="9" w:name="_Hlk50806287"/>
            <w:r w:rsidRPr="008C5F1C">
              <w:rPr>
                <w:rFonts w:ascii="Times New Roman" w:hAnsi="Times New Roman" w:cs="Times New Roman"/>
                <w:noProof/>
                <w:sz w:val="16"/>
                <w:szCs w:val="16"/>
              </w:rPr>
              <w:t>RCO 07 - Institu</w:t>
            </w:r>
            <w:r w:rsidR="00E22FF2" w:rsidRPr="008C5F1C">
              <w:rPr>
                <w:rFonts w:ascii="Times New Roman" w:hAnsi="Times New Roman" w:cs="Times New Roman"/>
                <w:noProof/>
                <w:sz w:val="16"/>
                <w:szCs w:val="16"/>
              </w:rPr>
              <w:t>ț</w:t>
            </w:r>
            <w:r w:rsidRPr="008C5F1C">
              <w:rPr>
                <w:rFonts w:ascii="Times New Roman" w:hAnsi="Times New Roman" w:cs="Times New Roman"/>
                <w:noProof/>
                <w:sz w:val="16"/>
                <w:szCs w:val="16"/>
              </w:rPr>
              <w:t>ii de cercetare care particip</w:t>
            </w:r>
            <w:r w:rsidR="00BA7827" w:rsidRPr="008C5F1C">
              <w:rPr>
                <w:rFonts w:ascii="Times New Roman" w:hAnsi="Times New Roman" w:cs="Times New Roman"/>
                <w:noProof/>
                <w:sz w:val="16"/>
                <w:szCs w:val="16"/>
              </w:rPr>
              <w:t>ă</w:t>
            </w:r>
            <w:r w:rsidRPr="008C5F1C">
              <w:rPr>
                <w:rFonts w:ascii="Times New Roman" w:hAnsi="Times New Roman" w:cs="Times New Roman"/>
                <w:noProof/>
                <w:sz w:val="16"/>
                <w:szCs w:val="16"/>
              </w:rPr>
              <w:t xml:space="preserve"> la proiecte de cercetare comune</w:t>
            </w:r>
          </w:p>
          <w:bookmarkEnd w:id="9"/>
          <w:p w14:paraId="06588783" w14:textId="77777777" w:rsidR="00653571" w:rsidRPr="008C5F1C" w:rsidRDefault="00653571" w:rsidP="00534127">
            <w:pPr>
              <w:rPr>
                <w:rFonts w:ascii="Times New Roman" w:hAnsi="Times New Roman" w:cs="Times New Roman"/>
                <w:noProof/>
                <w:sz w:val="16"/>
                <w:szCs w:val="16"/>
              </w:rPr>
            </w:pPr>
          </w:p>
        </w:tc>
        <w:tc>
          <w:tcPr>
            <w:tcW w:w="600" w:type="pct"/>
            <w:tcBorders>
              <w:top w:val="single" w:sz="4" w:space="0" w:color="auto"/>
              <w:left w:val="single" w:sz="4" w:space="0" w:color="auto"/>
              <w:bottom w:val="single" w:sz="4" w:space="0" w:color="auto"/>
              <w:right w:val="single" w:sz="4" w:space="0" w:color="auto"/>
            </w:tcBorders>
          </w:tcPr>
          <w:p w14:paraId="0D536431" w14:textId="77777777" w:rsidR="00653571" w:rsidRPr="008C5F1C" w:rsidRDefault="006D606F" w:rsidP="00534127">
            <w:pPr>
              <w:rPr>
                <w:rFonts w:ascii="Times New Roman" w:hAnsi="Times New Roman" w:cs="Times New Roman"/>
                <w:bCs/>
                <w:i/>
                <w:sz w:val="16"/>
                <w:szCs w:val="16"/>
              </w:rPr>
            </w:pPr>
            <w:proofErr w:type="spellStart"/>
            <w:r w:rsidRPr="008C5F1C">
              <w:rPr>
                <w:rFonts w:ascii="Times New Roman" w:hAnsi="Times New Roman" w:cs="Times New Roman"/>
                <w:bCs/>
                <w:i/>
                <w:sz w:val="16"/>
                <w:szCs w:val="16"/>
              </w:rPr>
              <w:t>Institutii</w:t>
            </w:r>
            <w:proofErr w:type="spellEnd"/>
            <w:r w:rsidRPr="008C5F1C">
              <w:rPr>
                <w:rFonts w:ascii="Times New Roman" w:hAnsi="Times New Roman" w:cs="Times New Roman"/>
                <w:bCs/>
                <w:i/>
                <w:sz w:val="16"/>
                <w:szCs w:val="16"/>
              </w:rPr>
              <w:t xml:space="preserve"> de cercetare</w:t>
            </w:r>
          </w:p>
        </w:tc>
        <w:tc>
          <w:tcPr>
            <w:tcW w:w="524" w:type="pct"/>
            <w:tcBorders>
              <w:top w:val="single" w:sz="4" w:space="0" w:color="auto"/>
              <w:left w:val="single" w:sz="4" w:space="0" w:color="auto"/>
              <w:bottom w:val="single" w:sz="4" w:space="0" w:color="auto"/>
              <w:right w:val="single" w:sz="4" w:space="0" w:color="auto"/>
            </w:tcBorders>
          </w:tcPr>
          <w:p w14:paraId="533756BC" w14:textId="378C9668" w:rsidR="00653571" w:rsidRPr="008C5F1C" w:rsidRDefault="00F67F4B" w:rsidP="00534127">
            <w:pPr>
              <w:rPr>
                <w:rFonts w:ascii="Times New Roman" w:hAnsi="Times New Roman" w:cs="Times New Roman"/>
                <w:bCs/>
                <w:i/>
                <w:sz w:val="16"/>
                <w:szCs w:val="16"/>
              </w:rPr>
            </w:pPr>
            <w:r w:rsidRPr="008C5F1C">
              <w:rPr>
                <w:rFonts w:ascii="Times New Roman" w:hAnsi="Times New Roman" w:cs="Times New Roman"/>
                <w:bCs/>
                <w:i/>
                <w:sz w:val="16"/>
                <w:szCs w:val="16"/>
              </w:rPr>
              <w:t>1</w:t>
            </w:r>
          </w:p>
        </w:tc>
        <w:tc>
          <w:tcPr>
            <w:tcW w:w="658" w:type="pct"/>
            <w:tcBorders>
              <w:top w:val="single" w:sz="4" w:space="0" w:color="auto"/>
              <w:left w:val="single" w:sz="4" w:space="0" w:color="auto"/>
              <w:bottom w:val="single" w:sz="4" w:space="0" w:color="auto"/>
              <w:right w:val="single" w:sz="4" w:space="0" w:color="auto"/>
            </w:tcBorders>
          </w:tcPr>
          <w:p w14:paraId="0D074736" w14:textId="4804234E" w:rsidR="00653571" w:rsidRPr="008C5F1C" w:rsidRDefault="005F3B52" w:rsidP="00534127">
            <w:pPr>
              <w:rPr>
                <w:rFonts w:ascii="Times New Roman" w:hAnsi="Times New Roman" w:cs="Times New Roman"/>
                <w:bCs/>
                <w:i/>
                <w:sz w:val="16"/>
                <w:szCs w:val="16"/>
              </w:rPr>
            </w:pPr>
            <w:r w:rsidRPr="008C5F1C">
              <w:rPr>
                <w:rFonts w:ascii="Times New Roman" w:hAnsi="Times New Roman" w:cs="Times New Roman"/>
                <w:bCs/>
                <w:i/>
                <w:sz w:val="16"/>
                <w:szCs w:val="16"/>
              </w:rPr>
              <w:t>5</w:t>
            </w:r>
          </w:p>
        </w:tc>
      </w:tr>
      <w:tr w:rsidR="00653571" w:rsidRPr="008C5F1C" w14:paraId="10E2A272" w14:textId="77777777" w:rsidTr="00B5368E">
        <w:trPr>
          <w:trHeight w:val="340"/>
        </w:trPr>
        <w:tc>
          <w:tcPr>
            <w:tcW w:w="394" w:type="pct"/>
            <w:tcBorders>
              <w:top w:val="single" w:sz="4" w:space="0" w:color="auto"/>
              <w:left w:val="single" w:sz="4" w:space="0" w:color="auto"/>
              <w:bottom w:val="single" w:sz="4" w:space="0" w:color="auto"/>
              <w:right w:val="single" w:sz="4" w:space="0" w:color="auto"/>
            </w:tcBorders>
          </w:tcPr>
          <w:p w14:paraId="1C3AD8E0" w14:textId="77777777" w:rsidR="00653571" w:rsidRPr="008C5F1C" w:rsidRDefault="006F2A71" w:rsidP="00534127">
            <w:pPr>
              <w:rPr>
                <w:rFonts w:ascii="Times New Roman" w:hAnsi="Times New Roman" w:cs="Times New Roman"/>
                <w:bCs/>
                <w:i/>
                <w:sz w:val="16"/>
                <w:szCs w:val="16"/>
              </w:rPr>
            </w:pPr>
            <w:r w:rsidRPr="008C5F1C">
              <w:rPr>
                <w:rFonts w:ascii="Times New Roman" w:hAnsi="Times New Roman" w:cs="Times New Roman"/>
                <w:bCs/>
                <w:i/>
                <w:sz w:val="16"/>
                <w:szCs w:val="16"/>
              </w:rPr>
              <w:t>1</w:t>
            </w:r>
          </w:p>
        </w:tc>
        <w:tc>
          <w:tcPr>
            <w:tcW w:w="618" w:type="pct"/>
            <w:tcBorders>
              <w:top w:val="single" w:sz="4" w:space="0" w:color="auto"/>
              <w:left w:val="single" w:sz="4" w:space="0" w:color="auto"/>
              <w:bottom w:val="single" w:sz="4" w:space="0" w:color="auto"/>
              <w:right w:val="single" w:sz="4" w:space="0" w:color="auto"/>
            </w:tcBorders>
          </w:tcPr>
          <w:p w14:paraId="189EC0C0" w14:textId="77777777" w:rsidR="00653571" w:rsidRPr="008C5F1C" w:rsidRDefault="0047314D" w:rsidP="00534127">
            <w:pPr>
              <w:rPr>
                <w:rFonts w:ascii="Times New Roman" w:hAnsi="Times New Roman" w:cs="Times New Roman"/>
                <w:noProof/>
                <w:sz w:val="16"/>
                <w:szCs w:val="16"/>
              </w:rPr>
            </w:pPr>
            <w:r w:rsidRPr="008C5F1C">
              <w:rPr>
                <w:rFonts w:ascii="Times New Roman" w:hAnsi="Times New Roman" w:cs="Times New Roman"/>
                <w:noProof/>
                <w:sz w:val="16"/>
                <w:szCs w:val="16"/>
              </w:rPr>
              <w:t xml:space="preserve">a (i) </w:t>
            </w:r>
            <w:r w:rsidR="00653571" w:rsidRPr="008C5F1C">
              <w:rPr>
                <w:rFonts w:ascii="Times New Roman" w:hAnsi="Times New Roman" w:cs="Times New Roman"/>
                <w:noProof/>
                <w:sz w:val="16"/>
                <w:szCs w:val="16"/>
              </w:rPr>
              <w:t>Dezvoltarea capacit</w:t>
            </w:r>
            <w:r w:rsidR="00BA7827" w:rsidRPr="008C5F1C">
              <w:rPr>
                <w:rFonts w:ascii="Times New Roman" w:hAnsi="Times New Roman" w:cs="Times New Roman"/>
                <w:noProof/>
                <w:sz w:val="16"/>
                <w:szCs w:val="16"/>
              </w:rPr>
              <w:t>ă</w:t>
            </w:r>
            <w:r w:rsidR="00E22FF2" w:rsidRPr="008C5F1C">
              <w:rPr>
                <w:rFonts w:ascii="Times New Roman" w:hAnsi="Times New Roman" w:cs="Times New Roman"/>
                <w:noProof/>
                <w:sz w:val="16"/>
                <w:szCs w:val="16"/>
              </w:rPr>
              <w:t>ț</w:t>
            </w:r>
            <w:r w:rsidR="00653571" w:rsidRPr="008C5F1C">
              <w:rPr>
                <w:rFonts w:ascii="Times New Roman" w:hAnsi="Times New Roman" w:cs="Times New Roman"/>
                <w:noProof/>
                <w:sz w:val="16"/>
                <w:szCs w:val="16"/>
              </w:rPr>
              <w:t xml:space="preserve">ilor de cercetare </w:t>
            </w:r>
            <w:r w:rsidR="00106240" w:rsidRPr="008C5F1C">
              <w:rPr>
                <w:rFonts w:ascii="Times New Roman" w:hAnsi="Times New Roman" w:cs="Times New Roman"/>
                <w:noProof/>
                <w:sz w:val="16"/>
                <w:szCs w:val="16"/>
              </w:rPr>
              <w:t>ș</w:t>
            </w:r>
            <w:r w:rsidR="00653571" w:rsidRPr="008C5F1C">
              <w:rPr>
                <w:rFonts w:ascii="Times New Roman" w:hAnsi="Times New Roman" w:cs="Times New Roman"/>
                <w:noProof/>
                <w:sz w:val="16"/>
                <w:szCs w:val="16"/>
              </w:rPr>
              <w:t xml:space="preserve">i inovare </w:t>
            </w:r>
            <w:r w:rsidR="00106240" w:rsidRPr="008C5F1C">
              <w:rPr>
                <w:rFonts w:ascii="Times New Roman" w:hAnsi="Times New Roman" w:cs="Times New Roman"/>
                <w:noProof/>
                <w:sz w:val="16"/>
                <w:szCs w:val="16"/>
              </w:rPr>
              <w:t>ș</w:t>
            </w:r>
            <w:r w:rsidR="00653571" w:rsidRPr="008C5F1C">
              <w:rPr>
                <w:rFonts w:ascii="Times New Roman" w:hAnsi="Times New Roman" w:cs="Times New Roman"/>
                <w:noProof/>
                <w:sz w:val="16"/>
                <w:szCs w:val="16"/>
              </w:rPr>
              <w:t>i adoptarea tehnologiilor avansate</w:t>
            </w:r>
          </w:p>
        </w:tc>
        <w:tc>
          <w:tcPr>
            <w:tcW w:w="324" w:type="pct"/>
            <w:tcBorders>
              <w:top w:val="single" w:sz="4" w:space="0" w:color="auto"/>
              <w:left w:val="single" w:sz="4" w:space="0" w:color="auto"/>
              <w:bottom w:val="single" w:sz="4" w:space="0" w:color="auto"/>
              <w:right w:val="single" w:sz="4" w:space="0" w:color="auto"/>
            </w:tcBorders>
          </w:tcPr>
          <w:p w14:paraId="1D554225" w14:textId="77777777" w:rsidR="00653571" w:rsidRPr="008C5F1C" w:rsidRDefault="00653571" w:rsidP="00534127">
            <w:pPr>
              <w:rPr>
                <w:rFonts w:ascii="Times New Roman" w:hAnsi="Times New Roman" w:cs="Times New Roman"/>
                <w:noProof/>
                <w:sz w:val="16"/>
                <w:szCs w:val="16"/>
              </w:rPr>
            </w:pPr>
            <w:r w:rsidRPr="008C5F1C">
              <w:rPr>
                <w:rFonts w:ascii="Times New Roman" w:hAnsi="Times New Roman" w:cs="Times New Roman"/>
                <w:noProof/>
                <w:sz w:val="16"/>
                <w:szCs w:val="16"/>
              </w:rPr>
              <w:t>FEDR</w:t>
            </w:r>
          </w:p>
        </w:tc>
        <w:tc>
          <w:tcPr>
            <w:tcW w:w="453" w:type="pct"/>
            <w:tcBorders>
              <w:top w:val="single" w:sz="4" w:space="0" w:color="auto"/>
              <w:left w:val="single" w:sz="4" w:space="0" w:color="auto"/>
              <w:bottom w:val="single" w:sz="4" w:space="0" w:color="auto"/>
              <w:right w:val="single" w:sz="4" w:space="0" w:color="auto"/>
            </w:tcBorders>
          </w:tcPr>
          <w:p w14:paraId="6AD7485A" w14:textId="77777777" w:rsidR="00653571" w:rsidRPr="008C5F1C" w:rsidRDefault="00653571" w:rsidP="00534127">
            <w:pPr>
              <w:rPr>
                <w:rFonts w:ascii="Times New Roman" w:hAnsi="Times New Roman" w:cs="Times New Roman"/>
                <w:noProof/>
                <w:sz w:val="16"/>
                <w:szCs w:val="16"/>
              </w:rPr>
            </w:pPr>
            <w:r w:rsidRPr="008C5F1C">
              <w:rPr>
                <w:rFonts w:ascii="Times New Roman" w:hAnsi="Times New Roman" w:cs="Times New Roman"/>
                <w:noProof/>
                <w:sz w:val="16"/>
                <w:szCs w:val="16"/>
              </w:rPr>
              <w:t>Mai pu</w:t>
            </w:r>
            <w:r w:rsidR="00E22FF2" w:rsidRPr="008C5F1C">
              <w:rPr>
                <w:rFonts w:ascii="Times New Roman" w:hAnsi="Times New Roman" w:cs="Times New Roman"/>
                <w:noProof/>
                <w:sz w:val="16"/>
                <w:szCs w:val="16"/>
              </w:rPr>
              <w:t>ț</w:t>
            </w:r>
            <w:r w:rsidRPr="008C5F1C">
              <w:rPr>
                <w:rFonts w:ascii="Times New Roman" w:hAnsi="Times New Roman" w:cs="Times New Roman"/>
                <w:noProof/>
                <w:sz w:val="16"/>
                <w:szCs w:val="16"/>
              </w:rPr>
              <w:t>in dezvoltate</w:t>
            </w:r>
          </w:p>
        </w:tc>
        <w:tc>
          <w:tcPr>
            <w:tcW w:w="283" w:type="pct"/>
            <w:tcBorders>
              <w:top w:val="single" w:sz="4" w:space="0" w:color="auto"/>
              <w:left w:val="single" w:sz="4" w:space="0" w:color="auto"/>
              <w:bottom w:val="single" w:sz="4" w:space="0" w:color="auto"/>
              <w:right w:val="single" w:sz="4" w:space="0" w:color="auto"/>
            </w:tcBorders>
          </w:tcPr>
          <w:p w14:paraId="5FFF8666" w14:textId="77777777" w:rsidR="00653571" w:rsidRPr="008C5F1C" w:rsidRDefault="00653571" w:rsidP="00534127">
            <w:pPr>
              <w:rPr>
                <w:rFonts w:ascii="Times New Roman" w:hAnsi="Times New Roman" w:cs="Times New Roman"/>
                <w:noProof/>
                <w:sz w:val="16"/>
                <w:szCs w:val="16"/>
              </w:rPr>
            </w:pPr>
            <w:r w:rsidRPr="008C5F1C">
              <w:rPr>
                <w:rFonts w:ascii="Times New Roman" w:hAnsi="Times New Roman" w:cs="Times New Roman"/>
                <w:noProof/>
                <w:sz w:val="16"/>
                <w:szCs w:val="16"/>
              </w:rPr>
              <w:t>RCO 08</w:t>
            </w:r>
          </w:p>
          <w:p w14:paraId="68D3F1DC" w14:textId="77777777" w:rsidR="00653571" w:rsidRPr="008C5F1C" w:rsidRDefault="00653571" w:rsidP="00534127">
            <w:pPr>
              <w:rPr>
                <w:rFonts w:ascii="Times New Roman" w:hAnsi="Times New Roman" w:cs="Times New Roman"/>
                <w:noProof/>
                <w:sz w:val="16"/>
                <w:szCs w:val="16"/>
              </w:rPr>
            </w:pPr>
          </w:p>
        </w:tc>
        <w:tc>
          <w:tcPr>
            <w:tcW w:w="1146" w:type="pct"/>
            <w:tcBorders>
              <w:top w:val="single" w:sz="4" w:space="0" w:color="auto"/>
              <w:left w:val="single" w:sz="4" w:space="0" w:color="auto"/>
              <w:bottom w:val="single" w:sz="4" w:space="0" w:color="auto"/>
              <w:right w:val="single" w:sz="4" w:space="0" w:color="auto"/>
            </w:tcBorders>
          </w:tcPr>
          <w:p w14:paraId="25F279F6" w14:textId="77777777" w:rsidR="00653571" w:rsidRPr="008C5F1C" w:rsidRDefault="00653571" w:rsidP="00534127">
            <w:pPr>
              <w:rPr>
                <w:rFonts w:ascii="Times New Roman" w:hAnsi="Times New Roman" w:cs="Times New Roman"/>
                <w:noProof/>
                <w:sz w:val="16"/>
                <w:szCs w:val="16"/>
              </w:rPr>
            </w:pPr>
            <w:bookmarkStart w:id="10" w:name="_Hlk50806313"/>
            <w:r w:rsidRPr="008C5F1C">
              <w:rPr>
                <w:rFonts w:ascii="Times New Roman" w:hAnsi="Times New Roman" w:cs="Times New Roman"/>
                <w:noProof/>
                <w:sz w:val="16"/>
                <w:szCs w:val="16"/>
              </w:rPr>
              <w:t>RCO 08 - Valoarea nominal</w:t>
            </w:r>
            <w:r w:rsidR="00BA7827" w:rsidRPr="008C5F1C">
              <w:rPr>
                <w:rFonts w:ascii="Times New Roman" w:hAnsi="Times New Roman" w:cs="Times New Roman"/>
                <w:noProof/>
                <w:sz w:val="16"/>
                <w:szCs w:val="16"/>
              </w:rPr>
              <w:t>ă</w:t>
            </w:r>
            <w:r w:rsidRPr="008C5F1C">
              <w:rPr>
                <w:rFonts w:ascii="Times New Roman" w:hAnsi="Times New Roman" w:cs="Times New Roman"/>
                <w:noProof/>
                <w:sz w:val="16"/>
                <w:szCs w:val="16"/>
              </w:rPr>
              <w:t xml:space="preserve"> a echipamentelor pentru cercetare </w:t>
            </w:r>
            <w:r w:rsidR="00106240" w:rsidRPr="008C5F1C">
              <w:rPr>
                <w:rFonts w:ascii="Times New Roman" w:hAnsi="Times New Roman" w:cs="Times New Roman"/>
                <w:noProof/>
                <w:sz w:val="16"/>
                <w:szCs w:val="16"/>
              </w:rPr>
              <w:t>ș</w:t>
            </w:r>
            <w:r w:rsidRPr="008C5F1C">
              <w:rPr>
                <w:rFonts w:ascii="Times New Roman" w:hAnsi="Times New Roman" w:cs="Times New Roman"/>
                <w:noProof/>
                <w:sz w:val="16"/>
                <w:szCs w:val="16"/>
              </w:rPr>
              <w:t>i inovare</w:t>
            </w:r>
          </w:p>
          <w:bookmarkEnd w:id="10"/>
          <w:p w14:paraId="623DA191" w14:textId="77777777" w:rsidR="00653571" w:rsidRPr="008C5F1C" w:rsidRDefault="00653571" w:rsidP="00534127">
            <w:pPr>
              <w:rPr>
                <w:rFonts w:ascii="Times New Roman" w:hAnsi="Times New Roman" w:cs="Times New Roman"/>
                <w:noProof/>
                <w:sz w:val="16"/>
                <w:szCs w:val="16"/>
              </w:rPr>
            </w:pPr>
          </w:p>
        </w:tc>
        <w:tc>
          <w:tcPr>
            <w:tcW w:w="600" w:type="pct"/>
            <w:tcBorders>
              <w:top w:val="single" w:sz="4" w:space="0" w:color="auto"/>
              <w:left w:val="single" w:sz="4" w:space="0" w:color="auto"/>
              <w:bottom w:val="single" w:sz="4" w:space="0" w:color="auto"/>
              <w:right w:val="single" w:sz="4" w:space="0" w:color="auto"/>
            </w:tcBorders>
          </w:tcPr>
          <w:p w14:paraId="716C114A" w14:textId="77777777" w:rsidR="00653571" w:rsidRPr="008C5F1C" w:rsidRDefault="00555977" w:rsidP="00534127">
            <w:pPr>
              <w:rPr>
                <w:rFonts w:ascii="Times New Roman" w:hAnsi="Times New Roman" w:cs="Times New Roman"/>
                <w:bCs/>
                <w:i/>
                <w:sz w:val="16"/>
                <w:szCs w:val="16"/>
              </w:rPr>
            </w:pPr>
            <w:r w:rsidRPr="008C5F1C">
              <w:rPr>
                <w:rFonts w:ascii="Times New Roman" w:hAnsi="Times New Roman" w:cs="Times New Roman"/>
                <w:bCs/>
                <w:i/>
                <w:sz w:val="16"/>
                <w:szCs w:val="16"/>
              </w:rPr>
              <w:t>Euro</w:t>
            </w:r>
          </w:p>
        </w:tc>
        <w:tc>
          <w:tcPr>
            <w:tcW w:w="524" w:type="pct"/>
            <w:tcBorders>
              <w:top w:val="single" w:sz="4" w:space="0" w:color="auto"/>
              <w:left w:val="single" w:sz="4" w:space="0" w:color="auto"/>
              <w:bottom w:val="single" w:sz="4" w:space="0" w:color="auto"/>
              <w:right w:val="single" w:sz="4" w:space="0" w:color="auto"/>
            </w:tcBorders>
          </w:tcPr>
          <w:p w14:paraId="59E02703" w14:textId="61CB5002" w:rsidR="00653571" w:rsidRPr="008C5F1C" w:rsidRDefault="005F3B52" w:rsidP="00534127">
            <w:pPr>
              <w:rPr>
                <w:rFonts w:ascii="Times New Roman" w:hAnsi="Times New Roman" w:cs="Times New Roman"/>
                <w:bCs/>
                <w:i/>
                <w:sz w:val="16"/>
                <w:szCs w:val="16"/>
              </w:rPr>
            </w:pPr>
            <w:r w:rsidRPr="008C5F1C">
              <w:rPr>
                <w:rFonts w:ascii="Times New Roman" w:hAnsi="Times New Roman" w:cs="Times New Roman"/>
                <w:bCs/>
                <w:i/>
                <w:sz w:val="16"/>
                <w:szCs w:val="16"/>
              </w:rPr>
              <w:t>1</w:t>
            </w:r>
            <w:r w:rsidR="00F67F4B" w:rsidRPr="008C5F1C">
              <w:rPr>
                <w:rFonts w:ascii="Times New Roman" w:hAnsi="Times New Roman" w:cs="Times New Roman"/>
                <w:bCs/>
                <w:i/>
                <w:sz w:val="16"/>
                <w:szCs w:val="16"/>
              </w:rPr>
              <w:t>.00</w:t>
            </w:r>
            <w:r w:rsidR="00755E37" w:rsidRPr="008C5F1C">
              <w:rPr>
                <w:rFonts w:ascii="Times New Roman" w:hAnsi="Times New Roman" w:cs="Times New Roman"/>
                <w:bCs/>
                <w:i/>
                <w:sz w:val="16"/>
                <w:szCs w:val="16"/>
              </w:rPr>
              <w:t>0.000</w:t>
            </w:r>
          </w:p>
        </w:tc>
        <w:tc>
          <w:tcPr>
            <w:tcW w:w="658" w:type="pct"/>
            <w:tcBorders>
              <w:top w:val="single" w:sz="4" w:space="0" w:color="auto"/>
              <w:left w:val="single" w:sz="4" w:space="0" w:color="auto"/>
              <w:bottom w:val="single" w:sz="4" w:space="0" w:color="auto"/>
              <w:right w:val="single" w:sz="4" w:space="0" w:color="auto"/>
            </w:tcBorders>
          </w:tcPr>
          <w:p w14:paraId="074583EC" w14:textId="5C4A7BB8" w:rsidR="00653571" w:rsidRPr="008C5F1C" w:rsidRDefault="00755E37" w:rsidP="00534127">
            <w:pPr>
              <w:rPr>
                <w:rFonts w:ascii="Times New Roman" w:hAnsi="Times New Roman" w:cs="Times New Roman"/>
                <w:bCs/>
                <w:i/>
                <w:sz w:val="16"/>
                <w:szCs w:val="16"/>
              </w:rPr>
            </w:pPr>
            <w:r w:rsidRPr="008C5F1C">
              <w:rPr>
                <w:rFonts w:ascii="Times New Roman" w:hAnsi="Times New Roman" w:cs="Times New Roman"/>
                <w:bCs/>
                <w:i/>
                <w:sz w:val="16"/>
                <w:szCs w:val="16"/>
              </w:rPr>
              <w:t>1</w:t>
            </w:r>
            <w:r w:rsidR="00F67F4B" w:rsidRPr="008C5F1C">
              <w:rPr>
                <w:rFonts w:ascii="Times New Roman" w:hAnsi="Times New Roman" w:cs="Times New Roman"/>
                <w:bCs/>
                <w:i/>
                <w:sz w:val="16"/>
                <w:szCs w:val="16"/>
              </w:rPr>
              <w:t>0.0</w:t>
            </w:r>
            <w:r w:rsidRPr="008C5F1C">
              <w:rPr>
                <w:rFonts w:ascii="Times New Roman" w:hAnsi="Times New Roman" w:cs="Times New Roman"/>
                <w:bCs/>
                <w:i/>
                <w:sz w:val="16"/>
                <w:szCs w:val="16"/>
              </w:rPr>
              <w:t>00.000</w:t>
            </w:r>
          </w:p>
        </w:tc>
      </w:tr>
      <w:tr w:rsidR="00653571" w:rsidRPr="008C5F1C" w14:paraId="2FB04B54" w14:textId="77777777" w:rsidTr="00B5368E">
        <w:trPr>
          <w:trHeight w:val="340"/>
        </w:trPr>
        <w:tc>
          <w:tcPr>
            <w:tcW w:w="394" w:type="pct"/>
            <w:tcBorders>
              <w:top w:val="single" w:sz="4" w:space="0" w:color="auto"/>
              <w:left w:val="single" w:sz="4" w:space="0" w:color="auto"/>
              <w:bottom w:val="single" w:sz="4" w:space="0" w:color="auto"/>
              <w:right w:val="single" w:sz="4" w:space="0" w:color="auto"/>
            </w:tcBorders>
          </w:tcPr>
          <w:p w14:paraId="617E9B3F" w14:textId="77777777" w:rsidR="00653571" w:rsidRPr="008C5F1C" w:rsidRDefault="006F2A71" w:rsidP="00534127">
            <w:pPr>
              <w:rPr>
                <w:rFonts w:ascii="Times New Roman" w:hAnsi="Times New Roman" w:cs="Times New Roman"/>
                <w:bCs/>
                <w:i/>
                <w:sz w:val="16"/>
                <w:szCs w:val="16"/>
              </w:rPr>
            </w:pPr>
            <w:r w:rsidRPr="008C5F1C">
              <w:rPr>
                <w:rFonts w:ascii="Times New Roman" w:hAnsi="Times New Roman" w:cs="Times New Roman"/>
                <w:bCs/>
                <w:i/>
                <w:sz w:val="16"/>
                <w:szCs w:val="16"/>
              </w:rPr>
              <w:t>1</w:t>
            </w:r>
          </w:p>
        </w:tc>
        <w:tc>
          <w:tcPr>
            <w:tcW w:w="618" w:type="pct"/>
            <w:tcBorders>
              <w:top w:val="single" w:sz="4" w:space="0" w:color="auto"/>
              <w:left w:val="single" w:sz="4" w:space="0" w:color="auto"/>
              <w:bottom w:val="single" w:sz="4" w:space="0" w:color="auto"/>
              <w:right w:val="single" w:sz="4" w:space="0" w:color="auto"/>
            </w:tcBorders>
          </w:tcPr>
          <w:p w14:paraId="5116A3B1" w14:textId="77777777" w:rsidR="00653571" w:rsidRPr="008C5F1C" w:rsidRDefault="0047314D" w:rsidP="00534127">
            <w:pPr>
              <w:rPr>
                <w:rFonts w:ascii="Times New Roman" w:hAnsi="Times New Roman" w:cs="Times New Roman"/>
                <w:noProof/>
                <w:sz w:val="16"/>
                <w:szCs w:val="16"/>
              </w:rPr>
            </w:pPr>
            <w:r w:rsidRPr="008C5F1C">
              <w:rPr>
                <w:rFonts w:ascii="Times New Roman" w:hAnsi="Times New Roman" w:cs="Times New Roman"/>
                <w:noProof/>
                <w:sz w:val="16"/>
                <w:szCs w:val="16"/>
              </w:rPr>
              <w:t xml:space="preserve">a (i) </w:t>
            </w:r>
            <w:r w:rsidR="00653571" w:rsidRPr="008C5F1C">
              <w:rPr>
                <w:rFonts w:ascii="Times New Roman" w:hAnsi="Times New Roman" w:cs="Times New Roman"/>
                <w:noProof/>
                <w:sz w:val="16"/>
                <w:szCs w:val="16"/>
              </w:rPr>
              <w:t>Dezvoltarea capacit</w:t>
            </w:r>
            <w:r w:rsidR="00BA7827" w:rsidRPr="008C5F1C">
              <w:rPr>
                <w:rFonts w:ascii="Times New Roman" w:hAnsi="Times New Roman" w:cs="Times New Roman"/>
                <w:noProof/>
                <w:sz w:val="16"/>
                <w:szCs w:val="16"/>
              </w:rPr>
              <w:t>ă</w:t>
            </w:r>
            <w:r w:rsidR="00E22FF2" w:rsidRPr="008C5F1C">
              <w:rPr>
                <w:rFonts w:ascii="Times New Roman" w:hAnsi="Times New Roman" w:cs="Times New Roman"/>
                <w:noProof/>
                <w:sz w:val="16"/>
                <w:szCs w:val="16"/>
              </w:rPr>
              <w:t>ț</w:t>
            </w:r>
            <w:r w:rsidR="00653571" w:rsidRPr="008C5F1C">
              <w:rPr>
                <w:rFonts w:ascii="Times New Roman" w:hAnsi="Times New Roman" w:cs="Times New Roman"/>
                <w:noProof/>
                <w:sz w:val="16"/>
                <w:szCs w:val="16"/>
              </w:rPr>
              <w:t xml:space="preserve">ilor de cercetare </w:t>
            </w:r>
            <w:r w:rsidR="00106240" w:rsidRPr="008C5F1C">
              <w:rPr>
                <w:rFonts w:ascii="Times New Roman" w:hAnsi="Times New Roman" w:cs="Times New Roman"/>
                <w:noProof/>
                <w:sz w:val="16"/>
                <w:szCs w:val="16"/>
              </w:rPr>
              <w:t>ș</w:t>
            </w:r>
            <w:r w:rsidR="00653571" w:rsidRPr="008C5F1C">
              <w:rPr>
                <w:rFonts w:ascii="Times New Roman" w:hAnsi="Times New Roman" w:cs="Times New Roman"/>
                <w:noProof/>
                <w:sz w:val="16"/>
                <w:szCs w:val="16"/>
              </w:rPr>
              <w:t xml:space="preserve">i inovare </w:t>
            </w:r>
            <w:r w:rsidR="00106240" w:rsidRPr="008C5F1C">
              <w:rPr>
                <w:rFonts w:ascii="Times New Roman" w:hAnsi="Times New Roman" w:cs="Times New Roman"/>
                <w:noProof/>
                <w:sz w:val="16"/>
                <w:szCs w:val="16"/>
              </w:rPr>
              <w:t>ș</w:t>
            </w:r>
            <w:r w:rsidR="00653571" w:rsidRPr="008C5F1C">
              <w:rPr>
                <w:rFonts w:ascii="Times New Roman" w:hAnsi="Times New Roman" w:cs="Times New Roman"/>
                <w:noProof/>
                <w:sz w:val="16"/>
                <w:szCs w:val="16"/>
              </w:rPr>
              <w:t>i adoptarea tehnologiilor avansate</w:t>
            </w:r>
          </w:p>
        </w:tc>
        <w:tc>
          <w:tcPr>
            <w:tcW w:w="324" w:type="pct"/>
            <w:tcBorders>
              <w:top w:val="single" w:sz="4" w:space="0" w:color="auto"/>
              <w:left w:val="single" w:sz="4" w:space="0" w:color="auto"/>
              <w:bottom w:val="single" w:sz="4" w:space="0" w:color="auto"/>
              <w:right w:val="single" w:sz="4" w:space="0" w:color="auto"/>
            </w:tcBorders>
          </w:tcPr>
          <w:p w14:paraId="6C92950A" w14:textId="77777777" w:rsidR="00653571" w:rsidRPr="008C5F1C" w:rsidRDefault="00653571" w:rsidP="00534127">
            <w:pPr>
              <w:rPr>
                <w:rFonts w:ascii="Times New Roman" w:hAnsi="Times New Roman" w:cs="Times New Roman"/>
                <w:noProof/>
                <w:sz w:val="16"/>
                <w:szCs w:val="16"/>
              </w:rPr>
            </w:pPr>
            <w:r w:rsidRPr="008C5F1C">
              <w:rPr>
                <w:rFonts w:ascii="Times New Roman" w:hAnsi="Times New Roman" w:cs="Times New Roman"/>
                <w:noProof/>
                <w:sz w:val="16"/>
                <w:szCs w:val="16"/>
              </w:rPr>
              <w:t>FEDR</w:t>
            </w:r>
          </w:p>
        </w:tc>
        <w:tc>
          <w:tcPr>
            <w:tcW w:w="453" w:type="pct"/>
            <w:tcBorders>
              <w:top w:val="single" w:sz="4" w:space="0" w:color="auto"/>
              <w:left w:val="single" w:sz="4" w:space="0" w:color="auto"/>
              <w:bottom w:val="single" w:sz="4" w:space="0" w:color="auto"/>
              <w:right w:val="single" w:sz="4" w:space="0" w:color="auto"/>
            </w:tcBorders>
          </w:tcPr>
          <w:p w14:paraId="4E6C955F" w14:textId="77777777" w:rsidR="00653571" w:rsidRPr="008C5F1C" w:rsidRDefault="00653571" w:rsidP="00534127">
            <w:pPr>
              <w:rPr>
                <w:rFonts w:ascii="Times New Roman" w:hAnsi="Times New Roman" w:cs="Times New Roman"/>
                <w:noProof/>
                <w:sz w:val="16"/>
                <w:szCs w:val="16"/>
              </w:rPr>
            </w:pPr>
            <w:r w:rsidRPr="008C5F1C">
              <w:rPr>
                <w:rFonts w:ascii="Times New Roman" w:hAnsi="Times New Roman" w:cs="Times New Roman"/>
                <w:noProof/>
                <w:sz w:val="16"/>
                <w:szCs w:val="16"/>
              </w:rPr>
              <w:t>Mai pu</w:t>
            </w:r>
            <w:r w:rsidR="00E22FF2" w:rsidRPr="008C5F1C">
              <w:rPr>
                <w:rFonts w:ascii="Times New Roman" w:hAnsi="Times New Roman" w:cs="Times New Roman"/>
                <w:noProof/>
                <w:sz w:val="16"/>
                <w:szCs w:val="16"/>
              </w:rPr>
              <w:t>ț</w:t>
            </w:r>
            <w:r w:rsidRPr="008C5F1C">
              <w:rPr>
                <w:rFonts w:ascii="Times New Roman" w:hAnsi="Times New Roman" w:cs="Times New Roman"/>
                <w:noProof/>
                <w:sz w:val="16"/>
                <w:szCs w:val="16"/>
              </w:rPr>
              <w:t>in dezvoltate</w:t>
            </w:r>
          </w:p>
        </w:tc>
        <w:tc>
          <w:tcPr>
            <w:tcW w:w="283" w:type="pct"/>
            <w:tcBorders>
              <w:top w:val="single" w:sz="4" w:space="0" w:color="auto"/>
              <w:left w:val="single" w:sz="4" w:space="0" w:color="auto"/>
              <w:bottom w:val="single" w:sz="4" w:space="0" w:color="auto"/>
              <w:right w:val="single" w:sz="4" w:space="0" w:color="auto"/>
            </w:tcBorders>
          </w:tcPr>
          <w:p w14:paraId="36AB375A" w14:textId="77777777" w:rsidR="00653571" w:rsidRPr="008C5F1C" w:rsidRDefault="00653571" w:rsidP="00534127">
            <w:pPr>
              <w:rPr>
                <w:rFonts w:ascii="Times New Roman" w:hAnsi="Times New Roman" w:cs="Times New Roman"/>
                <w:noProof/>
                <w:sz w:val="16"/>
                <w:szCs w:val="16"/>
              </w:rPr>
            </w:pPr>
            <w:r w:rsidRPr="008C5F1C">
              <w:rPr>
                <w:rFonts w:ascii="Times New Roman" w:hAnsi="Times New Roman" w:cs="Times New Roman"/>
                <w:noProof/>
                <w:sz w:val="16"/>
                <w:szCs w:val="16"/>
              </w:rPr>
              <w:t>RCO 10</w:t>
            </w:r>
          </w:p>
        </w:tc>
        <w:tc>
          <w:tcPr>
            <w:tcW w:w="1146" w:type="pct"/>
            <w:tcBorders>
              <w:top w:val="single" w:sz="4" w:space="0" w:color="auto"/>
              <w:left w:val="single" w:sz="4" w:space="0" w:color="auto"/>
              <w:bottom w:val="single" w:sz="4" w:space="0" w:color="auto"/>
              <w:right w:val="single" w:sz="4" w:space="0" w:color="auto"/>
            </w:tcBorders>
          </w:tcPr>
          <w:p w14:paraId="6177495E" w14:textId="77777777" w:rsidR="00653571" w:rsidRPr="008C5F1C" w:rsidRDefault="00653571" w:rsidP="00534127">
            <w:pPr>
              <w:rPr>
                <w:rFonts w:ascii="Times New Roman" w:hAnsi="Times New Roman" w:cs="Times New Roman"/>
                <w:noProof/>
                <w:sz w:val="16"/>
                <w:szCs w:val="16"/>
              </w:rPr>
            </w:pPr>
            <w:r w:rsidRPr="008C5F1C">
              <w:rPr>
                <w:rFonts w:ascii="Times New Roman" w:hAnsi="Times New Roman" w:cs="Times New Roman"/>
                <w:noProof/>
                <w:sz w:val="16"/>
                <w:szCs w:val="16"/>
              </w:rPr>
              <w:t>RCO 10 - Întreprinderi care coopereaz</w:t>
            </w:r>
            <w:r w:rsidR="00BA7827" w:rsidRPr="008C5F1C">
              <w:rPr>
                <w:rFonts w:ascii="Times New Roman" w:hAnsi="Times New Roman" w:cs="Times New Roman"/>
                <w:noProof/>
                <w:sz w:val="16"/>
                <w:szCs w:val="16"/>
              </w:rPr>
              <w:t>ă</w:t>
            </w:r>
            <w:r w:rsidRPr="008C5F1C">
              <w:rPr>
                <w:rFonts w:ascii="Times New Roman" w:hAnsi="Times New Roman" w:cs="Times New Roman"/>
                <w:noProof/>
                <w:sz w:val="16"/>
                <w:szCs w:val="16"/>
              </w:rPr>
              <w:t xml:space="preserve"> cu institu</w:t>
            </w:r>
            <w:r w:rsidR="00E22FF2" w:rsidRPr="008C5F1C">
              <w:rPr>
                <w:rFonts w:ascii="Times New Roman" w:hAnsi="Times New Roman" w:cs="Times New Roman"/>
                <w:noProof/>
                <w:sz w:val="16"/>
                <w:szCs w:val="16"/>
              </w:rPr>
              <w:t>ț</w:t>
            </w:r>
            <w:r w:rsidRPr="008C5F1C">
              <w:rPr>
                <w:rFonts w:ascii="Times New Roman" w:hAnsi="Times New Roman" w:cs="Times New Roman"/>
                <w:noProof/>
                <w:sz w:val="16"/>
                <w:szCs w:val="16"/>
              </w:rPr>
              <w:t>ii de cercetare</w:t>
            </w:r>
          </w:p>
        </w:tc>
        <w:tc>
          <w:tcPr>
            <w:tcW w:w="600" w:type="pct"/>
            <w:tcBorders>
              <w:top w:val="single" w:sz="4" w:space="0" w:color="auto"/>
              <w:left w:val="single" w:sz="4" w:space="0" w:color="auto"/>
              <w:bottom w:val="single" w:sz="4" w:space="0" w:color="auto"/>
              <w:right w:val="single" w:sz="4" w:space="0" w:color="auto"/>
            </w:tcBorders>
          </w:tcPr>
          <w:p w14:paraId="3846748A" w14:textId="77777777" w:rsidR="00653571" w:rsidRPr="008C5F1C" w:rsidRDefault="006D606F" w:rsidP="00534127">
            <w:pPr>
              <w:rPr>
                <w:rFonts w:ascii="Times New Roman" w:hAnsi="Times New Roman" w:cs="Times New Roman"/>
                <w:bCs/>
                <w:i/>
                <w:sz w:val="16"/>
                <w:szCs w:val="16"/>
              </w:rPr>
            </w:pPr>
            <w:proofErr w:type="spellStart"/>
            <w:r w:rsidRPr="008C5F1C">
              <w:rPr>
                <w:rFonts w:ascii="Times New Roman" w:hAnsi="Times New Roman" w:cs="Times New Roman"/>
                <w:bCs/>
                <w:i/>
                <w:sz w:val="16"/>
                <w:szCs w:val="16"/>
              </w:rPr>
              <w:t>Intreprinderi</w:t>
            </w:r>
            <w:proofErr w:type="spellEnd"/>
            <w:r w:rsidRPr="008C5F1C">
              <w:rPr>
                <w:rFonts w:ascii="Times New Roman" w:hAnsi="Times New Roman" w:cs="Times New Roman"/>
                <w:bCs/>
                <w:i/>
                <w:sz w:val="16"/>
                <w:szCs w:val="16"/>
              </w:rPr>
              <w:t xml:space="preserve"> </w:t>
            </w:r>
          </w:p>
        </w:tc>
        <w:tc>
          <w:tcPr>
            <w:tcW w:w="524" w:type="pct"/>
            <w:tcBorders>
              <w:top w:val="single" w:sz="4" w:space="0" w:color="auto"/>
              <w:left w:val="single" w:sz="4" w:space="0" w:color="auto"/>
              <w:bottom w:val="single" w:sz="4" w:space="0" w:color="auto"/>
              <w:right w:val="single" w:sz="4" w:space="0" w:color="auto"/>
            </w:tcBorders>
          </w:tcPr>
          <w:p w14:paraId="01F1A05D" w14:textId="4FC9536A" w:rsidR="00653571" w:rsidRPr="008C5F1C" w:rsidRDefault="005F3B52" w:rsidP="00534127">
            <w:pPr>
              <w:rPr>
                <w:rFonts w:ascii="Times New Roman" w:hAnsi="Times New Roman" w:cs="Times New Roman"/>
                <w:bCs/>
                <w:i/>
                <w:sz w:val="16"/>
                <w:szCs w:val="16"/>
              </w:rPr>
            </w:pPr>
            <w:r w:rsidRPr="008C5F1C">
              <w:rPr>
                <w:rFonts w:ascii="Times New Roman" w:hAnsi="Times New Roman" w:cs="Times New Roman"/>
                <w:bCs/>
                <w:i/>
                <w:sz w:val="16"/>
                <w:szCs w:val="16"/>
              </w:rPr>
              <w:t>2</w:t>
            </w:r>
          </w:p>
        </w:tc>
        <w:tc>
          <w:tcPr>
            <w:tcW w:w="658" w:type="pct"/>
            <w:tcBorders>
              <w:top w:val="single" w:sz="4" w:space="0" w:color="auto"/>
              <w:left w:val="single" w:sz="4" w:space="0" w:color="auto"/>
              <w:bottom w:val="single" w:sz="4" w:space="0" w:color="auto"/>
              <w:right w:val="single" w:sz="4" w:space="0" w:color="auto"/>
            </w:tcBorders>
          </w:tcPr>
          <w:p w14:paraId="2DA1B52D" w14:textId="6B2DB1A0" w:rsidR="00653571" w:rsidRPr="008C5F1C" w:rsidRDefault="005F3B52" w:rsidP="00534127">
            <w:pPr>
              <w:rPr>
                <w:rFonts w:ascii="Times New Roman" w:hAnsi="Times New Roman" w:cs="Times New Roman"/>
                <w:bCs/>
                <w:i/>
                <w:sz w:val="16"/>
                <w:szCs w:val="16"/>
              </w:rPr>
            </w:pPr>
            <w:r w:rsidRPr="008C5F1C">
              <w:rPr>
                <w:rFonts w:ascii="Times New Roman" w:hAnsi="Times New Roman" w:cs="Times New Roman"/>
                <w:bCs/>
                <w:i/>
                <w:sz w:val="16"/>
                <w:szCs w:val="16"/>
              </w:rPr>
              <w:t>10</w:t>
            </w:r>
          </w:p>
        </w:tc>
      </w:tr>
      <w:tr w:rsidR="00344735" w:rsidRPr="008C5F1C" w14:paraId="44E7A39E" w14:textId="77777777" w:rsidTr="00344735">
        <w:trPr>
          <w:trHeight w:val="340"/>
        </w:trPr>
        <w:tc>
          <w:tcPr>
            <w:tcW w:w="394" w:type="pct"/>
            <w:tcBorders>
              <w:top w:val="single" w:sz="4" w:space="0" w:color="auto"/>
              <w:left w:val="single" w:sz="4" w:space="0" w:color="auto"/>
              <w:bottom w:val="single" w:sz="4" w:space="0" w:color="auto"/>
              <w:right w:val="single" w:sz="4" w:space="0" w:color="auto"/>
            </w:tcBorders>
          </w:tcPr>
          <w:p w14:paraId="1946A70A" w14:textId="77777777" w:rsidR="00344735" w:rsidRPr="008C5F1C" w:rsidRDefault="006F2A71" w:rsidP="00344735">
            <w:pPr>
              <w:rPr>
                <w:rFonts w:ascii="Times New Roman" w:hAnsi="Times New Roman" w:cs="Times New Roman"/>
                <w:bCs/>
                <w:i/>
                <w:sz w:val="16"/>
                <w:szCs w:val="16"/>
              </w:rPr>
            </w:pPr>
            <w:r w:rsidRPr="008C5F1C">
              <w:rPr>
                <w:rFonts w:ascii="Times New Roman" w:hAnsi="Times New Roman" w:cs="Times New Roman"/>
                <w:bCs/>
                <w:i/>
                <w:sz w:val="16"/>
                <w:szCs w:val="16"/>
              </w:rPr>
              <w:t>1</w:t>
            </w:r>
          </w:p>
        </w:tc>
        <w:tc>
          <w:tcPr>
            <w:tcW w:w="618" w:type="pct"/>
            <w:tcBorders>
              <w:top w:val="single" w:sz="4" w:space="0" w:color="auto"/>
              <w:left w:val="single" w:sz="4" w:space="0" w:color="auto"/>
              <w:bottom w:val="single" w:sz="4" w:space="0" w:color="auto"/>
              <w:right w:val="single" w:sz="4" w:space="0" w:color="auto"/>
            </w:tcBorders>
          </w:tcPr>
          <w:p w14:paraId="4682F616" w14:textId="77777777" w:rsidR="00344735" w:rsidRPr="008C5F1C" w:rsidRDefault="0047314D" w:rsidP="00344735">
            <w:pPr>
              <w:rPr>
                <w:rFonts w:ascii="Times New Roman" w:hAnsi="Times New Roman" w:cs="Times New Roman"/>
                <w:noProof/>
                <w:sz w:val="16"/>
                <w:szCs w:val="16"/>
              </w:rPr>
            </w:pPr>
            <w:r w:rsidRPr="008C5F1C">
              <w:rPr>
                <w:rFonts w:ascii="Times New Roman" w:hAnsi="Times New Roman" w:cs="Times New Roman"/>
                <w:noProof/>
                <w:sz w:val="16"/>
                <w:szCs w:val="16"/>
              </w:rPr>
              <w:t xml:space="preserve">a (i) </w:t>
            </w:r>
            <w:r w:rsidR="00344735" w:rsidRPr="008C5F1C">
              <w:rPr>
                <w:rFonts w:ascii="Times New Roman" w:hAnsi="Times New Roman" w:cs="Times New Roman"/>
                <w:noProof/>
                <w:sz w:val="16"/>
                <w:szCs w:val="16"/>
              </w:rPr>
              <w:t>Dezvoltarea capacit</w:t>
            </w:r>
            <w:r w:rsidR="00BA7827" w:rsidRPr="008C5F1C">
              <w:rPr>
                <w:rFonts w:ascii="Times New Roman" w:hAnsi="Times New Roman" w:cs="Times New Roman"/>
                <w:noProof/>
                <w:sz w:val="16"/>
                <w:szCs w:val="16"/>
              </w:rPr>
              <w:t>ă</w:t>
            </w:r>
            <w:r w:rsidR="00E22FF2" w:rsidRPr="008C5F1C">
              <w:rPr>
                <w:rFonts w:ascii="Times New Roman" w:hAnsi="Times New Roman" w:cs="Times New Roman"/>
                <w:noProof/>
                <w:sz w:val="16"/>
                <w:szCs w:val="16"/>
              </w:rPr>
              <w:t>ț</w:t>
            </w:r>
            <w:r w:rsidR="00344735" w:rsidRPr="008C5F1C">
              <w:rPr>
                <w:rFonts w:ascii="Times New Roman" w:hAnsi="Times New Roman" w:cs="Times New Roman"/>
                <w:noProof/>
                <w:sz w:val="16"/>
                <w:szCs w:val="16"/>
              </w:rPr>
              <w:t xml:space="preserve">ilor de cercetare </w:t>
            </w:r>
            <w:r w:rsidR="00106240" w:rsidRPr="008C5F1C">
              <w:rPr>
                <w:rFonts w:ascii="Times New Roman" w:hAnsi="Times New Roman" w:cs="Times New Roman"/>
                <w:noProof/>
                <w:sz w:val="16"/>
                <w:szCs w:val="16"/>
              </w:rPr>
              <w:t>ș</w:t>
            </w:r>
            <w:r w:rsidR="00344735" w:rsidRPr="008C5F1C">
              <w:rPr>
                <w:rFonts w:ascii="Times New Roman" w:hAnsi="Times New Roman" w:cs="Times New Roman"/>
                <w:noProof/>
                <w:sz w:val="16"/>
                <w:szCs w:val="16"/>
              </w:rPr>
              <w:t xml:space="preserve">i inovare </w:t>
            </w:r>
            <w:r w:rsidR="00106240" w:rsidRPr="008C5F1C">
              <w:rPr>
                <w:rFonts w:ascii="Times New Roman" w:hAnsi="Times New Roman" w:cs="Times New Roman"/>
                <w:noProof/>
                <w:sz w:val="16"/>
                <w:szCs w:val="16"/>
              </w:rPr>
              <w:t>ș</w:t>
            </w:r>
            <w:r w:rsidR="00344735" w:rsidRPr="008C5F1C">
              <w:rPr>
                <w:rFonts w:ascii="Times New Roman" w:hAnsi="Times New Roman" w:cs="Times New Roman"/>
                <w:noProof/>
                <w:sz w:val="16"/>
                <w:szCs w:val="16"/>
              </w:rPr>
              <w:t>i adoptarea tehnologiilor avansate</w:t>
            </w:r>
          </w:p>
        </w:tc>
        <w:tc>
          <w:tcPr>
            <w:tcW w:w="324" w:type="pct"/>
            <w:tcBorders>
              <w:top w:val="single" w:sz="4" w:space="0" w:color="auto"/>
              <w:left w:val="single" w:sz="4" w:space="0" w:color="auto"/>
              <w:bottom w:val="single" w:sz="4" w:space="0" w:color="auto"/>
              <w:right w:val="single" w:sz="4" w:space="0" w:color="auto"/>
            </w:tcBorders>
          </w:tcPr>
          <w:p w14:paraId="29278076" w14:textId="77777777" w:rsidR="00344735" w:rsidRPr="008C5F1C" w:rsidRDefault="00344735" w:rsidP="00344735">
            <w:pPr>
              <w:rPr>
                <w:rFonts w:ascii="Times New Roman" w:hAnsi="Times New Roman" w:cs="Times New Roman"/>
                <w:noProof/>
                <w:sz w:val="16"/>
                <w:szCs w:val="16"/>
              </w:rPr>
            </w:pPr>
            <w:r w:rsidRPr="008C5F1C">
              <w:rPr>
                <w:rFonts w:ascii="Times New Roman" w:hAnsi="Times New Roman" w:cs="Times New Roman"/>
                <w:noProof/>
                <w:sz w:val="16"/>
                <w:szCs w:val="16"/>
              </w:rPr>
              <w:t>FEDR</w:t>
            </w:r>
          </w:p>
        </w:tc>
        <w:tc>
          <w:tcPr>
            <w:tcW w:w="453" w:type="pct"/>
            <w:tcBorders>
              <w:top w:val="single" w:sz="4" w:space="0" w:color="auto"/>
              <w:left w:val="single" w:sz="4" w:space="0" w:color="auto"/>
              <w:bottom w:val="single" w:sz="4" w:space="0" w:color="auto"/>
              <w:right w:val="single" w:sz="4" w:space="0" w:color="auto"/>
            </w:tcBorders>
          </w:tcPr>
          <w:p w14:paraId="6B77F9DE" w14:textId="77777777" w:rsidR="00344735" w:rsidRPr="008C5F1C" w:rsidRDefault="00344735" w:rsidP="00344735">
            <w:pPr>
              <w:rPr>
                <w:rFonts w:ascii="Times New Roman" w:hAnsi="Times New Roman" w:cs="Times New Roman"/>
                <w:noProof/>
                <w:sz w:val="16"/>
                <w:szCs w:val="16"/>
              </w:rPr>
            </w:pPr>
            <w:r w:rsidRPr="008C5F1C">
              <w:rPr>
                <w:rFonts w:ascii="Times New Roman" w:hAnsi="Times New Roman" w:cs="Times New Roman"/>
                <w:noProof/>
                <w:sz w:val="16"/>
                <w:szCs w:val="16"/>
              </w:rPr>
              <w:t>Mai pu</w:t>
            </w:r>
            <w:r w:rsidR="00E22FF2" w:rsidRPr="008C5F1C">
              <w:rPr>
                <w:rFonts w:ascii="Times New Roman" w:hAnsi="Times New Roman" w:cs="Times New Roman"/>
                <w:noProof/>
                <w:sz w:val="16"/>
                <w:szCs w:val="16"/>
              </w:rPr>
              <w:t>ț</w:t>
            </w:r>
            <w:r w:rsidRPr="008C5F1C">
              <w:rPr>
                <w:rFonts w:ascii="Times New Roman" w:hAnsi="Times New Roman" w:cs="Times New Roman"/>
                <w:noProof/>
                <w:sz w:val="16"/>
                <w:szCs w:val="16"/>
              </w:rPr>
              <w:t>in dezvoltate</w:t>
            </w:r>
          </w:p>
        </w:tc>
        <w:tc>
          <w:tcPr>
            <w:tcW w:w="283" w:type="pct"/>
            <w:tcBorders>
              <w:top w:val="single" w:sz="4" w:space="0" w:color="auto"/>
              <w:left w:val="single" w:sz="4" w:space="0" w:color="auto"/>
              <w:bottom w:val="single" w:sz="4" w:space="0" w:color="auto"/>
              <w:right w:val="single" w:sz="4" w:space="0" w:color="auto"/>
            </w:tcBorders>
          </w:tcPr>
          <w:p w14:paraId="74B9B308" w14:textId="77777777" w:rsidR="00344735" w:rsidRPr="008C5F1C" w:rsidRDefault="00344735" w:rsidP="00344735">
            <w:pPr>
              <w:rPr>
                <w:rFonts w:ascii="Times New Roman" w:hAnsi="Times New Roman" w:cs="Times New Roman"/>
                <w:noProof/>
                <w:sz w:val="16"/>
                <w:szCs w:val="16"/>
              </w:rPr>
            </w:pPr>
            <w:r w:rsidRPr="008C5F1C">
              <w:rPr>
                <w:rFonts w:ascii="Times New Roman" w:hAnsi="Times New Roman" w:cs="Times New Roman"/>
                <w:noProof/>
                <w:sz w:val="16"/>
                <w:szCs w:val="16"/>
              </w:rPr>
              <w:t>RCO 103</w:t>
            </w:r>
          </w:p>
        </w:tc>
        <w:tc>
          <w:tcPr>
            <w:tcW w:w="1146" w:type="pct"/>
            <w:tcBorders>
              <w:top w:val="single" w:sz="4" w:space="0" w:color="auto"/>
              <w:left w:val="single" w:sz="4" w:space="0" w:color="auto"/>
              <w:bottom w:val="single" w:sz="4" w:space="0" w:color="auto"/>
              <w:right w:val="single" w:sz="4" w:space="0" w:color="auto"/>
            </w:tcBorders>
          </w:tcPr>
          <w:p w14:paraId="13161DA4" w14:textId="77777777" w:rsidR="00344735" w:rsidRPr="008C5F1C" w:rsidRDefault="00344735" w:rsidP="00344735">
            <w:pPr>
              <w:rPr>
                <w:rFonts w:ascii="Times New Roman" w:hAnsi="Times New Roman" w:cs="Times New Roman"/>
                <w:noProof/>
                <w:sz w:val="16"/>
                <w:szCs w:val="16"/>
              </w:rPr>
            </w:pPr>
            <w:r w:rsidRPr="008C5F1C">
              <w:rPr>
                <w:rFonts w:ascii="Times New Roman" w:hAnsi="Times New Roman" w:cs="Times New Roman"/>
                <w:noProof/>
                <w:sz w:val="16"/>
                <w:szCs w:val="16"/>
              </w:rPr>
              <w:t>RCO 103 - Intreprinderi cu potential mare de cre</w:t>
            </w:r>
            <w:r w:rsidR="00106240" w:rsidRPr="008C5F1C">
              <w:rPr>
                <w:rFonts w:ascii="Times New Roman" w:hAnsi="Times New Roman" w:cs="Times New Roman"/>
                <w:noProof/>
                <w:sz w:val="16"/>
                <w:szCs w:val="16"/>
              </w:rPr>
              <w:t>ș</w:t>
            </w:r>
            <w:r w:rsidRPr="008C5F1C">
              <w:rPr>
                <w:rFonts w:ascii="Times New Roman" w:hAnsi="Times New Roman" w:cs="Times New Roman"/>
                <w:noProof/>
                <w:sz w:val="16"/>
                <w:szCs w:val="16"/>
              </w:rPr>
              <w:t>tere sprijinite</w:t>
            </w:r>
          </w:p>
        </w:tc>
        <w:tc>
          <w:tcPr>
            <w:tcW w:w="600" w:type="pct"/>
            <w:tcBorders>
              <w:top w:val="single" w:sz="4" w:space="0" w:color="auto"/>
              <w:left w:val="single" w:sz="4" w:space="0" w:color="auto"/>
              <w:bottom w:val="single" w:sz="4" w:space="0" w:color="auto"/>
              <w:right w:val="single" w:sz="4" w:space="0" w:color="auto"/>
            </w:tcBorders>
          </w:tcPr>
          <w:p w14:paraId="527BC710" w14:textId="77777777" w:rsidR="00344735" w:rsidRPr="008C5F1C" w:rsidRDefault="00432155" w:rsidP="00344735">
            <w:pPr>
              <w:rPr>
                <w:rFonts w:ascii="Times New Roman" w:hAnsi="Times New Roman" w:cs="Times New Roman"/>
                <w:bCs/>
                <w:i/>
                <w:sz w:val="16"/>
                <w:szCs w:val="16"/>
              </w:rPr>
            </w:pPr>
            <w:proofErr w:type="spellStart"/>
            <w:r w:rsidRPr="008C5F1C">
              <w:rPr>
                <w:rFonts w:ascii="Times New Roman" w:hAnsi="Times New Roman" w:cs="Times New Roman"/>
                <w:bCs/>
                <w:i/>
                <w:sz w:val="16"/>
                <w:szCs w:val="16"/>
              </w:rPr>
              <w:t>Intrepriunderi</w:t>
            </w:r>
            <w:proofErr w:type="spellEnd"/>
          </w:p>
        </w:tc>
        <w:tc>
          <w:tcPr>
            <w:tcW w:w="524" w:type="pct"/>
            <w:tcBorders>
              <w:top w:val="single" w:sz="4" w:space="0" w:color="auto"/>
              <w:left w:val="single" w:sz="4" w:space="0" w:color="auto"/>
              <w:bottom w:val="single" w:sz="4" w:space="0" w:color="auto"/>
              <w:right w:val="single" w:sz="4" w:space="0" w:color="auto"/>
            </w:tcBorders>
          </w:tcPr>
          <w:p w14:paraId="71908A46" w14:textId="530432A5" w:rsidR="00344735" w:rsidRPr="008C5F1C" w:rsidRDefault="005F3B52" w:rsidP="00344735">
            <w:pPr>
              <w:rPr>
                <w:rFonts w:ascii="Times New Roman" w:hAnsi="Times New Roman" w:cs="Times New Roman"/>
                <w:bCs/>
                <w:i/>
                <w:sz w:val="16"/>
                <w:szCs w:val="16"/>
              </w:rPr>
            </w:pPr>
            <w:r w:rsidRPr="008C5F1C">
              <w:rPr>
                <w:rFonts w:ascii="Times New Roman" w:hAnsi="Times New Roman" w:cs="Times New Roman"/>
                <w:bCs/>
                <w:i/>
                <w:sz w:val="16"/>
                <w:szCs w:val="16"/>
              </w:rPr>
              <w:t>0</w:t>
            </w:r>
          </w:p>
        </w:tc>
        <w:tc>
          <w:tcPr>
            <w:tcW w:w="658" w:type="pct"/>
            <w:tcBorders>
              <w:top w:val="single" w:sz="4" w:space="0" w:color="auto"/>
              <w:left w:val="single" w:sz="4" w:space="0" w:color="auto"/>
              <w:bottom w:val="single" w:sz="4" w:space="0" w:color="auto"/>
              <w:right w:val="single" w:sz="4" w:space="0" w:color="auto"/>
            </w:tcBorders>
          </w:tcPr>
          <w:p w14:paraId="51159AFC" w14:textId="6317D6F4" w:rsidR="00344735" w:rsidRPr="008C5F1C" w:rsidRDefault="005F3B52" w:rsidP="00344735">
            <w:pPr>
              <w:rPr>
                <w:rFonts w:ascii="Times New Roman" w:hAnsi="Times New Roman" w:cs="Times New Roman"/>
                <w:bCs/>
                <w:i/>
                <w:sz w:val="16"/>
                <w:szCs w:val="16"/>
              </w:rPr>
            </w:pPr>
            <w:r w:rsidRPr="008C5F1C">
              <w:rPr>
                <w:rFonts w:ascii="Times New Roman" w:hAnsi="Times New Roman" w:cs="Times New Roman"/>
                <w:bCs/>
                <w:i/>
                <w:sz w:val="16"/>
                <w:szCs w:val="16"/>
              </w:rPr>
              <w:t>3</w:t>
            </w:r>
          </w:p>
        </w:tc>
      </w:tr>
    </w:tbl>
    <w:p w14:paraId="057CB7B9" w14:textId="77777777" w:rsidR="00653571" w:rsidRPr="008C5F1C" w:rsidRDefault="00653571" w:rsidP="00653571">
      <w:pPr>
        <w:rPr>
          <w:rFonts w:ascii="Times New Roman" w:hAnsi="Times New Roman" w:cs="Times New Roman"/>
        </w:rPr>
      </w:pPr>
    </w:p>
    <w:tbl>
      <w:tblPr>
        <w:tblW w:w="54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8"/>
        <w:gridCol w:w="1043"/>
        <w:gridCol w:w="625"/>
        <w:gridCol w:w="875"/>
        <w:gridCol w:w="537"/>
        <w:gridCol w:w="1158"/>
        <w:gridCol w:w="1158"/>
        <w:gridCol w:w="856"/>
        <w:gridCol w:w="900"/>
        <w:gridCol w:w="679"/>
        <w:gridCol w:w="1025"/>
        <w:gridCol w:w="954"/>
      </w:tblGrid>
      <w:tr w:rsidR="00653571" w:rsidRPr="008C5F1C" w14:paraId="63CDF747" w14:textId="77777777" w:rsidTr="00F67F4B">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14:paraId="1CA0E716" w14:textId="77777777" w:rsidR="00653571" w:rsidRPr="008C5F1C" w:rsidRDefault="00653571" w:rsidP="00534127">
            <w:pPr>
              <w:rPr>
                <w:rFonts w:ascii="Times New Roman" w:hAnsi="Times New Roman" w:cs="Times New Roman"/>
                <w:b/>
              </w:rPr>
            </w:pPr>
            <w:r w:rsidRPr="008C5F1C">
              <w:rPr>
                <w:rFonts w:ascii="Times New Roman" w:hAnsi="Times New Roman" w:cs="Times New Roman"/>
                <w:b/>
                <w:iCs/>
              </w:rPr>
              <w:lastRenderedPageBreak/>
              <w:t xml:space="preserve">Table 3: </w:t>
            </w:r>
            <w:proofErr w:type="spellStart"/>
            <w:r w:rsidRPr="008C5F1C">
              <w:rPr>
                <w:rFonts w:ascii="Times New Roman" w:hAnsi="Times New Roman" w:cs="Times New Roman"/>
                <w:b/>
                <w:iCs/>
              </w:rPr>
              <w:t>Result</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indicators</w:t>
            </w:r>
            <w:proofErr w:type="spellEnd"/>
          </w:p>
        </w:tc>
      </w:tr>
      <w:tr w:rsidR="00653571" w:rsidRPr="008C5F1C" w14:paraId="37D2848B" w14:textId="77777777" w:rsidTr="00F67F4B">
        <w:trPr>
          <w:trHeight w:val="1768"/>
        </w:trPr>
        <w:tc>
          <w:tcPr>
            <w:tcW w:w="359" w:type="pct"/>
            <w:tcBorders>
              <w:top w:val="single" w:sz="4" w:space="0" w:color="auto"/>
              <w:left w:val="single" w:sz="4" w:space="0" w:color="auto"/>
              <w:bottom w:val="single" w:sz="4" w:space="0" w:color="auto"/>
              <w:right w:val="single" w:sz="4" w:space="0" w:color="auto"/>
            </w:tcBorders>
            <w:hideMark/>
          </w:tcPr>
          <w:p w14:paraId="6F945926"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Priority</w:t>
            </w:r>
            <w:proofErr w:type="spellEnd"/>
            <w:r w:rsidRPr="008C5F1C">
              <w:rPr>
                <w:rFonts w:ascii="Times New Roman" w:hAnsi="Times New Roman" w:cs="Times New Roman"/>
                <w:b/>
                <w:sz w:val="16"/>
                <w:szCs w:val="16"/>
              </w:rPr>
              <w:t xml:space="preserve"> </w:t>
            </w:r>
          </w:p>
        </w:tc>
        <w:tc>
          <w:tcPr>
            <w:tcW w:w="493" w:type="pct"/>
            <w:tcBorders>
              <w:top w:val="single" w:sz="4" w:space="0" w:color="auto"/>
              <w:left w:val="single" w:sz="4" w:space="0" w:color="auto"/>
              <w:bottom w:val="single" w:sz="4" w:space="0" w:color="auto"/>
              <w:right w:val="single" w:sz="4" w:space="0" w:color="auto"/>
            </w:tcBorders>
            <w:hideMark/>
          </w:tcPr>
          <w:p w14:paraId="292CF866"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 xml:space="preserve">Specific </w:t>
            </w:r>
            <w:proofErr w:type="spellStart"/>
            <w:r w:rsidRPr="008C5F1C">
              <w:rPr>
                <w:rFonts w:ascii="Times New Roman" w:hAnsi="Times New Roman" w:cs="Times New Roman"/>
                <w:b/>
                <w:sz w:val="16"/>
                <w:szCs w:val="16"/>
              </w:rPr>
              <w:t>objective</w:t>
            </w:r>
            <w:proofErr w:type="spellEnd"/>
            <w:r w:rsidRPr="008C5F1C">
              <w:rPr>
                <w:rFonts w:ascii="Times New Roman" w:hAnsi="Times New Roman" w:cs="Times New Roman"/>
                <w:b/>
                <w:sz w:val="16"/>
                <w:szCs w:val="16"/>
              </w:rPr>
              <w:t xml:space="preserve"> (Investment for </w:t>
            </w:r>
            <w:proofErr w:type="spellStart"/>
            <w:r w:rsidRPr="008C5F1C">
              <w:rPr>
                <w:rFonts w:ascii="Times New Roman" w:hAnsi="Times New Roman" w:cs="Times New Roman"/>
                <w:b/>
                <w:sz w:val="16"/>
                <w:szCs w:val="16"/>
              </w:rPr>
              <w:t>Jobs</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and</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Growth</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goal</w:t>
            </w:r>
            <w:proofErr w:type="spellEnd"/>
            <w:r w:rsidRPr="008C5F1C">
              <w:rPr>
                <w:rFonts w:ascii="Times New Roman" w:hAnsi="Times New Roman" w:cs="Times New Roman"/>
                <w:b/>
                <w:sz w:val="16"/>
                <w:szCs w:val="16"/>
              </w:rPr>
              <w:t xml:space="preserve"> or EMFF)</w:t>
            </w:r>
          </w:p>
        </w:tc>
        <w:tc>
          <w:tcPr>
            <w:tcW w:w="296" w:type="pct"/>
            <w:tcBorders>
              <w:top w:val="single" w:sz="4" w:space="0" w:color="auto"/>
              <w:left w:val="single" w:sz="4" w:space="0" w:color="auto"/>
              <w:bottom w:val="single" w:sz="4" w:space="0" w:color="auto"/>
              <w:right w:val="single" w:sz="4" w:space="0" w:color="auto"/>
            </w:tcBorders>
            <w:hideMark/>
          </w:tcPr>
          <w:p w14:paraId="3D42229E"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Fund</w:t>
            </w:r>
          </w:p>
        </w:tc>
        <w:tc>
          <w:tcPr>
            <w:tcW w:w="414" w:type="pct"/>
            <w:tcBorders>
              <w:top w:val="single" w:sz="4" w:space="0" w:color="auto"/>
              <w:left w:val="single" w:sz="4" w:space="0" w:color="auto"/>
              <w:bottom w:val="single" w:sz="4" w:space="0" w:color="auto"/>
              <w:right w:val="single" w:sz="4" w:space="0" w:color="auto"/>
            </w:tcBorders>
            <w:hideMark/>
          </w:tcPr>
          <w:p w14:paraId="2D36DEC4"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Category</w:t>
            </w:r>
            <w:proofErr w:type="spellEnd"/>
            <w:r w:rsidRPr="008C5F1C">
              <w:rPr>
                <w:rFonts w:ascii="Times New Roman" w:hAnsi="Times New Roman" w:cs="Times New Roman"/>
                <w:b/>
                <w:sz w:val="16"/>
                <w:szCs w:val="16"/>
              </w:rPr>
              <w:t xml:space="preserve"> of </w:t>
            </w:r>
            <w:proofErr w:type="spellStart"/>
            <w:r w:rsidRPr="008C5F1C">
              <w:rPr>
                <w:rFonts w:ascii="Times New Roman" w:hAnsi="Times New Roman" w:cs="Times New Roman"/>
                <w:b/>
                <w:sz w:val="16"/>
                <w:szCs w:val="16"/>
              </w:rPr>
              <w:t>region</w:t>
            </w:r>
            <w:proofErr w:type="spellEnd"/>
            <w:r w:rsidRPr="008C5F1C">
              <w:rPr>
                <w:rFonts w:ascii="Times New Roman" w:hAnsi="Times New Roman" w:cs="Times New Roman"/>
                <w:b/>
                <w:sz w:val="16"/>
                <w:szCs w:val="16"/>
              </w:rPr>
              <w:t xml:space="preserve"> </w:t>
            </w:r>
          </w:p>
        </w:tc>
        <w:tc>
          <w:tcPr>
            <w:tcW w:w="254" w:type="pct"/>
            <w:tcBorders>
              <w:top w:val="single" w:sz="4" w:space="0" w:color="auto"/>
              <w:left w:val="single" w:sz="4" w:space="0" w:color="auto"/>
              <w:bottom w:val="single" w:sz="4" w:space="0" w:color="auto"/>
              <w:right w:val="single" w:sz="4" w:space="0" w:color="auto"/>
            </w:tcBorders>
            <w:hideMark/>
          </w:tcPr>
          <w:p w14:paraId="2D0CD71A"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ID [5]</w:t>
            </w:r>
          </w:p>
        </w:tc>
        <w:tc>
          <w:tcPr>
            <w:tcW w:w="548" w:type="pct"/>
            <w:tcBorders>
              <w:top w:val="single" w:sz="4" w:space="0" w:color="auto"/>
              <w:left w:val="single" w:sz="4" w:space="0" w:color="auto"/>
              <w:bottom w:val="single" w:sz="4" w:space="0" w:color="auto"/>
              <w:right w:val="single" w:sz="4" w:space="0" w:color="auto"/>
            </w:tcBorders>
            <w:hideMark/>
          </w:tcPr>
          <w:p w14:paraId="60A4C860"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Indicator [255]</w:t>
            </w:r>
          </w:p>
        </w:tc>
        <w:tc>
          <w:tcPr>
            <w:tcW w:w="548" w:type="pct"/>
            <w:tcBorders>
              <w:top w:val="single" w:sz="4" w:space="0" w:color="auto"/>
              <w:left w:val="single" w:sz="4" w:space="0" w:color="auto"/>
              <w:bottom w:val="single" w:sz="4" w:space="0" w:color="auto"/>
              <w:right w:val="single" w:sz="4" w:space="0" w:color="auto"/>
            </w:tcBorders>
            <w:hideMark/>
          </w:tcPr>
          <w:p w14:paraId="2CA7F31A"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Measurement</w:t>
            </w:r>
            <w:proofErr w:type="spellEnd"/>
            <w:r w:rsidRPr="008C5F1C">
              <w:rPr>
                <w:rFonts w:ascii="Times New Roman" w:hAnsi="Times New Roman" w:cs="Times New Roman"/>
                <w:b/>
                <w:sz w:val="16"/>
                <w:szCs w:val="16"/>
              </w:rPr>
              <w:t xml:space="preserve"> unit</w:t>
            </w:r>
          </w:p>
        </w:tc>
        <w:tc>
          <w:tcPr>
            <w:tcW w:w="405" w:type="pct"/>
            <w:tcBorders>
              <w:top w:val="single" w:sz="4" w:space="0" w:color="auto"/>
              <w:left w:val="single" w:sz="4" w:space="0" w:color="auto"/>
              <w:bottom w:val="single" w:sz="4" w:space="0" w:color="auto"/>
              <w:right w:val="single" w:sz="4" w:space="0" w:color="auto"/>
            </w:tcBorders>
            <w:hideMark/>
          </w:tcPr>
          <w:p w14:paraId="4225F952"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Baseline</w:t>
            </w:r>
            <w:proofErr w:type="spellEnd"/>
            <w:r w:rsidRPr="008C5F1C">
              <w:rPr>
                <w:rFonts w:ascii="Times New Roman" w:hAnsi="Times New Roman" w:cs="Times New Roman"/>
                <w:b/>
                <w:sz w:val="16"/>
                <w:szCs w:val="16"/>
              </w:rPr>
              <w:t xml:space="preserve"> or </w:t>
            </w:r>
            <w:proofErr w:type="spellStart"/>
            <w:r w:rsidRPr="008C5F1C">
              <w:rPr>
                <w:rFonts w:ascii="Times New Roman" w:hAnsi="Times New Roman" w:cs="Times New Roman"/>
                <w:b/>
                <w:sz w:val="16"/>
                <w:szCs w:val="16"/>
              </w:rPr>
              <w:t>reference</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value</w:t>
            </w:r>
            <w:proofErr w:type="spellEnd"/>
          </w:p>
        </w:tc>
        <w:tc>
          <w:tcPr>
            <w:tcW w:w="426" w:type="pct"/>
            <w:tcBorders>
              <w:top w:val="single" w:sz="4" w:space="0" w:color="auto"/>
              <w:left w:val="single" w:sz="4" w:space="0" w:color="auto"/>
              <w:bottom w:val="single" w:sz="4" w:space="0" w:color="auto"/>
              <w:right w:val="single" w:sz="4" w:space="0" w:color="auto"/>
            </w:tcBorders>
            <w:hideMark/>
          </w:tcPr>
          <w:p w14:paraId="45DAA691"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Reference</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year</w:t>
            </w:r>
            <w:proofErr w:type="spellEnd"/>
          </w:p>
        </w:tc>
        <w:tc>
          <w:tcPr>
            <w:tcW w:w="321" w:type="pct"/>
            <w:tcBorders>
              <w:top w:val="single" w:sz="4" w:space="0" w:color="auto"/>
              <w:left w:val="single" w:sz="4" w:space="0" w:color="auto"/>
              <w:bottom w:val="single" w:sz="4" w:space="0" w:color="auto"/>
              <w:right w:val="single" w:sz="4" w:space="0" w:color="auto"/>
            </w:tcBorders>
          </w:tcPr>
          <w:p w14:paraId="7034D21A"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Target (2029)</w:t>
            </w:r>
          </w:p>
          <w:p w14:paraId="356D2FF3" w14:textId="77777777" w:rsidR="00653571" w:rsidRPr="008C5F1C" w:rsidRDefault="00653571" w:rsidP="00534127">
            <w:pPr>
              <w:rPr>
                <w:rFonts w:ascii="Times New Roman" w:hAnsi="Times New Roman" w:cs="Times New Roman"/>
                <w:b/>
                <w:sz w:val="16"/>
                <w:szCs w:val="16"/>
              </w:rPr>
            </w:pPr>
          </w:p>
        </w:tc>
        <w:tc>
          <w:tcPr>
            <w:tcW w:w="485" w:type="pct"/>
            <w:tcBorders>
              <w:top w:val="single" w:sz="4" w:space="0" w:color="auto"/>
              <w:left w:val="single" w:sz="4" w:space="0" w:color="auto"/>
              <w:bottom w:val="single" w:sz="4" w:space="0" w:color="auto"/>
              <w:right w:val="single" w:sz="4" w:space="0" w:color="auto"/>
            </w:tcBorders>
            <w:hideMark/>
          </w:tcPr>
          <w:p w14:paraId="38D54489"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Source</w:t>
            </w:r>
            <w:proofErr w:type="spellEnd"/>
            <w:r w:rsidRPr="008C5F1C">
              <w:rPr>
                <w:rFonts w:ascii="Times New Roman" w:hAnsi="Times New Roman" w:cs="Times New Roman"/>
                <w:b/>
                <w:sz w:val="16"/>
                <w:szCs w:val="16"/>
              </w:rPr>
              <w:t xml:space="preserve"> of data [200]</w:t>
            </w:r>
          </w:p>
        </w:tc>
        <w:tc>
          <w:tcPr>
            <w:tcW w:w="451" w:type="pct"/>
            <w:tcBorders>
              <w:top w:val="single" w:sz="4" w:space="0" w:color="auto"/>
              <w:left w:val="single" w:sz="4" w:space="0" w:color="auto"/>
              <w:bottom w:val="single" w:sz="4" w:space="0" w:color="auto"/>
              <w:right w:val="single" w:sz="4" w:space="0" w:color="auto"/>
            </w:tcBorders>
            <w:hideMark/>
          </w:tcPr>
          <w:p w14:paraId="68B30BA4"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Comments</w:t>
            </w:r>
            <w:proofErr w:type="spellEnd"/>
            <w:r w:rsidRPr="008C5F1C">
              <w:rPr>
                <w:rFonts w:ascii="Times New Roman" w:hAnsi="Times New Roman" w:cs="Times New Roman"/>
                <w:b/>
                <w:sz w:val="16"/>
                <w:szCs w:val="16"/>
              </w:rPr>
              <w:t xml:space="preserve"> [200]</w:t>
            </w:r>
          </w:p>
        </w:tc>
      </w:tr>
      <w:tr w:rsidR="00671894" w:rsidRPr="008C5F1C" w14:paraId="2157A532" w14:textId="77777777" w:rsidTr="00F67F4B">
        <w:trPr>
          <w:trHeight w:val="434"/>
        </w:trPr>
        <w:tc>
          <w:tcPr>
            <w:tcW w:w="359" w:type="pct"/>
            <w:tcBorders>
              <w:top w:val="single" w:sz="4" w:space="0" w:color="auto"/>
              <w:left w:val="single" w:sz="4" w:space="0" w:color="auto"/>
              <w:bottom w:val="single" w:sz="4" w:space="0" w:color="auto"/>
              <w:right w:val="single" w:sz="4" w:space="0" w:color="auto"/>
            </w:tcBorders>
          </w:tcPr>
          <w:p w14:paraId="3B4ACB9C" w14:textId="77777777" w:rsidR="00671894" w:rsidRPr="008C5F1C" w:rsidRDefault="00671894" w:rsidP="00671894">
            <w:pPr>
              <w:rPr>
                <w:rFonts w:ascii="Times New Roman" w:hAnsi="Times New Roman" w:cs="Times New Roman"/>
                <w:bCs/>
                <w:i/>
                <w:sz w:val="16"/>
                <w:szCs w:val="16"/>
              </w:rPr>
            </w:pPr>
            <w:r w:rsidRPr="008C5F1C">
              <w:rPr>
                <w:rFonts w:ascii="Times New Roman" w:hAnsi="Times New Roman" w:cs="Times New Roman"/>
                <w:bCs/>
                <w:i/>
                <w:sz w:val="16"/>
                <w:szCs w:val="16"/>
              </w:rPr>
              <w:t>1</w:t>
            </w:r>
          </w:p>
        </w:tc>
        <w:tc>
          <w:tcPr>
            <w:tcW w:w="493" w:type="pct"/>
            <w:tcBorders>
              <w:top w:val="single" w:sz="4" w:space="0" w:color="auto"/>
              <w:left w:val="single" w:sz="4" w:space="0" w:color="auto"/>
              <w:bottom w:val="single" w:sz="4" w:space="0" w:color="auto"/>
              <w:right w:val="single" w:sz="4" w:space="0" w:color="auto"/>
            </w:tcBorders>
          </w:tcPr>
          <w:p w14:paraId="3F71EFFF" w14:textId="77777777" w:rsidR="00671894" w:rsidRPr="008C5F1C" w:rsidRDefault="00671894" w:rsidP="00671894">
            <w:pPr>
              <w:rPr>
                <w:rFonts w:ascii="Times New Roman" w:hAnsi="Times New Roman" w:cs="Times New Roman"/>
                <w:noProof/>
                <w:sz w:val="16"/>
                <w:szCs w:val="16"/>
              </w:rPr>
            </w:pPr>
            <w:r w:rsidRPr="008C5F1C">
              <w:rPr>
                <w:rFonts w:ascii="Times New Roman" w:hAnsi="Times New Roman" w:cs="Times New Roman"/>
                <w:noProof/>
                <w:sz w:val="16"/>
                <w:szCs w:val="16"/>
              </w:rPr>
              <w:t>a (i) Dezvoltarea capacită</w:t>
            </w:r>
            <w:r w:rsidR="00E22FF2" w:rsidRPr="008C5F1C">
              <w:rPr>
                <w:rFonts w:ascii="Times New Roman" w:hAnsi="Times New Roman" w:cs="Times New Roman"/>
                <w:noProof/>
                <w:sz w:val="16"/>
                <w:szCs w:val="16"/>
              </w:rPr>
              <w:t>ț</w:t>
            </w:r>
            <w:r w:rsidRPr="008C5F1C">
              <w:rPr>
                <w:rFonts w:ascii="Times New Roman" w:hAnsi="Times New Roman" w:cs="Times New Roman"/>
                <w:noProof/>
                <w:sz w:val="16"/>
                <w:szCs w:val="16"/>
              </w:rPr>
              <w:t xml:space="preserve">ilor de cercetare </w:t>
            </w:r>
            <w:r w:rsidR="00106240" w:rsidRPr="008C5F1C">
              <w:rPr>
                <w:rFonts w:ascii="Times New Roman" w:hAnsi="Times New Roman" w:cs="Times New Roman"/>
                <w:noProof/>
                <w:sz w:val="16"/>
                <w:szCs w:val="16"/>
              </w:rPr>
              <w:t>ș</w:t>
            </w:r>
            <w:r w:rsidRPr="008C5F1C">
              <w:rPr>
                <w:rFonts w:ascii="Times New Roman" w:hAnsi="Times New Roman" w:cs="Times New Roman"/>
                <w:noProof/>
                <w:sz w:val="16"/>
                <w:szCs w:val="16"/>
              </w:rPr>
              <w:t xml:space="preserve">i inovare </w:t>
            </w:r>
            <w:r w:rsidR="00106240" w:rsidRPr="008C5F1C">
              <w:rPr>
                <w:rFonts w:ascii="Times New Roman" w:hAnsi="Times New Roman" w:cs="Times New Roman"/>
                <w:noProof/>
                <w:sz w:val="16"/>
                <w:szCs w:val="16"/>
              </w:rPr>
              <w:t>ș</w:t>
            </w:r>
            <w:r w:rsidRPr="008C5F1C">
              <w:rPr>
                <w:rFonts w:ascii="Times New Roman" w:hAnsi="Times New Roman" w:cs="Times New Roman"/>
                <w:noProof/>
                <w:sz w:val="16"/>
                <w:szCs w:val="16"/>
              </w:rPr>
              <w:t>i adoptarea tehnologiilor avansate</w:t>
            </w:r>
          </w:p>
        </w:tc>
        <w:tc>
          <w:tcPr>
            <w:tcW w:w="296" w:type="pct"/>
            <w:tcBorders>
              <w:top w:val="single" w:sz="4" w:space="0" w:color="auto"/>
              <w:left w:val="single" w:sz="4" w:space="0" w:color="auto"/>
              <w:bottom w:val="single" w:sz="4" w:space="0" w:color="auto"/>
              <w:right w:val="single" w:sz="4" w:space="0" w:color="auto"/>
            </w:tcBorders>
          </w:tcPr>
          <w:p w14:paraId="1110D8B0" w14:textId="77777777" w:rsidR="00671894" w:rsidRPr="008C5F1C" w:rsidRDefault="00671894" w:rsidP="00671894">
            <w:pPr>
              <w:rPr>
                <w:rFonts w:ascii="Times New Roman" w:hAnsi="Times New Roman" w:cs="Times New Roman"/>
                <w:noProof/>
                <w:sz w:val="16"/>
                <w:szCs w:val="16"/>
              </w:rPr>
            </w:pPr>
            <w:r w:rsidRPr="008C5F1C">
              <w:rPr>
                <w:rFonts w:ascii="Times New Roman" w:hAnsi="Times New Roman" w:cs="Times New Roman"/>
                <w:noProof/>
                <w:sz w:val="16"/>
                <w:szCs w:val="16"/>
              </w:rPr>
              <w:t>FEDR</w:t>
            </w:r>
          </w:p>
        </w:tc>
        <w:tc>
          <w:tcPr>
            <w:tcW w:w="414" w:type="pct"/>
            <w:tcBorders>
              <w:top w:val="single" w:sz="4" w:space="0" w:color="auto"/>
              <w:left w:val="single" w:sz="4" w:space="0" w:color="auto"/>
              <w:bottom w:val="single" w:sz="4" w:space="0" w:color="auto"/>
              <w:right w:val="single" w:sz="4" w:space="0" w:color="auto"/>
            </w:tcBorders>
          </w:tcPr>
          <w:p w14:paraId="4E55A39D" w14:textId="77777777" w:rsidR="00671894" w:rsidRPr="008C5F1C" w:rsidRDefault="00671894" w:rsidP="00671894">
            <w:pPr>
              <w:rPr>
                <w:rFonts w:ascii="Times New Roman" w:hAnsi="Times New Roman" w:cs="Times New Roman"/>
                <w:noProof/>
                <w:sz w:val="16"/>
                <w:szCs w:val="16"/>
              </w:rPr>
            </w:pPr>
            <w:r w:rsidRPr="008C5F1C">
              <w:rPr>
                <w:rFonts w:ascii="Times New Roman" w:hAnsi="Times New Roman" w:cs="Times New Roman"/>
                <w:noProof/>
                <w:sz w:val="16"/>
                <w:szCs w:val="16"/>
              </w:rPr>
              <w:t>Mai pu</w:t>
            </w:r>
            <w:r w:rsidR="00E22FF2" w:rsidRPr="008C5F1C">
              <w:rPr>
                <w:rFonts w:ascii="Times New Roman" w:hAnsi="Times New Roman" w:cs="Times New Roman"/>
                <w:noProof/>
                <w:sz w:val="16"/>
                <w:szCs w:val="16"/>
              </w:rPr>
              <w:t>ț</w:t>
            </w:r>
            <w:r w:rsidRPr="008C5F1C">
              <w:rPr>
                <w:rFonts w:ascii="Times New Roman" w:hAnsi="Times New Roman" w:cs="Times New Roman"/>
                <w:noProof/>
                <w:sz w:val="16"/>
                <w:szCs w:val="16"/>
              </w:rPr>
              <w:t>in dezvoltate</w:t>
            </w:r>
          </w:p>
        </w:tc>
        <w:tc>
          <w:tcPr>
            <w:tcW w:w="254" w:type="pct"/>
            <w:tcBorders>
              <w:top w:val="single" w:sz="4" w:space="0" w:color="auto"/>
              <w:left w:val="single" w:sz="4" w:space="0" w:color="auto"/>
              <w:bottom w:val="single" w:sz="4" w:space="0" w:color="auto"/>
              <w:right w:val="single" w:sz="4" w:space="0" w:color="auto"/>
            </w:tcBorders>
          </w:tcPr>
          <w:p w14:paraId="4672A968" w14:textId="77777777" w:rsidR="00671894" w:rsidRPr="008C5F1C" w:rsidRDefault="00671894" w:rsidP="00671894">
            <w:pPr>
              <w:rPr>
                <w:rFonts w:ascii="Times New Roman" w:hAnsi="Times New Roman" w:cs="Times New Roman"/>
                <w:noProof/>
                <w:sz w:val="16"/>
                <w:szCs w:val="16"/>
              </w:rPr>
            </w:pPr>
            <w:r w:rsidRPr="008C5F1C">
              <w:rPr>
                <w:rFonts w:ascii="Times New Roman" w:hAnsi="Times New Roman" w:cs="Times New Roman"/>
                <w:noProof/>
                <w:sz w:val="16"/>
                <w:szCs w:val="16"/>
              </w:rPr>
              <w:t xml:space="preserve">RCR 03 </w:t>
            </w:r>
          </w:p>
        </w:tc>
        <w:tc>
          <w:tcPr>
            <w:tcW w:w="548" w:type="pct"/>
            <w:tcBorders>
              <w:top w:val="single" w:sz="4" w:space="0" w:color="auto"/>
              <w:left w:val="single" w:sz="4" w:space="0" w:color="auto"/>
              <w:bottom w:val="single" w:sz="4" w:space="0" w:color="auto"/>
              <w:right w:val="single" w:sz="4" w:space="0" w:color="auto"/>
            </w:tcBorders>
          </w:tcPr>
          <w:p w14:paraId="37D9DFC9" w14:textId="77777777" w:rsidR="00671894" w:rsidRPr="008C5F1C" w:rsidRDefault="00671894" w:rsidP="00671894">
            <w:pPr>
              <w:rPr>
                <w:rFonts w:ascii="Times New Roman" w:hAnsi="Times New Roman" w:cs="Times New Roman"/>
                <w:noProof/>
                <w:sz w:val="16"/>
                <w:szCs w:val="16"/>
              </w:rPr>
            </w:pPr>
            <w:r w:rsidRPr="008C5F1C">
              <w:rPr>
                <w:rFonts w:ascii="Times New Roman" w:hAnsi="Times New Roman" w:cs="Times New Roman"/>
                <w:noProof/>
                <w:sz w:val="16"/>
                <w:szCs w:val="16"/>
              </w:rPr>
              <w:t>RCR 03 - IMM-uri care introduc inova</w:t>
            </w:r>
            <w:r w:rsidR="00E22FF2" w:rsidRPr="008C5F1C">
              <w:rPr>
                <w:rFonts w:ascii="Times New Roman" w:hAnsi="Times New Roman" w:cs="Times New Roman"/>
                <w:noProof/>
                <w:sz w:val="16"/>
                <w:szCs w:val="16"/>
              </w:rPr>
              <w:t>ț</w:t>
            </w:r>
            <w:r w:rsidRPr="008C5F1C">
              <w:rPr>
                <w:rFonts w:ascii="Times New Roman" w:hAnsi="Times New Roman" w:cs="Times New Roman"/>
                <w:noProof/>
                <w:sz w:val="16"/>
                <w:szCs w:val="16"/>
              </w:rPr>
              <w:t>ii în materie de produse sau procese</w:t>
            </w:r>
          </w:p>
        </w:tc>
        <w:tc>
          <w:tcPr>
            <w:tcW w:w="548" w:type="pct"/>
            <w:tcBorders>
              <w:top w:val="single" w:sz="4" w:space="0" w:color="auto"/>
              <w:left w:val="single" w:sz="4" w:space="0" w:color="auto"/>
              <w:bottom w:val="single" w:sz="4" w:space="0" w:color="auto"/>
              <w:right w:val="single" w:sz="4" w:space="0" w:color="auto"/>
            </w:tcBorders>
          </w:tcPr>
          <w:p w14:paraId="3C6AF62A" w14:textId="77777777" w:rsidR="00671894" w:rsidRPr="008C5F1C" w:rsidRDefault="00671894" w:rsidP="00671894">
            <w:pPr>
              <w:rPr>
                <w:rFonts w:ascii="Times New Roman" w:hAnsi="Times New Roman" w:cs="Times New Roman"/>
                <w:bCs/>
                <w:i/>
                <w:sz w:val="16"/>
                <w:szCs w:val="16"/>
              </w:rPr>
            </w:pPr>
            <w:r w:rsidRPr="008C5F1C">
              <w:rPr>
                <w:rFonts w:ascii="Times New Roman" w:hAnsi="Times New Roman" w:cs="Times New Roman"/>
                <w:noProof/>
                <w:sz w:val="16"/>
                <w:szCs w:val="16"/>
              </w:rPr>
              <w:t>Întreprinderi</w:t>
            </w:r>
          </w:p>
        </w:tc>
        <w:tc>
          <w:tcPr>
            <w:tcW w:w="405" w:type="pct"/>
            <w:tcBorders>
              <w:top w:val="single" w:sz="4" w:space="0" w:color="auto"/>
              <w:left w:val="single" w:sz="4" w:space="0" w:color="auto"/>
              <w:bottom w:val="single" w:sz="4" w:space="0" w:color="auto"/>
              <w:right w:val="single" w:sz="4" w:space="0" w:color="auto"/>
            </w:tcBorders>
          </w:tcPr>
          <w:p w14:paraId="6E72826C" w14:textId="77777777" w:rsidR="00671894" w:rsidRPr="008C5F1C" w:rsidRDefault="00671894" w:rsidP="00671894">
            <w:pPr>
              <w:rPr>
                <w:rFonts w:ascii="Times New Roman" w:hAnsi="Times New Roman" w:cs="Times New Roman"/>
                <w:bCs/>
                <w:i/>
                <w:sz w:val="16"/>
                <w:szCs w:val="16"/>
              </w:rPr>
            </w:pPr>
            <w:r w:rsidRPr="008C5F1C">
              <w:rPr>
                <w:rFonts w:ascii="Times New Roman" w:hAnsi="Times New Roman" w:cs="Times New Roman"/>
                <w:bCs/>
                <w:i/>
                <w:sz w:val="16"/>
                <w:szCs w:val="16"/>
              </w:rPr>
              <w:t>0</w:t>
            </w:r>
          </w:p>
        </w:tc>
        <w:tc>
          <w:tcPr>
            <w:tcW w:w="426" w:type="pct"/>
            <w:tcBorders>
              <w:top w:val="single" w:sz="4" w:space="0" w:color="auto"/>
              <w:left w:val="single" w:sz="4" w:space="0" w:color="auto"/>
              <w:bottom w:val="single" w:sz="4" w:space="0" w:color="auto"/>
              <w:right w:val="single" w:sz="4" w:space="0" w:color="auto"/>
            </w:tcBorders>
          </w:tcPr>
          <w:p w14:paraId="3A0248EB" w14:textId="77777777" w:rsidR="00671894" w:rsidRPr="008C5F1C" w:rsidRDefault="00671894" w:rsidP="00671894">
            <w:pPr>
              <w:rPr>
                <w:rFonts w:ascii="Times New Roman" w:hAnsi="Times New Roman" w:cs="Times New Roman"/>
              </w:rPr>
            </w:pPr>
            <w:r w:rsidRPr="008C5F1C">
              <w:rPr>
                <w:rFonts w:ascii="Times New Roman" w:hAnsi="Times New Roman" w:cs="Times New Roman"/>
                <w:bCs/>
                <w:sz w:val="16"/>
                <w:szCs w:val="16"/>
              </w:rPr>
              <w:t>2021</w:t>
            </w:r>
          </w:p>
        </w:tc>
        <w:tc>
          <w:tcPr>
            <w:tcW w:w="321" w:type="pct"/>
            <w:tcBorders>
              <w:top w:val="single" w:sz="4" w:space="0" w:color="auto"/>
              <w:left w:val="single" w:sz="4" w:space="0" w:color="auto"/>
              <w:bottom w:val="single" w:sz="4" w:space="0" w:color="auto"/>
              <w:right w:val="single" w:sz="4" w:space="0" w:color="auto"/>
            </w:tcBorders>
          </w:tcPr>
          <w:p w14:paraId="04B43791" w14:textId="249E47E0" w:rsidR="00671894" w:rsidRPr="008C5F1C" w:rsidRDefault="005F3B52" w:rsidP="00671894">
            <w:pPr>
              <w:rPr>
                <w:rFonts w:ascii="Times New Roman" w:hAnsi="Times New Roman" w:cs="Times New Roman"/>
                <w:bCs/>
                <w:sz w:val="16"/>
                <w:szCs w:val="16"/>
              </w:rPr>
            </w:pPr>
            <w:r w:rsidRPr="008C5F1C">
              <w:rPr>
                <w:rFonts w:ascii="Times New Roman" w:hAnsi="Times New Roman" w:cs="Times New Roman"/>
                <w:bCs/>
                <w:sz w:val="16"/>
                <w:szCs w:val="16"/>
              </w:rPr>
              <w:t>10</w:t>
            </w:r>
          </w:p>
        </w:tc>
        <w:tc>
          <w:tcPr>
            <w:tcW w:w="485" w:type="pct"/>
            <w:tcBorders>
              <w:top w:val="single" w:sz="4" w:space="0" w:color="auto"/>
              <w:left w:val="single" w:sz="4" w:space="0" w:color="auto"/>
              <w:bottom w:val="single" w:sz="4" w:space="0" w:color="auto"/>
              <w:right w:val="single" w:sz="4" w:space="0" w:color="auto"/>
            </w:tcBorders>
          </w:tcPr>
          <w:p w14:paraId="6D5B2371" w14:textId="77777777" w:rsidR="00671894" w:rsidRPr="008C5F1C" w:rsidRDefault="00812F6A" w:rsidP="00671894">
            <w:pPr>
              <w:rPr>
                <w:rFonts w:ascii="Times New Roman" w:hAnsi="Times New Roman" w:cs="Times New Roman"/>
                <w:bCs/>
                <w:i/>
                <w:sz w:val="16"/>
                <w:szCs w:val="16"/>
              </w:rPr>
            </w:pPr>
            <w:r w:rsidRPr="008C5F1C">
              <w:rPr>
                <w:rFonts w:ascii="Times New Roman" w:hAnsi="Times New Roman" w:cs="Times New Roman"/>
                <w:bCs/>
                <w:i/>
                <w:sz w:val="16"/>
                <w:szCs w:val="16"/>
              </w:rPr>
              <w:t>RAI</w:t>
            </w:r>
          </w:p>
          <w:p w14:paraId="10C46123" w14:textId="21A00D4B" w:rsidR="00812F6A" w:rsidRPr="008C5F1C" w:rsidRDefault="00812F6A" w:rsidP="00671894">
            <w:pPr>
              <w:rPr>
                <w:rFonts w:ascii="Times New Roman" w:hAnsi="Times New Roman" w:cs="Times New Roman"/>
                <w:bCs/>
                <w:i/>
                <w:sz w:val="16"/>
                <w:szCs w:val="16"/>
              </w:rPr>
            </w:pPr>
            <w:proofErr w:type="spellStart"/>
            <w:r w:rsidRPr="008C5F1C">
              <w:rPr>
                <w:rFonts w:ascii="Times New Roman" w:hAnsi="Times New Roman" w:cs="Times New Roman"/>
                <w:bCs/>
                <w:i/>
                <w:sz w:val="16"/>
                <w:szCs w:val="16"/>
              </w:rPr>
              <w:t>MySMIS</w:t>
            </w:r>
            <w:proofErr w:type="spellEnd"/>
          </w:p>
        </w:tc>
        <w:tc>
          <w:tcPr>
            <w:tcW w:w="451" w:type="pct"/>
            <w:tcBorders>
              <w:top w:val="single" w:sz="4" w:space="0" w:color="auto"/>
              <w:left w:val="single" w:sz="4" w:space="0" w:color="auto"/>
              <w:bottom w:val="single" w:sz="4" w:space="0" w:color="auto"/>
              <w:right w:val="single" w:sz="4" w:space="0" w:color="auto"/>
            </w:tcBorders>
          </w:tcPr>
          <w:p w14:paraId="58CF3CAD" w14:textId="02E92671" w:rsidR="00671894" w:rsidRPr="008C5F1C" w:rsidRDefault="00812F6A" w:rsidP="00671894">
            <w:pPr>
              <w:rPr>
                <w:rFonts w:ascii="Times New Roman" w:hAnsi="Times New Roman" w:cs="Times New Roman"/>
                <w:bCs/>
                <w:i/>
                <w:sz w:val="16"/>
                <w:szCs w:val="16"/>
              </w:rPr>
            </w:pPr>
            <w:r w:rsidRPr="008C5F1C">
              <w:rPr>
                <w:rFonts w:ascii="Times New Roman" w:hAnsi="Times New Roman" w:cs="Times New Roman"/>
                <w:bCs/>
                <w:i/>
                <w:sz w:val="16"/>
                <w:szCs w:val="16"/>
              </w:rPr>
              <w:t>Egal cu numărul IMM-urilor sprijinite.</w:t>
            </w:r>
          </w:p>
        </w:tc>
      </w:tr>
      <w:tr w:rsidR="00812F6A" w:rsidRPr="008C5F1C" w14:paraId="5A85F581" w14:textId="77777777" w:rsidTr="00F67F4B">
        <w:trPr>
          <w:trHeight w:val="434"/>
        </w:trPr>
        <w:tc>
          <w:tcPr>
            <w:tcW w:w="359" w:type="pct"/>
            <w:tcBorders>
              <w:top w:val="single" w:sz="4" w:space="0" w:color="auto"/>
              <w:left w:val="single" w:sz="4" w:space="0" w:color="auto"/>
              <w:bottom w:val="single" w:sz="4" w:space="0" w:color="auto"/>
              <w:right w:val="single" w:sz="4" w:space="0" w:color="auto"/>
            </w:tcBorders>
          </w:tcPr>
          <w:p w14:paraId="00295CEC" w14:textId="77777777" w:rsidR="00812F6A" w:rsidRPr="008C5F1C" w:rsidRDefault="00812F6A" w:rsidP="00812F6A">
            <w:pPr>
              <w:rPr>
                <w:rFonts w:ascii="Times New Roman" w:hAnsi="Times New Roman" w:cs="Times New Roman"/>
                <w:bCs/>
                <w:i/>
                <w:sz w:val="16"/>
                <w:szCs w:val="16"/>
              </w:rPr>
            </w:pPr>
            <w:r w:rsidRPr="008C5F1C">
              <w:rPr>
                <w:rFonts w:ascii="Times New Roman" w:hAnsi="Times New Roman" w:cs="Times New Roman"/>
                <w:bCs/>
                <w:i/>
                <w:sz w:val="16"/>
                <w:szCs w:val="16"/>
              </w:rPr>
              <w:t>1</w:t>
            </w:r>
          </w:p>
        </w:tc>
        <w:tc>
          <w:tcPr>
            <w:tcW w:w="493" w:type="pct"/>
            <w:tcBorders>
              <w:top w:val="single" w:sz="4" w:space="0" w:color="auto"/>
              <w:left w:val="single" w:sz="4" w:space="0" w:color="auto"/>
              <w:bottom w:val="single" w:sz="4" w:space="0" w:color="auto"/>
              <w:right w:val="single" w:sz="4" w:space="0" w:color="auto"/>
            </w:tcBorders>
          </w:tcPr>
          <w:p w14:paraId="4DDE73D8" w14:textId="77777777" w:rsidR="00812F6A" w:rsidRPr="008C5F1C" w:rsidRDefault="00812F6A" w:rsidP="00812F6A">
            <w:pPr>
              <w:rPr>
                <w:rFonts w:ascii="Times New Roman" w:hAnsi="Times New Roman" w:cs="Times New Roman"/>
                <w:noProof/>
                <w:sz w:val="16"/>
                <w:szCs w:val="16"/>
              </w:rPr>
            </w:pPr>
            <w:r w:rsidRPr="008C5F1C">
              <w:rPr>
                <w:rFonts w:ascii="Times New Roman" w:hAnsi="Times New Roman" w:cs="Times New Roman"/>
                <w:noProof/>
                <w:sz w:val="16"/>
                <w:szCs w:val="16"/>
              </w:rPr>
              <w:t>a (i) Dezvoltarea capacităților de cercetare și inovare și adoptarea tehnologiilor avansate</w:t>
            </w:r>
          </w:p>
        </w:tc>
        <w:tc>
          <w:tcPr>
            <w:tcW w:w="296" w:type="pct"/>
            <w:tcBorders>
              <w:top w:val="single" w:sz="4" w:space="0" w:color="auto"/>
              <w:left w:val="single" w:sz="4" w:space="0" w:color="auto"/>
              <w:bottom w:val="single" w:sz="4" w:space="0" w:color="auto"/>
              <w:right w:val="single" w:sz="4" w:space="0" w:color="auto"/>
            </w:tcBorders>
          </w:tcPr>
          <w:p w14:paraId="6A0F0274" w14:textId="77777777" w:rsidR="00812F6A" w:rsidRPr="008C5F1C" w:rsidRDefault="00812F6A" w:rsidP="00812F6A">
            <w:pPr>
              <w:rPr>
                <w:rFonts w:ascii="Times New Roman" w:hAnsi="Times New Roman" w:cs="Times New Roman"/>
                <w:noProof/>
                <w:sz w:val="16"/>
                <w:szCs w:val="16"/>
              </w:rPr>
            </w:pPr>
            <w:r w:rsidRPr="008C5F1C">
              <w:rPr>
                <w:rFonts w:ascii="Times New Roman" w:hAnsi="Times New Roman" w:cs="Times New Roman"/>
                <w:noProof/>
                <w:sz w:val="16"/>
                <w:szCs w:val="16"/>
              </w:rPr>
              <w:t>FEDR</w:t>
            </w:r>
          </w:p>
        </w:tc>
        <w:tc>
          <w:tcPr>
            <w:tcW w:w="414" w:type="pct"/>
            <w:tcBorders>
              <w:top w:val="single" w:sz="4" w:space="0" w:color="auto"/>
              <w:left w:val="single" w:sz="4" w:space="0" w:color="auto"/>
              <w:bottom w:val="single" w:sz="4" w:space="0" w:color="auto"/>
              <w:right w:val="single" w:sz="4" w:space="0" w:color="auto"/>
            </w:tcBorders>
          </w:tcPr>
          <w:p w14:paraId="5CDE1453" w14:textId="77777777" w:rsidR="00812F6A" w:rsidRPr="008C5F1C" w:rsidRDefault="00812F6A" w:rsidP="00812F6A">
            <w:pPr>
              <w:rPr>
                <w:rFonts w:ascii="Times New Roman" w:hAnsi="Times New Roman" w:cs="Times New Roman"/>
                <w:noProof/>
                <w:sz w:val="16"/>
                <w:szCs w:val="16"/>
              </w:rPr>
            </w:pPr>
            <w:r w:rsidRPr="008C5F1C">
              <w:rPr>
                <w:rFonts w:ascii="Times New Roman" w:hAnsi="Times New Roman" w:cs="Times New Roman"/>
                <w:noProof/>
                <w:sz w:val="16"/>
                <w:szCs w:val="16"/>
              </w:rPr>
              <w:t>Mai puțin dezvoltate</w:t>
            </w:r>
          </w:p>
        </w:tc>
        <w:tc>
          <w:tcPr>
            <w:tcW w:w="254" w:type="pct"/>
            <w:tcBorders>
              <w:top w:val="single" w:sz="4" w:space="0" w:color="auto"/>
              <w:left w:val="single" w:sz="4" w:space="0" w:color="auto"/>
              <w:bottom w:val="single" w:sz="4" w:space="0" w:color="auto"/>
              <w:right w:val="single" w:sz="4" w:space="0" w:color="auto"/>
            </w:tcBorders>
          </w:tcPr>
          <w:p w14:paraId="4EBE9B7A" w14:textId="77777777" w:rsidR="00812F6A" w:rsidRPr="008C5F1C" w:rsidRDefault="00812F6A" w:rsidP="00812F6A">
            <w:pPr>
              <w:rPr>
                <w:rFonts w:ascii="Times New Roman" w:hAnsi="Times New Roman" w:cs="Times New Roman"/>
                <w:noProof/>
                <w:sz w:val="16"/>
                <w:szCs w:val="16"/>
              </w:rPr>
            </w:pPr>
            <w:r w:rsidRPr="008C5F1C">
              <w:rPr>
                <w:rFonts w:ascii="Times New Roman" w:hAnsi="Times New Roman" w:cs="Times New Roman"/>
                <w:noProof/>
                <w:sz w:val="16"/>
                <w:szCs w:val="16"/>
              </w:rPr>
              <w:t xml:space="preserve">RCR 19 </w:t>
            </w:r>
          </w:p>
        </w:tc>
        <w:tc>
          <w:tcPr>
            <w:tcW w:w="548" w:type="pct"/>
            <w:tcBorders>
              <w:top w:val="single" w:sz="4" w:space="0" w:color="auto"/>
              <w:left w:val="single" w:sz="4" w:space="0" w:color="auto"/>
              <w:bottom w:val="single" w:sz="4" w:space="0" w:color="auto"/>
              <w:right w:val="single" w:sz="4" w:space="0" w:color="auto"/>
            </w:tcBorders>
          </w:tcPr>
          <w:p w14:paraId="015F83AC" w14:textId="77777777" w:rsidR="00812F6A" w:rsidRPr="008C5F1C" w:rsidRDefault="00812F6A" w:rsidP="00812F6A">
            <w:pPr>
              <w:rPr>
                <w:rFonts w:ascii="Times New Roman" w:hAnsi="Times New Roman" w:cs="Times New Roman"/>
                <w:noProof/>
                <w:sz w:val="16"/>
                <w:szCs w:val="16"/>
              </w:rPr>
            </w:pPr>
            <w:r w:rsidRPr="008C5F1C">
              <w:rPr>
                <w:rFonts w:ascii="Times New Roman" w:hAnsi="Times New Roman" w:cs="Times New Roman"/>
                <w:noProof/>
                <w:sz w:val="16"/>
                <w:szCs w:val="16"/>
              </w:rPr>
              <w:t>RCR 19 - Întreprinderi cu cifra de afaceri mare</w:t>
            </w:r>
          </w:p>
        </w:tc>
        <w:tc>
          <w:tcPr>
            <w:tcW w:w="548" w:type="pct"/>
            <w:tcBorders>
              <w:top w:val="single" w:sz="4" w:space="0" w:color="auto"/>
              <w:left w:val="single" w:sz="4" w:space="0" w:color="auto"/>
              <w:bottom w:val="single" w:sz="4" w:space="0" w:color="auto"/>
              <w:right w:val="single" w:sz="4" w:space="0" w:color="auto"/>
            </w:tcBorders>
          </w:tcPr>
          <w:p w14:paraId="484B039F" w14:textId="77777777" w:rsidR="00812F6A" w:rsidRPr="008C5F1C" w:rsidRDefault="00812F6A" w:rsidP="00812F6A">
            <w:pPr>
              <w:rPr>
                <w:rFonts w:ascii="Times New Roman" w:hAnsi="Times New Roman" w:cs="Times New Roman"/>
                <w:bCs/>
                <w:i/>
                <w:sz w:val="16"/>
                <w:szCs w:val="16"/>
              </w:rPr>
            </w:pPr>
            <w:proofErr w:type="spellStart"/>
            <w:r w:rsidRPr="008C5F1C">
              <w:rPr>
                <w:rFonts w:ascii="Times New Roman" w:hAnsi="Times New Roman" w:cs="Times New Roman"/>
                <w:bCs/>
                <w:i/>
                <w:sz w:val="16"/>
                <w:szCs w:val="16"/>
              </w:rPr>
              <w:t>Intreprinderi</w:t>
            </w:r>
            <w:proofErr w:type="spellEnd"/>
          </w:p>
        </w:tc>
        <w:tc>
          <w:tcPr>
            <w:tcW w:w="405" w:type="pct"/>
            <w:tcBorders>
              <w:top w:val="single" w:sz="4" w:space="0" w:color="auto"/>
              <w:left w:val="single" w:sz="4" w:space="0" w:color="auto"/>
              <w:bottom w:val="single" w:sz="4" w:space="0" w:color="auto"/>
              <w:right w:val="single" w:sz="4" w:space="0" w:color="auto"/>
            </w:tcBorders>
          </w:tcPr>
          <w:p w14:paraId="00D6D610" w14:textId="77777777" w:rsidR="00812F6A" w:rsidRPr="008C5F1C" w:rsidRDefault="00812F6A" w:rsidP="00812F6A">
            <w:pPr>
              <w:rPr>
                <w:rFonts w:ascii="Times New Roman" w:hAnsi="Times New Roman" w:cs="Times New Roman"/>
                <w:bCs/>
                <w:i/>
                <w:sz w:val="16"/>
                <w:szCs w:val="16"/>
              </w:rPr>
            </w:pPr>
            <w:r w:rsidRPr="008C5F1C">
              <w:rPr>
                <w:rFonts w:ascii="Times New Roman" w:hAnsi="Times New Roman" w:cs="Times New Roman"/>
                <w:bCs/>
                <w:i/>
                <w:sz w:val="16"/>
                <w:szCs w:val="16"/>
              </w:rPr>
              <w:t>0</w:t>
            </w:r>
          </w:p>
        </w:tc>
        <w:tc>
          <w:tcPr>
            <w:tcW w:w="426" w:type="pct"/>
            <w:tcBorders>
              <w:top w:val="single" w:sz="4" w:space="0" w:color="auto"/>
              <w:left w:val="single" w:sz="4" w:space="0" w:color="auto"/>
              <w:bottom w:val="single" w:sz="4" w:space="0" w:color="auto"/>
              <w:right w:val="single" w:sz="4" w:space="0" w:color="auto"/>
            </w:tcBorders>
          </w:tcPr>
          <w:p w14:paraId="4CDEE6F3" w14:textId="77777777" w:rsidR="00812F6A" w:rsidRPr="008C5F1C" w:rsidRDefault="00812F6A" w:rsidP="00812F6A">
            <w:pPr>
              <w:rPr>
                <w:rFonts w:ascii="Times New Roman" w:hAnsi="Times New Roman" w:cs="Times New Roman"/>
              </w:rPr>
            </w:pPr>
            <w:r w:rsidRPr="008C5F1C">
              <w:rPr>
                <w:rFonts w:ascii="Times New Roman" w:hAnsi="Times New Roman" w:cs="Times New Roman"/>
                <w:bCs/>
                <w:sz w:val="16"/>
                <w:szCs w:val="16"/>
              </w:rPr>
              <w:t>2021</w:t>
            </w:r>
          </w:p>
        </w:tc>
        <w:tc>
          <w:tcPr>
            <w:tcW w:w="321" w:type="pct"/>
            <w:tcBorders>
              <w:top w:val="single" w:sz="4" w:space="0" w:color="auto"/>
              <w:left w:val="single" w:sz="4" w:space="0" w:color="auto"/>
              <w:bottom w:val="single" w:sz="4" w:space="0" w:color="auto"/>
              <w:right w:val="single" w:sz="4" w:space="0" w:color="auto"/>
            </w:tcBorders>
          </w:tcPr>
          <w:p w14:paraId="1E4EC887" w14:textId="6738322A" w:rsidR="00812F6A" w:rsidRPr="008C5F1C" w:rsidRDefault="005F3B52" w:rsidP="00812F6A">
            <w:pPr>
              <w:rPr>
                <w:rFonts w:ascii="Times New Roman" w:hAnsi="Times New Roman" w:cs="Times New Roman"/>
                <w:bCs/>
                <w:sz w:val="16"/>
                <w:szCs w:val="16"/>
              </w:rPr>
            </w:pPr>
            <w:r w:rsidRPr="008C5F1C">
              <w:rPr>
                <w:rFonts w:ascii="Times New Roman" w:hAnsi="Times New Roman" w:cs="Times New Roman"/>
                <w:bCs/>
                <w:sz w:val="16"/>
                <w:szCs w:val="16"/>
              </w:rPr>
              <w:t>3</w:t>
            </w:r>
          </w:p>
        </w:tc>
        <w:tc>
          <w:tcPr>
            <w:tcW w:w="485" w:type="pct"/>
            <w:tcBorders>
              <w:top w:val="single" w:sz="4" w:space="0" w:color="auto"/>
              <w:left w:val="single" w:sz="4" w:space="0" w:color="auto"/>
              <w:bottom w:val="single" w:sz="4" w:space="0" w:color="auto"/>
              <w:right w:val="single" w:sz="4" w:space="0" w:color="auto"/>
            </w:tcBorders>
          </w:tcPr>
          <w:p w14:paraId="06ACDF74" w14:textId="77777777" w:rsidR="00812F6A" w:rsidRPr="008C5F1C" w:rsidRDefault="00812F6A" w:rsidP="00812F6A">
            <w:pPr>
              <w:rPr>
                <w:rFonts w:ascii="Times New Roman" w:hAnsi="Times New Roman" w:cs="Times New Roman"/>
                <w:bCs/>
                <w:i/>
                <w:sz w:val="16"/>
                <w:szCs w:val="16"/>
              </w:rPr>
            </w:pPr>
            <w:r w:rsidRPr="008C5F1C">
              <w:rPr>
                <w:rFonts w:ascii="Times New Roman" w:hAnsi="Times New Roman" w:cs="Times New Roman"/>
                <w:bCs/>
                <w:i/>
                <w:sz w:val="16"/>
                <w:szCs w:val="16"/>
              </w:rPr>
              <w:t>RAI</w:t>
            </w:r>
          </w:p>
          <w:p w14:paraId="4F6FB696" w14:textId="31052129" w:rsidR="00812F6A" w:rsidRPr="008C5F1C" w:rsidRDefault="00812F6A" w:rsidP="00812F6A">
            <w:pPr>
              <w:rPr>
                <w:rFonts w:ascii="Times New Roman" w:hAnsi="Times New Roman" w:cs="Times New Roman"/>
                <w:bCs/>
                <w:i/>
                <w:sz w:val="16"/>
                <w:szCs w:val="16"/>
              </w:rPr>
            </w:pPr>
            <w:proofErr w:type="spellStart"/>
            <w:r w:rsidRPr="008C5F1C">
              <w:rPr>
                <w:rFonts w:ascii="Times New Roman" w:hAnsi="Times New Roman" w:cs="Times New Roman"/>
                <w:bCs/>
                <w:i/>
                <w:sz w:val="16"/>
                <w:szCs w:val="16"/>
              </w:rPr>
              <w:t>MySMIS</w:t>
            </w:r>
            <w:proofErr w:type="spellEnd"/>
          </w:p>
        </w:tc>
        <w:tc>
          <w:tcPr>
            <w:tcW w:w="451" w:type="pct"/>
            <w:tcBorders>
              <w:top w:val="single" w:sz="4" w:space="0" w:color="auto"/>
              <w:left w:val="single" w:sz="4" w:space="0" w:color="auto"/>
              <w:bottom w:val="single" w:sz="4" w:space="0" w:color="auto"/>
              <w:right w:val="single" w:sz="4" w:space="0" w:color="auto"/>
            </w:tcBorders>
          </w:tcPr>
          <w:p w14:paraId="0BBC86A4" w14:textId="636D59BA" w:rsidR="00812F6A" w:rsidRPr="008C5F1C" w:rsidRDefault="00370E28" w:rsidP="00812F6A">
            <w:pPr>
              <w:rPr>
                <w:rFonts w:ascii="Times New Roman" w:hAnsi="Times New Roman" w:cs="Times New Roman"/>
                <w:bCs/>
                <w:i/>
                <w:sz w:val="16"/>
                <w:szCs w:val="16"/>
              </w:rPr>
            </w:pPr>
            <w:r w:rsidRPr="008C5F1C">
              <w:rPr>
                <w:rFonts w:ascii="Times New Roman" w:hAnsi="Times New Roman" w:cs="Times New Roman"/>
                <w:bCs/>
                <w:i/>
                <w:sz w:val="16"/>
                <w:szCs w:val="16"/>
              </w:rPr>
              <w:t>Egal cu numărul IMM-urilor cu potențial mare de creștere.</w:t>
            </w:r>
          </w:p>
        </w:tc>
      </w:tr>
    </w:tbl>
    <w:p w14:paraId="09A4182A" w14:textId="77777777" w:rsidR="00F67F4B" w:rsidRPr="008C5F1C" w:rsidRDefault="00F67F4B" w:rsidP="00653571">
      <w:pPr>
        <w:rPr>
          <w:rFonts w:ascii="Times New Roman" w:hAnsi="Times New Roman" w:cs="Times New Roman"/>
          <w:i/>
        </w:rPr>
      </w:pPr>
    </w:p>
    <w:p w14:paraId="312F4D8E" w14:textId="6EE95D10" w:rsidR="00653571" w:rsidRPr="008C5F1C" w:rsidRDefault="00653571" w:rsidP="00653571">
      <w:pPr>
        <w:rPr>
          <w:rFonts w:ascii="Times New Roman" w:hAnsi="Times New Roman" w:cs="Times New Roman"/>
          <w:i/>
        </w:rPr>
      </w:pPr>
      <w:r w:rsidRPr="008C5F1C">
        <w:rPr>
          <w:rFonts w:ascii="Times New Roman" w:hAnsi="Times New Roman" w:cs="Times New Roman"/>
          <w:i/>
        </w:rPr>
        <w:t xml:space="preserve">[Point 2.1.1.3 in </w:t>
      </w:r>
      <w:proofErr w:type="spellStart"/>
      <w:r w:rsidRPr="008C5F1C">
        <w:rPr>
          <w:rFonts w:ascii="Times New Roman" w:hAnsi="Times New Roman" w:cs="Times New Roman"/>
          <w:i/>
        </w:rPr>
        <w:t>the</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Commission</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proposal</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has</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been</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moved</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up</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following</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changes</w:t>
      </w:r>
      <w:proofErr w:type="spellEnd"/>
      <w:r w:rsidRPr="008C5F1C">
        <w:rPr>
          <w:rFonts w:ascii="Times New Roman" w:hAnsi="Times New Roman" w:cs="Times New Roman"/>
          <w:i/>
        </w:rPr>
        <w:t xml:space="preserve"> in </w:t>
      </w:r>
      <w:proofErr w:type="spellStart"/>
      <w:r w:rsidRPr="008C5F1C">
        <w:rPr>
          <w:rFonts w:ascii="Times New Roman" w:hAnsi="Times New Roman" w:cs="Times New Roman"/>
          <w:i/>
        </w:rPr>
        <w:t>Article</w:t>
      </w:r>
      <w:proofErr w:type="spellEnd"/>
      <w:r w:rsidRPr="008C5F1C">
        <w:rPr>
          <w:rFonts w:ascii="Times New Roman" w:hAnsi="Times New Roman" w:cs="Times New Roman"/>
          <w:i/>
        </w:rPr>
        <w:t xml:space="preserve"> 17(3)(c) CPR </w:t>
      </w:r>
      <w:proofErr w:type="spellStart"/>
      <w:r w:rsidRPr="008C5F1C">
        <w:rPr>
          <w:rFonts w:ascii="Times New Roman" w:hAnsi="Times New Roman" w:cs="Times New Roman"/>
          <w:i/>
        </w:rPr>
        <w:t>and</w:t>
      </w:r>
      <w:proofErr w:type="spellEnd"/>
      <w:r w:rsidRPr="008C5F1C">
        <w:rPr>
          <w:rFonts w:ascii="Times New Roman" w:hAnsi="Times New Roman" w:cs="Times New Roman"/>
          <w:i/>
        </w:rPr>
        <w:t xml:space="preserve"> it </w:t>
      </w:r>
      <w:proofErr w:type="spellStart"/>
      <w:r w:rsidRPr="008C5F1C">
        <w:rPr>
          <w:rFonts w:ascii="Times New Roman" w:hAnsi="Times New Roman" w:cs="Times New Roman"/>
          <w:i/>
        </w:rPr>
        <w:t>is</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now</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point</w:t>
      </w:r>
      <w:proofErr w:type="spellEnd"/>
      <w:r w:rsidRPr="008C5F1C">
        <w:rPr>
          <w:rFonts w:ascii="Times New Roman" w:hAnsi="Times New Roman" w:cs="Times New Roman"/>
          <w:i/>
        </w:rPr>
        <w:t xml:space="preserve"> 2.1.1.bis]</w:t>
      </w:r>
    </w:p>
    <w:p w14:paraId="7B629B42" w14:textId="77777777" w:rsidR="003C6F83" w:rsidRPr="008C5F1C" w:rsidRDefault="003C6F83" w:rsidP="003C6F83">
      <w:pPr>
        <w:rPr>
          <w:rFonts w:ascii="Times New Roman" w:hAnsi="Times New Roman" w:cs="Times New Roman"/>
          <w:b/>
        </w:rPr>
      </w:pPr>
      <w:r w:rsidRPr="008C5F1C">
        <w:rPr>
          <w:rFonts w:ascii="Times New Roman" w:hAnsi="Times New Roman" w:cs="Times New Roman"/>
          <w:b/>
        </w:rPr>
        <w:t>2.B.1.2.Indicators</w:t>
      </w:r>
    </w:p>
    <w:p w14:paraId="10EB4038" w14:textId="77777777" w:rsidR="003C6F83" w:rsidRPr="008C5F1C" w:rsidRDefault="003C6F83" w:rsidP="003C6F83">
      <w:pPr>
        <w:rPr>
          <w:rFonts w:ascii="Times New Roman" w:hAnsi="Times New Roman" w:cs="Times New Roman"/>
          <w:b/>
          <w:bCs/>
        </w:rPr>
      </w:pPr>
      <w:r w:rsidRPr="008C5F1C">
        <w:rPr>
          <w:rFonts w:ascii="Times New Roman" w:hAnsi="Times New Roman" w:cs="Times New Roman"/>
          <w:b/>
        </w:rPr>
        <w:t xml:space="preserve">Output </w:t>
      </w:r>
      <w:proofErr w:type="spellStart"/>
      <w:r w:rsidRPr="008C5F1C">
        <w:rPr>
          <w:rFonts w:ascii="Times New Roman" w:hAnsi="Times New Roman" w:cs="Times New Roman"/>
          <w:b/>
        </w:rPr>
        <w:t>indicators</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with</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the</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corresponding</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milestones</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and</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targets</w:t>
      </w:r>
      <w:proofErr w:type="spellEnd"/>
      <w:r w:rsidRPr="008C5F1C">
        <w:rPr>
          <w:rFonts w:ascii="Times New Roman" w:hAnsi="Times New Roman" w:cs="Times New Roman"/>
          <w:b/>
        </w:rPr>
        <w:t xml:space="preserve"> – </w:t>
      </w:r>
      <w:proofErr w:type="spellStart"/>
      <w:r w:rsidRPr="008C5F1C">
        <w:rPr>
          <w:rFonts w:ascii="Times New Roman" w:hAnsi="Times New Roman" w:cs="Times New Roman"/>
          <w:b/>
        </w:rPr>
        <w:t>Article</w:t>
      </w:r>
      <w:proofErr w:type="spellEnd"/>
      <w:r w:rsidRPr="008C5F1C">
        <w:rPr>
          <w:rFonts w:ascii="Times New Roman" w:hAnsi="Times New Roman" w:cs="Times New Roman"/>
          <w:b/>
        </w:rPr>
        <w:t xml:space="preserve"> 17(3)(e)bis(ii)</w:t>
      </w:r>
    </w:p>
    <w:tbl>
      <w:tblPr>
        <w:tblW w:w="51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8"/>
        <w:gridCol w:w="1504"/>
        <w:gridCol w:w="581"/>
        <w:gridCol w:w="886"/>
        <w:gridCol w:w="463"/>
        <w:gridCol w:w="2221"/>
        <w:gridCol w:w="1159"/>
        <w:gridCol w:w="1066"/>
        <w:gridCol w:w="1302"/>
      </w:tblGrid>
      <w:tr w:rsidR="003C6F83" w:rsidRPr="008C5F1C" w14:paraId="4C798AD6" w14:textId="77777777" w:rsidTr="0044621F">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2C0B66F5" w14:textId="77777777" w:rsidR="003C6F83" w:rsidRPr="008C5F1C" w:rsidRDefault="003C6F83" w:rsidP="0044621F">
            <w:pPr>
              <w:rPr>
                <w:rFonts w:ascii="Times New Roman" w:hAnsi="Times New Roman" w:cs="Times New Roman"/>
                <w:b/>
              </w:rPr>
            </w:pPr>
            <w:r w:rsidRPr="008C5F1C">
              <w:rPr>
                <w:rFonts w:ascii="Times New Roman" w:hAnsi="Times New Roman" w:cs="Times New Roman"/>
                <w:b/>
                <w:iCs/>
              </w:rPr>
              <w:t xml:space="preserve">Table 2: Output </w:t>
            </w:r>
            <w:proofErr w:type="spellStart"/>
            <w:r w:rsidRPr="008C5F1C">
              <w:rPr>
                <w:rFonts w:ascii="Times New Roman" w:hAnsi="Times New Roman" w:cs="Times New Roman"/>
                <w:b/>
                <w:iCs/>
              </w:rPr>
              <w:t>indicators</w:t>
            </w:r>
            <w:proofErr w:type="spellEnd"/>
          </w:p>
        </w:tc>
      </w:tr>
      <w:tr w:rsidR="003C6F83" w:rsidRPr="008C5F1C" w14:paraId="2C3E7EA4" w14:textId="77777777" w:rsidTr="0044621F">
        <w:trPr>
          <w:trHeight w:val="1026"/>
        </w:trPr>
        <w:tc>
          <w:tcPr>
            <w:tcW w:w="381" w:type="pct"/>
            <w:tcBorders>
              <w:top w:val="single" w:sz="4" w:space="0" w:color="auto"/>
              <w:left w:val="single" w:sz="4" w:space="0" w:color="auto"/>
              <w:bottom w:val="single" w:sz="4" w:space="0" w:color="auto"/>
              <w:right w:val="single" w:sz="4" w:space="0" w:color="auto"/>
            </w:tcBorders>
            <w:hideMark/>
          </w:tcPr>
          <w:p w14:paraId="6DD018AB" w14:textId="77777777" w:rsidR="003C6F83" w:rsidRPr="008C5F1C" w:rsidRDefault="003C6F83" w:rsidP="0044621F">
            <w:pPr>
              <w:rPr>
                <w:rFonts w:ascii="Times New Roman" w:hAnsi="Times New Roman" w:cs="Times New Roman"/>
                <w:b/>
                <w:sz w:val="16"/>
                <w:szCs w:val="16"/>
              </w:rPr>
            </w:pPr>
            <w:proofErr w:type="spellStart"/>
            <w:r w:rsidRPr="008C5F1C">
              <w:rPr>
                <w:rFonts w:ascii="Times New Roman" w:hAnsi="Times New Roman" w:cs="Times New Roman"/>
                <w:b/>
                <w:sz w:val="16"/>
                <w:szCs w:val="16"/>
              </w:rPr>
              <w:t>Priority</w:t>
            </w:r>
            <w:proofErr w:type="spellEnd"/>
            <w:r w:rsidRPr="008C5F1C">
              <w:rPr>
                <w:rFonts w:ascii="Times New Roman" w:hAnsi="Times New Roman" w:cs="Times New Roman"/>
                <w:b/>
                <w:sz w:val="16"/>
                <w:szCs w:val="16"/>
              </w:rPr>
              <w:t xml:space="preserve"> </w:t>
            </w:r>
          </w:p>
        </w:tc>
        <w:tc>
          <w:tcPr>
            <w:tcW w:w="757" w:type="pct"/>
            <w:tcBorders>
              <w:top w:val="single" w:sz="4" w:space="0" w:color="auto"/>
              <w:left w:val="single" w:sz="4" w:space="0" w:color="auto"/>
              <w:bottom w:val="single" w:sz="4" w:space="0" w:color="auto"/>
              <w:right w:val="single" w:sz="4" w:space="0" w:color="auto"/>
            </w:tcBorders>
            <w:hideMark/>
          </w:tcPr>
          <w:p w14:paraId="634F4BA9" w14:textId="77777777" w:rsidR="003C6F83" w:rsidRPr="008C5F1C" w:rsidRDefault="003C6F83" w:rsidP="0044621F">
            <w:pPr>
              <w:rPr>
                <w:rFonts w:ascii="Times New Roman" w:hAnsi="Times New Roman" w:cs="Times New Roman"/>
                <w:b/>
                <w:sz w:val="16"/>
                <w:szCs w:val="16"/>
              </w:rPr>
            </w:pPr>
            <w:r w:rsidRPr="008C5F1C">
              <w:rPr>
                <w:rFonts w:ascii="Times New Roman" w:hAnsi="Times New Roman" w:cs="Times New Roman"/>
                <w:b/>
                <w:sz w:val="16"/>
                <w:szCs w:val="16"/>
              </w:rPr>
              <w:t xml:space="preserve">Specific </w:t>
            </w:r>
            <w:proofErr w:type="spellStart"/>
            <w:r w:rsidRPr="008C5F1C">
              <w:rPr>
                <w:rFonts w:ascii="Times New Roman" w:hAnsi="Times New Roman" w:cs="Times New Roman"/>
                <w:b/>
                <w:sz w:val="16"/>
                <w:szCs w:val="16"/>
              </w:rPr>
              <w:t>objective</w:t>
            </w:r>
            <w:proofErr w:type="spellEnd"/>
            <w:r w:rsidRPr="008C5F1C">
              <w:rPr>
                <w:rFonts w:ascii="Times New Roman" w:hAnsi="Times New Roman" w:cs="Times New Roman"/>
                <w:b/>
                <w:sz w:val="16"/>
                <w:szCs w:val="16"/>
              </w:rPr>
              <w:t xml:space="preserve"> (Investment for </w:t>
            </w:r>
            <w:proofErr w:type="spellStart"/>
            <w:r w:rsidRPr="008C5F1C">
              <w:rPr>
                <w:rFonts w:ascii="Times New Roman" w:hAnsi="Times New Roman" w:cs="Times New Roman"/>
                <w:b/>
                <w:sz w:val="16"/>
                <w:szCs w:val="16"/>
              </w:rPr>
              <w:t>Jobs</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and</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Growth</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goal</w:t>
            </w:r>
            <w:proofErr w:type="spellEnd"/>
            <w:r w:rsidRPr="008C5F1C">
              <w:rPr>
                <w:rFonts w:ascii="Times New Roman" w:hAnsi="Times New Roman" w:cs="Times New Roman"/>
                <w:b/>
                <w:sz w:val="16"/>
                <w:szCs w:val="16"/>
              </w:rPr>
              <w:t xml:space="preserve"> EMFF)</w:t>
            </w:r>
          </w:p>
        </w:tc>
        <w:tc>
          <w:tcPr>
            <w:tcW w:w="292" w:type="pct"/>
            <w:tcBorders>
              <w:top w:val="single" w:sz="4" w:space="0" w:color="auto"/>
              <w:left w:val="single" w:sz="4" w:space="0" w:color="auto"/>
              <w:bottom w:val="single" w:sz="4" w:space="0" w:color="auto"/>
              <w:right w:val="single" w:sz="4" w:space="0" w:color="auto"/>
            </w:tcBorders>
            <w:hideMark/>
          </w:tcPr>
          <w:p w14:paraId="74166FD4" w14:textId="77777777" w:rsidR="003C6F83" w:rsidRPr="008C5F1C" w:rsidRDefault="003C6F83" w:rsidP="0044621F">
            <w:pPr>
              <w:rPr>
                <w:rFonts w:ascii="Times New Roman" w:hAnsi="Times New Roman" w:cs="Times New Roman"/>
                <w:b/>
                <w:sz w:val="16"/>
                <w:szCs w:val="16"/>
              </w:rPr>
            </w:pPr>
            <w:r w:rsidRPr="008C5F1C">
              <w:rPr>
                <w:rFonts w:ascii="Times New Roman" w:hAnsi="Times New Roman" w:cs="Times New Roman"/>
                <w:b/>
                <w:sz w:val="16"/>
                <w:szCs w:val="16"/>
              </w:rPr>
              <w:t>Fund</w:t>
            </w:r>
          </w:p>
        </w:tc>
        <w:tc>
          <w:tcPr>
            <w:tcW w:w="446" w:type="pct"/>
            <w:tcBorders>
              <w:top w:val="single" w:sz="4" w:space="0" w:color="auto"/>
              <w:left w:val="single" w:sz="4" w:space="0" w:color="auto"/>
              <w:bottom w:val="single" w:sz="4" w:space="0" w:color="auto"/>
              <w:right w:val="single" w:sz="4" w:space="0" w:color="auto"/>
            </w:tcBorders>
            <w:hideMark/>
          </w:tcPr>
          <w:p w14:paraId="1BCD0543" w14:textId="77777777" w:rsidR="003C6F83" w:rsidRPr="008C5F1C" w:rsidRDefault="003C6F83" w:rsidP="0044621F">
            <w:pPr>
              <w:rPr>
                <w:rFonts w:ascii="Times New Roman" w:hAnsi="Times New Roman" w:cs="Times New Roman"/>
                <w:b/>
                <w:sz w:val="16"/>
                <w:szCs w:val="16"/>
              </w:rPr>
            </w:pPr>
            <w:proofErr w:type="spellStart"/>
            <w:r w:rsidRPr="008C5F1C">
              <w:rPr>
                <w:rFonts w:ascii="Times New Roman" w:hAnsi="Times New Roman" w:cs="Times New Roman"/>
                <w:b/>
                <w:sz w:val="16"/>
                <w:szCs w:val="16"/>
              </w:rPr>
              <w:t>Category</w:t>
            </w:r>
            <w:proofErr w:type="spellEnd"/>
            <w:r w:rsidRPr="008C5F1C">
              <w:rPr>
                <w:rFonts w:ascii="Times New Roman" w:hAnsi="Times New Roman" w:cs="Times New Roman"/>
                <w:b/>
                <w:sz w:val="16"/>
                <w:szCs w:val="16"/>
              </w:rPr>
              <w:t xml:space="preserve"> of </w:t>
            </w:r>
            <w:proofErr w:type="spellStart"/>
            <w:r w:rsidRPr="008C5F1C">
              <w:rPr>
                <w:rFonts w:ascii="Times New Roman" w:hAnsi="Times New Roman" w:cs="Times New Roman"/>
                <w:b/>
                <w:sz w:val="16"/>
                <w:szCs w:val="16"/>
              </w:rPr>
              <w:t>region</w:t>
            </w:r>
            <w:proofErr w:type="spellEnd"/>
          </w:p>
        </w:tc>
        <w:tc>
          <w:tcPr>
            <w:tcW w:w="233" w:type="pct"/>
            <w:tcBorders>
              <w:top w:val="single" w:sz="4" w:space="0" w:color="auto"/>
              <w:left w:val="single" w:sz="4" w:space="0" w:color="auto"/>
              <w:bottom w:val="single" w:sz="4" w:space="0" w:color="auto"/>
              <w:right w:val="single" w:sz="4" w:space="0" w:color="auto"/>
            </w:tcBorders>
            <w:hideMark/>
          </w:tcPr>
          <w:p w14:paraId="234FAEE3" w14:textId="77777777" w:rsidR="003C6F83" w:rsidRPr="008C5F1C" w:rsidRDefault="003C6F83" w:rsidP="0044621F">
            <w:pPr>
              <w:rPr>
                <w:rFonts w:ascii="Times New Roman" w:hAnsi="Times New Roman" w:cs="Times New Roman"/>
                <w:b/>
                <w:sz w:val="16"/>
                <w:szCs w:val="16"/>
              </w:rPr>
            </w:pPr>
            <w:r w:rsidRPr="008C5F1C">
              <w:rPr>
                <w:rFonts w:ascii="Times New Roman" w:hAnsi="Times New Roman" w:cs="Times New Roman"/>
                <w:b/>
                <w:sz w:val="16"/>
                <w:szCs w:val="16"/>
              </w:rPr>
              <w:t>ID [5]</w:t>
            </w:r>
          </w:p>
        </w:tc>
        <w:tc>
          <w:tcPr>
            <w:tcW w:w="1117" w:type="pct"/>
            <w:tcBorders>
              <w:top w:val="single" w:sz="4" w:space="0" w:color="auto"/>
              <w:left w:val="single" w:sz="4" w:space="0" w:color="auto"/>
              <w:bottom w:val="single" w:sz="4" w:space="0" w:color="auto"/>
              <w:right w:val="single" w:sz="4" w:space="0" w:color="auto"/>
            </w:tcBorders>
            <w:hideMark/>
          </w:tcPr>
          <w:p w14:paraId="42F5023F" w14:textId="77777777" w:rsidR="003C6F83" w:rsidRPr="008C5F1C" w:rsidRDefault="003C6F83" w:rsidP="0044621F">
            <w:pPr>
              <w:rPr>
                <w:rFonts w:ascii="Times New Roman" w:hAnsi="Times New Roman" w:cs="Times New Roman"/>
                <w:b/>
                <w:sz w:val="16"/>
                <w:szCs w:val="16"/>
              </w:rPr>
            </w:pPr>
            <w:r w:rsidRPr="008C5F1C">
              <w:rPr>
                <w:rFonts w:ascii="Times New Roman" w:hAnsi="Times New Roman" w:cs="Times New Roman"/>
                <w:b/>
                <w:sz w:val="16"/>
                <w:szCs w:val="16"/>
              </w:rPr>
              <w:t xml:space="preserve">Indicator [255] </w:t>
            </w:r>
          </w:p>
        </w:tc>
        <w:tc>
          <w:tcPr>
            <w:tcW w:w="583" w:type="pct"/>
            <w:tcBorders>
              <w:top w:val="single" w:sz="4" w:space="0" w:color="auto"/>
              <w:left w:val="single" w:sz="4" w:space="0" w:color="auto"/>
              <w:bottom w:val="single" w:sz="4" w:space="0" w:color="auto"/>
              <w:right w:val="single" w:sz="4" w:space="0" w:color="auto"/>
            </w:tcBorders>
            <w:hideMark/>
          </w:tcPr>
          <w:p w14:paraId="4C64052D" w14:textId="77777777" w:rsidR="003C6F83" w:rsidRPr="008C5F1C" w:rsidRDefault="003C6F83" w:rsidP="0044621F">
            <w:pPr>
              <w:rPr>
                <w:rFonts w:ascii="Times New Roman" w:hAnsi="Times New Roman" w:cs="Times New Roman"/>
                <w:b/>
                <w:sz w:val="16"/>
                <w:szCs w:val="16"/>
              </w:rPr>
            </w:pPr>
            <w:proofErr w:type="spellStart"/>
            <w:r w:rsidRPr="008C5F1C">
              <w:rPr>
                <w:rFonts w:ascii="Times New Roman" w:hAnsi="Times New Roman" w:cs="Times New Roman"/>
                <w:b/>
                <w:sz w:val="16"/>
                <w:szCs w:val="16"/>
              </w:rPr>
              <w:t>Measurement</w:t>
            </w:r>
            <w:proofErr w:type="spellEnd"/>
            <w:r w:rsidRPr="008C5F1C">
              <w:rPr>
                <w:rFonts w:ascii="Times New Roman" w:hAnsi="Times New Roman" w:cs="Times New Roman"/>
                <w:b/>
                <w:sz w:val="16"/>
                <w:szCs w:val="16"/>
              </w:rPr>
              <w:t xml:space="preserve"> unit</w:t>
            </w:r>
          </w:p>
        </w:tc>
        <w:tc>
          <w:tcPr>
            <w:tcW w:w="536" w:type="pct"/>
            <w:tcBorders>
              <w:top w:val="single" w:sz="4" w:space="0" w:color="auto"/>
              <w:left w:val="single" w:sz="4" w:space="0" w:color="auto"/>
              <w:bottom w:val="single" w:sz="4" w:space="0" w:color="auto"/>
              <w:right w:val="single" w:sz="4" w:space="0" w:color="auto"/>
            </w:tcBorders>
          </w:tcPr>
          <w:p w14:paraId="34276478" w14:textId="77777777" w:rsidR="003C6F83" w:rsidRPr="008C5F1C" w:rsidRDefault="003C6F83" w:rsidP="0044621F">
            <w:pPr>
              <w:rPr>
                <w:rFonts w:ascii="Times New Roman" w:hAnsi="Times New Roman" w:cs="Times New Roman"/>
                <w:b/>
                <w:sz w:val="16"/>
                <w:szCs w:val="16"/>
              </w:rPr>
            </w:pPr>
            <w:proofErr w:type="spellStart"/>
            <w:r w:rsidRPr="008C5F1C">
              <w:rPr>
                <w:rFonts w:ascii="Times New Roman" w:hAnsi="Times New Roman" w:cs="Times New Roman"/>
                <w:b/>
                <w:sz w:val="16"/>
                <w:szCs w:val="16"/>
              </w:rPr>
              <w:t>Milestone</w:t>
            </w:r>
            <w:proofErr w:type="spellEnd"/>
            <w:r w:rsidRPr="008C5F1C">
              <w:rPr>
                <w:rFonts w:ascii="Times New Roman" w:hAnsi="Times New Roman" w:cs="Times New Roman"/>
                <w:b/>
                <w:sz w:val="16"/>
                <w:szCs w:val="16"/>
              </w:rPr>
              <w:t xml:space="preserve"> (2024)</w:t>
            </w:r>
          </w:p>
          <w:p w14:paraId="66461041" w14:textId="77777777" w:rsidR="003C6F83" w:rsidRPr="008C5F1C" w:rsidRDefault="003C6F83" w:rsidP="0044621F">
            <w:pPr>
              <w:rPr>
                <w:rFonts w:ascii="Times New Roman" w:hAnsi="Times New Roman" w:cs="Times New Roman"/>
                <w:b/>
                <w:sz w:val="16"/>
                <w:szCs w:val="16"/>
              </w:rPr>
            </w:pPr>
          </w:p>
        </w:tc>
        <w:tc>
          <w:tcPr>
            <w:tcW w:w="654" w:type="pct"/>
            <w:tcBorders>
              <w:top w:val="single" w:sz="4" w:space="0" w:color="auto"/>
              <w:left w:val="single" w:sz="4" w:space="0" w:color="auto"/>
              <w:bottom w:val="single" w:sz="4" w:space="0" w:color="auto"/>
              <w:right w:val="single" w:sz="4" w:space="0" w:color="auto"/>
            </w:tcBorders>
          </w:tcPr>
          <w:p w14:paraId="28EA8474" w14:textId="77777777" w:rsidR="003C6F83" w:rsidRPr="008C5F1C" w:rsidRDefault="003C6F83" w:rsidP="0044621F">
            <w:pPr>
              <w:rPr>
                <w:rFonts w:ascii="Times New Roman" w:hAnsi="Times New Roman" w:cs="Times New Roman"/>
                <w:b/>
                <w:sz w:val="16"/>
                <w:szCs w:val="16"/>
              </w:rPr>
            </w:pPr>
            <w:r w:rsidRPr="008C5F1C">
              <w:rPr>
                <w:rFonts w:ascii="Times New Roman" w:hAnsi="Times New Roman" w:cs="Times New Roman"/>
                <w:b/>
                <w:sz w:val="16"/>
                <w:szCs w:val="16"/>
              </w:rPr>
              <w:t>Target (2029)</w:t>
            </w:r>
          </w:p>
          <w:p w14:paraId="47E80CC3" w14:textId="77777777" w:rsidR="003C6F83" w:rsidRPr="008C5F1C" w:rsidRDefault="003C6F83" w:rsidP="0044621F">
            <w:pPr>
              <w:rPr>
                <w:rFonts w:ascii="Times New Roman" w:hAnsi="Times New Roman" w:cs="Times New Roman"/>
                <w:b/>
                <w:sz w:val="16"/>
                <w:szCs w:val="16"/>
              </w:rPr>
            </w:pPr>
          </w:p>
        </w:tc>
      </w:tr>
      <w:tr w:rsidR="003C6F83" w:rsidRPr="008C5F1C" w14:paraId="127C021A" w14:textId="77777777" w:rsidTr="0044621F">
        <w:trPr>
          <w:trHeight w:val="340"/>
        </w:trPr>
        <w:tc>
          <w:tcPr>
            <w:tcW w:w="381" w:type="pct"/>
            <w:tcBorders>
              <w:top w:val="single" w:sz="4" w:space="0" w:color="auto"/>
              <w:left w:val="single" w:sz="4" w:space="0" w:color="auto"/>
              <w:bottom w:val="single" w:sz="4" w:space="0" w:color="auto"/>
              <w:right w:val="single" w:sz="4" w:space="0" w:color="auto"/>
            </w:tcBorders>
          </w:tcPr>
          <w:p w14:paraId="748D1F55" w14:textId="77777777" w:rsidR="003C6F83" w:rsidRPr="008C5F1C" w:rsidRDefault="003C6F83" w:rsidP="0044621F">
            <w:pPr>
              <w:rPr>
                <w:rFonts w:ascii="Times New Roman" w:hAnsi="Times New Roman" w:cs="Times New Roman"/>
                <w:bCs/>
                <w:iCs/>
                <w:sz w:val="16"/>
                <w:szCs w:val="16"/>
              </w:rPr>
            </w:pPr>
            <w:r w:rsidRPr="008C5F1C">
              <w:rPr>
                <w:rFonts w:ascii="Times New Roman" w:hAnsi="Times New Roman" w:cs="Times New Roman"/>
                <w:bCs/>
                <w:iCs/>
                <w:sz w:val="16"/>
                <w:szCs w:val="16"/>
              </w:rPr>
              <w:t>1</w:t>
            </w:r>
          </w:p>
        </w:tc>
        <w:tc>
          <w:tcPr>
            <w:tcW w:w="757" w:type="pct"/>
            <w:tcBorders>
              <w:top w:val="single" w:sz="4" w:space="0" w:color="auto"/>
              <w:left w:val="single" w:sz="4" w:space="0" w:color="auto"/>
              <w:bottom w:val="single" w:sz="4" w:space="0" w:color="auto"/>
              <w:right w:val="single" w:sz="4" w:space="0" w:color="auto"/>
            </w:tcBorders>
          </w:tcPr>
          <w:p w14:paraId="64F80433" w14:textId="77777777" w:rsidR="003C6F83" w:rsidRPr="008C5F1C" w:rsidRDefault="003C6F83" w:rsidP="0044621F">
            <w:pPr>
              <w:rPr>
                <w:rFonts w:ascii="Times New Roman" w:hAnsi="Times New Roman" w:cs="Times New Roman"/>
                <w:bCs/>
                <w:iCs/>
                <w:sz w:val="16"/>
                <w:szCs w:val="16"/>
              </w:rPr>
            </w:pPr>
          </w:p>
        </w:tc>
        <w:tc>
          <w:tcPr>
            <w:tcW w:w="292" w:type="pct"/>
            <w:tcBorders>
              <w:top w:val="single" w:sz="4" w:space="0" w:color="auto"/>
              <w:left w:val="single" w:sz="4" w:space="0" w:color="auto"/>
              <w:bottom w:val="single" w:sz="4" w:space="0" w:color="auto"/>
              <w:right w:val="single" w:sz="4" w:space="0" w:color="auto"/>
            </w:tcBorders>
          </w:tcPr>
          <w:p w14:paraId="19C61057" w14:textId="77777777" w:rsidR="003C6F83" w:rsidRPr="008C5F1C" w:rsidRDefault="003C6F83" w:rsidP="0044621F">
            <w:pPr>
              <w:rPr>
                <w:rFonts w:ascii="Times New Roman" w:hAnsi="Times New Roman" w:cs="Times New Roman"/>
                <w:bCs/>
                <w:iCs/>
                <w:sz w:val="16"/>
                <w:szCs w:val="16"/>
              </w:rPr>
            </w:pPr>
          </w:p>
        </w:tc>
        <w:tc>
          <w:tcPr>
            <w:tcW w:w="446" w:type="pct"/>
            <w:tcBorders>
              <w:top w:val="single" w:sz="4" w:space="0" w:color="auto"/>
              <w:left w:val="single" w:sz="4" w:space="0" w:color="auto"/>
              <w:bottom w:val="single" w:sz="4" w:space="0" w:color="auto"/>
              <w:right w:val="single" w:sz="4" w:space="0" w:color="auto"/>
            </w:tcBorders>
          </w:tcPr>
          <w:p w14:paraId="5E6D9E17" w14:textId="77777777" w:rsidR="003C6F83" w:rsidRPr="008C5F1C" w:rsidRDefault="003C6F83" w:rsidP="0044621F">
            <w:pPr>
              <w:rPr>
                <w:rFonts w:ascii="Times New Roman" w:hAnsi="Times New Roman" w:cs="Times New Roman"/>
                <w:bCs/>
                <w:iCs/>
                <w:sz w:val="16"/>
                <w:szCs w:val="16"/>
              </w:rPr>
            </w:pPr>
          </w:p>
        </w:tc>
        <w:tc>
          <w:tcPr>
            <w:tcW w:w="233" w:type="pct"/>
            <w:tcBorders>
              <w:top w:val="single" w:sz="4" w:space="0" w:color="auto"/>
              <w:left w:val="single" w:sz="4" w:space="0" w:color="auto"/>
              <w:bottom w:val="single" w:sz="4" w:space="0" w:color="auto"/>
              <w:right w:val="single" w:sz="4" w:space="0" w:color="auto"/>
            </w:tcBorders>
          </w:tcPr>
          <w:p w14:paraId="2E56B2F2" w14:textId="77777777" w:rsidR="003C6F83" w:rsidRPr="008C5F1C" w:rsidRDefault="003C6F83" w:rsidP="0044621F">
            <w:pPr>
              <w:rPr>
                <w:rFonts w:ascii="Times New Roman" w:hAnsi="Times New Roman" w:cs="Times New Roman"/>
                <w:bCs/>
                <w:iCs/>
                <w:sz w:val="16"/>
                <w:szCs w:val="16"/>
              </w:rPr>
            </w:pPr>
          </w:p>
        </w:tc>
        <w:tc>
          <w:tcPr>
            <w:tcW w:w="1117" w:type="pct"/>
            <w:tcBorders>
              <w:top w:val="single" w:sz="4" w:space="0" w:color="auto"/>
              <w:left w:val="single" w:sz="4" w:space="0" w:color="auto"/>
              <w:bottom w:val="single" w:sz="4" w:space="0" w:color="auto"/>
              <w:right w:val="single" w:sz="4" w:space="0" w:color="auto"/>
            </w:tcBorders>
          </w:tcPr>
          <w:p w14:paraId="4F1BB88B" w14:textId="77777777" w:rsidR="003C6F83" w:rsidRPr="008C5F1C" w:rsidRDefault="003C6F83" w:rsidP="0044621F">
            <w:pPr>
              <w:rPr>
                <w:rFonts w:ascii="Times New Roman" w:hAnsi="Times New Roman" w:cs="Times New Roman"/>
                <w:bCs/>
                <w:iCs/>
                <w:sz w:val="16"/>
                <w:szCs w:val="16"/>
              </w:rPr>
            </w:pPr>
          </w:p>
        </w:tc>
        <w:tc>
          <w:tcPr>
            <w:tcW w:w="583" w:type="pct"/>
            <w:tcBorders>
              <w:top w:val="single" w:sz="4" w:space="0" w:color="auto"/>
              <w:left w:val="single" w:sz="4" w:space="0" w:color="auto"/>
              <w:bottom w:val="single" w:sz="4" w:space="0" w:color="auto"/>
              <w:right w:val="single" w:sz="4" w:space="0" w:color="auto"/>
            </w:tcBorders>
          </w:tcPr>
          <w:p w14:paraId="75838309" w14:textId="77777777" w:rsidR="003C6F83" w:rsidRPr="008C5F1C" w:rsidRDefault="003C6F83" w:rsidP="0044621F">
            <w:pPr>
              <w:rPr>
                <w:rFonts w:ascii="Times New Roman" w:hAnsi="Times New Roman" w:cs="Times New Roman"/>
                <w:bCs/>
                <w:iCs/>
                <w:sz w:val="16"/>
                <w:szCs w:val="16"/>
              </w:rPr>
            </w:pPr>
          </w:p>
        </w:tc>
        <w:tc>
          <w:tcPr>
            <w:tcW w:w="536" w:type="pct"/>
            <w:tcBorders>
              <w:top w:val="single" w:sz="4" w:space="0" w:color="auto"/>
              <w:left w:val="single" w:sz="4" w:space="0" w:color="auto"/>
              <w:bottom w:val="single" w:sz="4" w:space="0" w:color="auto"/>
              <w:right w:val="single" w:sz="4" w:space="0" w:color="auto"/>
            </w:tcBorders>
          </w:tcPr>
          <w:p w14:paraId="5146E89B" w14:textId="77777777" w:rsidR="003C6F83" w:rsidRPr="008C5F1C" w:rsidRDefault="003C6F83" w:rsidP="0044621F">
            <w:pPr>
              <w:rPr>
                <w:rFonts w:ascii="Times New Roman" w:hAnsi="Times New Roman" w:cs="Times New Roman"/>
                <w:bCs/>
                <w:iCs/>
                <w:sz w:val="16"/>
                <w:szCs w:val="16"/>
              </w:rPr>
            </w:pPr>
          </w:p>
        </w:tc>
        <w:tc>
          <w:tcPr>
            <w:tcW w:w="654" w:type="pct"/>
            <w:tcBorders>
              <w:top w:val="single" w:sz="4" w:space="0" w:color="auto"/>
              <w:left w:val="single" w:sz="4" w:space="0" w:color="auto"/>
              <w:bottom w:val="single" w:sz="4" w:space="0" w:color="auto"/>
              <w:right w:val="single" w:sz="4" w:space="0" w:color="auto"/>
            </w:tcBorders>
          </w:tcPr>
          <w:p w14:paraId="2856515C" w14:textId="77777777" w:rsidR="003C6F83" w:rsidRPr="008C5F1C" w:rsidRDefault="003C6F83" w:rsidP="0044621F">
            <w:pPr>
              <w:rPr>
                <w:rFonts w:ascii="Times New Roman" w:hAnsi="Times New Roman" w:cs="Times New Roman"/>
                <w:bCs/>
                <w:iCs/>
                <w:sz w:val="16"/>
                <w:szCs w:val="16"/>
              </w:rPr>
            </w:pPr>
          </w:p>
        </w:tc>
      </w:tr>
    </w:tbl>
    <w:p w14:paraId="3A696474" w14:textId="77777777" w:rsidR="003C6F83" w:rsidRPr="008C5F1C" w:rsidRDefault="003C6F83" w:rsidP="003C6F83">
      <w:pPr>
        <w:rPr>
          <w:rFonts w:ascii="Times New Roman" w:hAnsi="Times New Roman" w:cs="Times New Roman"/>
          <w:b/>
          <w:sz w:val="12"/>
        </w:rPr>
      </w:pPr>
    </w:p>
    <w:p w14:paraId="783F9B24" w14:textId="77777777" w:rsidR="003C6F83" w:rsidRPr="008C5F1C" w:rsidRDefault="003C6F83" w:rsidP="003C6F83">
      <w:pPr>
        <w:rPr>
          <w:rFonts w:ascii="Times New Roman" w:hAnsi="Times New Roman" w:cs="Times New Roman"/>
          <w:bCs/>
          <w:i/>
        </w:rPr>
      </w:pPr>
      <w:r w:rsidRPr="008C5F1C">
        <w:rPr>
          <w:rFonts w:ascii="Times New Roman" w:hAnsi="Times New Roman" w:cs="Times New Roman"/>
          <w:b/>
          <w:iCs/>
        </w:rPr>
        <w:t xml:space="preserve">2.B.1.3. Indicative </w:t>
      </w:r>
      <w:proofErr w:type="spellStart"/>
      <w:r w:rsidRPr="008C5F1C">
        <w:rPr>
          <w:rFonts w:ascii="Times New Roman" w:hAnsi="Times New Roman" w:cs="Times New Roman"/>
          <w:b/>
          <w:iCs/>
        </w:rPr>
        <w:t>breakdown</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the</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programmed</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resources</w:t>
      </w:r>
      <w:proofErr w:type="spellEnd"/>
      <w:r w:rsidRPr="008C5F1C">
        <w:rPr>
          <w:rFonts w:ascii="Times New Roman" w:hAnsi="Times New Roman" w:cs="Times New Roman"/>
          <w:b/>
          <w:iCs/>
        </w:rPr>
        <w:t xml:space="preserve"> (EU) </w:t>
      </w:r>
      <w:proofErr w:type="spellStart"/>
      <w:r w:rsidRPr="008C5F1C">
        <w:rPr>
          <w:rFonts w:ascii="Times New Roman" w:hAnsi="Times New Roman" w:cs="Times New Roman"/>
          <w:b/>
          <w:iCs/>
        </w:rPr>
        <w:t>by</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type</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intervention</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i/>
          <w:iCs/>
        </w:rPr>
        <w:t>Reference</w:t>
      </w:r>
      <w:proofErr w:type="spellEnd"/>
      <w:r w:rsidRPr="008C5F1C">
        <w:rPr>
          <w:rFonts w:ascii="Times New Roman" w:hAnsi="Times New Roman" w:cs="Times New Roman"/>
          <w:i/>
          <w:iCs/>
        </w:rPr>
        <w:t xml:space="preserve"> </w:t>
      </w:r>
      <w:proofErr w:type="spellStart"/>
      <w:r w:rsidRPr="008C5F1C">
        <w:rPr>
          <w:rFonts w:ascii="Times New Roman" w:hAnsi="Times New Roman" w:cs="Times New Roman"/>
          <w:i/>
        </w:rPr>
        <w:t>Article</w:t>
      </w:r>
      <w:proofErr w:type="spellEnd"/>
      <w:r w:rsidRPr="008C5F1C">
        <w:rPr>
          <w:rFonts w:ascii="Times New Roman" w:hAnsi="Times New Roman" w:cs="Times New Roman"/>
          <w:i/>
        </w:rPr>
        <w:t xml:space="preserve"> 17(3)(e)bis(iv)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2115"/>
        <w:gridCol w:w="1053"/>
        <w:gridCol w:w="2175"/>
      </w:tblGrid>
      <w:tr w:rsidR="003C6F83" w:rsidRPr="008C5F1C" w14:paraId="2F4989BC" w14:textId="77777777" w:rsidTr="0044621F">
        <w:tc>
          <w:tcPr>
            <w:tcW w:w="8326" w:type="dxa"/>
            <w:gridSpan w:val="5"/>
            <w:tcBorders>
              <w:top w:val="single" w:sz="4" w:space="0" w:color="auto"/>
              <w:left w:val="single" w:sz="4" w:space="0" w:color="auto"/>
              <w:bottom w:val="single" w:sz="4" w:space="0" w:color="auto"/>
              <w:right w:val="single" w:sz="4" w:space="0" w:color="auto"/>
            </w:tcBorders>
            <w:hideMark/>
          </w:tcPr>
          <w:p w14:paraId="3B2FAE96" w14:textId="77777777" w:rsidR="003C6F83" w:rsidRPr="008C5F1C" w:rsidRDefault="003C6F83" w:rsidP="0044621F">
            <w:pPr>
              <w:rPr>
                <w:rFonts w:ascii="Times New Roman" w:hAnsi="Times New Roman" w:cs="Times New Roman"/>
                <w:b/>
                <w:iCs/>
              </w:rPr>
            </w:pPr>
            <w:r w:rsidRPr="008C5F1C">
              <w:rPr>
                <w:rFonts w:ascii="Times New Roman" w:hAnsi="Times New Roman" w:cs="Times New Roman"/>
                <w:b/>
                <w:iCs/>
              </w:rPr>
              <w:t xml:space="preserve">Table 8: </w:t>
            </w:r>
            <w:proofErr w:type="spellStart"/>
            <w:r w:rsidRPr="008C5F1C">
              <w:rPr>
                <w:rFonts w:ascii="Times New Roman" w:hAnsi="Times New Roman" w:cs="Times New Roman"/>
                <w:b/>
                <w:iCs/>
              </w:rPr>
              <w:t>Dimension</w:t>
            </w:r>
            <w:proofErr w:type="spellEnd"/>
            <w:r w:rsidRPr="008C5F1C">
              <w:rPr>
                <w:rFonts w:ascii="Times New Roman" w:hAnsi="Times New Roman" w:cs="Times New Roman"/>
                <w:b/>
                <w:iCs/>
              </w:rPr>
              <w:t xml:space="preserve"> 1 – </w:t>
            </w:r>
            <w:proofErr w:type="spellStart"/>
            <w:r w:rsidRPr="008C5F1C">
              <w:rPr>
                <w:rFonts w:ascii="Times New Roman" w:hAnsi="Times New Roman" w:cs="Times New Roman"/>
                <w:b/>
                <w:iCs/>
              </w:rPr>
              <w:t>intervention</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field</w:t>
            </w:r>
            <w:proofErr w:type="spellEnd"/>
          </w:p>
        </w:tc>
      </w:tr>
      <w:tr w:rsidR="003C6F83" w:rsidRPr="008C5F1C" w14:paraId="4BE9994F" w14:textId="77777777" w:rsidTr="0044621F">
        <w:tc>
          <w:tcPr>
            <w:tcW w:w="1599" w:type="dxa"/>
            <w:tcBorders>
              <w:top w:val="single" w:sz="4" w:space="0" w:color="auto"/>
              <w:left w:val="single" w:sz="4" w:space="0" w:color="auto"/>
              <w:bottom w:val="single" w:sz="4" w:space="0" w:color="auto"/>
              <w:right w:val="single" w:sz="4" w:space="0" w:color="auto"/>
            </w:tcBorders>
            <w:hideMark/>
          </w:tcPr>
          <w:p w14:paraId="3335B196" w14:textId="77777777" w:rsidR="003C6F83" w:rsidRPr="008C5F1C" w:rsidRDefault="003C6F83" w:rsidP="0044621F">
            <w:pPr>
              <w:rPr>
                <w:rFonts w:ascii="Times New Roman" w:hAnsi="Times New Roman" w:cs="Times New Roman"/>
                <w:b/>
                <w:iCs/>
              </w:rPr>
            </w:pPr>
            <w:proofErr w:type="spellStart"/>
            <w:r w:rsidRPr="008C5F1C">
              <w:rPr>
                <w:rFonts w:ascii="Times New Roman" w:hAnsi="Times New Roman" w:cs="Times New Roman"/>
                <w:b/>
                <w:iCs/>
              </w:rPr>
              <w:t>Priority</w:t>
            </w:r>
            <w:proofErr w:type="spellEnd"/>
            <w:r w:rsidRPr="008C5F1C">
              <w:rPr>
                <w:rFonts w:ascii="Times New Roman" w:hAnsi="Times New Roman" w:cs="Times New Roman"/>
                <w:b/>
                <w:iCs/>
              </w:rPr>
              <w:t xml:space="preserve"> No</w:t>
            </w:r>
          </w:p>
        </w:tc>
        <w:tc>
          <w:tcPr>
            <w:tcW w:w="1384" w:type="dxa"/>
            <w:tcBorders>
              <w:top w:val="single" w:sz="4" w:space="0" w:color="auto"/>
              <w:left w:val="single" w:sz="4" w:space="0" w:color="auto"/>
              <w:bottom w:val="single" w:sz="4" w:space="0" w:color="auto"/>
              <w:right w:val="single" w:sz="4" w:space="0" w:color="auto"/>
            </w:tcBorders>
            <w:hideMark/>
          </w:tcPr>
          <w:p w14:paraId="2DEA9B7D" w14:textId="77777777" w:rsidR="003C6F83" w:rsidRPr="008C5F1C" w:rsidRDefault="003C6F83" w:rsidP="0044621F">
            <w:pPr>
              <w:rPr>
                <w:rFonts w:ascii="Times New Roman" w:hAnsi="Times New Roman" w:cs="Times New Roman"/>
                <w:b/>
                <w:iCs/>
              </w:rPr>
            </w:pPr>
            <w:r w:rsidRPr="008C5F1C">
              <w:rPr>
                <w:rFonts w:ascii="Times New Roman" w:hAnsi="Times New Roman" w:cs="Times New Roman"/>
                <w:b/>
                <w:iCs/>
              </w:rPr>
              <w:t>Fund</w:t>
            </w:r>
          </w:p>
        </w:tc>
        <w:tc>
          <w:tcPr>
            <w:tcW w:w="2115" w:type="dxa"/>
            <w:tcBorders>
              <w:top w:val="single" w:sz="4" w:space="0" w:color="auto"/>
              <w:left w:val="single" w:sz="4" w:space="0" w:color="auto"/>
              <w:bottom w:val="single" w:sz="4" w:space="0" w:color="auto"/>
              <w:right w:val="single" w:sz="4" w:space="0" w:color="auto"/>
            </w:tcBorders>
            <w:hideMark/>
          </w:tcPr>
          <w:p w14:paraId="1C5BD5A4" w14:textId="77777777" w:rsidR="003C6F83" w:rsidRPr="008C5F1C" w:rsidRDefault="003C6F83" w:rsidP="0044621F">
            <w:pPr>
              <w:rPr>
                <w:rFonts w:ascii="Times New Roman" w:hAnsi="Times New Roman" w:cs="Times New Roman"/>
                <w:b/>
                <w:iCs/>
              </w:rPr>
            </w:pPr>
            <w:proofErr w:type="spellStart"/>
            <w:r w:rsidRPr="008C5F1C">
              <w:rPr>
                <w:rFonts w:ascii="Times New Roman" w:hAnsi="Times New Roman" w:cs="Times New Roman"/>
                <w:b/>
                <w:iCs/>
              </w:rPr>
              <w:t>Category</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region</w:t>
            </w:r>
            <w:proofErr w:type="spellEnd"/>
          </w:p>
        </w:tc>
        <w:tc>
          <w:tcPr>
            <w:tcW w:w="1053" w:type="dxa"/>
            <w:tcBorders>
              <w:top w:val="single" w:sz="4" w:space="0" w:color="auto"/>
              <w:left w:val="single" w:sz="4" w:space="0" w:color="auto"/>
              <w:bottom w:val="single" w:sz="4" w:space="0" w:color="auto"/>
              <w:right w:val="single" w:sz="4" w:space="0" w:color="auto"/>
            </w:tcBorders>
            <w:hideMark/>
          </w:tcPr>
          <w:p w14:paraId="0A1FB625" w14:textId="77777777" w:rsidR="003C6F83" w:rsidRPr="008C5F1C" w:rsidRDefault="003C6F83" w:rsidP="0044621F">
            <w:pPr>
              <w:rPr>
                <w:rFonts w:ascii="Times New Roman" w:hAnsi="Times New Roman" w:cs="Times New Roman"/>
                <w:b/>
                <w:iCs/>
              </w:rPr>
            </w:pPr>
            <w:r w:rsidRPr="008C5F1C">
              <w:rPr>
                <w:rFonts w:ascii="Times New Roman" w:hAnsi="Times New Roman" w:cs="Times New Roman"/>
                <w:b/>
                <w:iCs/>
              </w:rPr>
              <w:t xml:space="preserve">Code </w:t>
            </w:r>
          </w:p>
        </w:tc>
        <w:tc>
          <w:tcPr>
            <w:tcW w:w="2175" w:type="dxa"/>
            <w:tcBorders>
              <w:top w:val="single" w:sz="4" w:space="0" w:color="auto"/>
              <w:left w:val="single" w:sz="4" w:space="0" w:color="auto"/>
              <w:bottom w:val="single" w:sz="4" w:space="0" w:color="auto"/>
              <w:right w:val="single" w:sz="4" w:space="0" w:color="auto"/>
            </w:tcBorders>
            <w:hideMark/>
          </w:tcPr>
          <w:p w14:paraId="7D9B5A71" w14:textId="77777777" w:rsidR="003C6F83" w:rsidRPr="008C5F1C" w:rsidRDefault="003C6F83" w:rsidP="0044621F">
            <w:pPr>
              <w:rPr>
                <w:rFonts w:ascii="Times New Roman" w:hAnsi="Times New Roman" w:cs="Times New Roman"/>
                <w:b/>
                <w:iCs/>
              </w:rPr>
            </w:pPr>
            <w:proofErr w:type="spellStart"/>
            <w:r w:rsidRPr="008C5F1C">
              <w:rPr>
                <w:rFonts w:ascii="Times New Roman" w:hAnsi="Times New Roman" w:cs="Times New Roman"/>
                <w:b/>
                <w:iCs/>
              </w:rPr>
              <w:t>Amount</w:t>
            </w:r>
            <w:proofErr w:type="spellEnd"/>
            <w:r w:rsidRPr="008C5F1C">
              <w:rPr>
                <w:rFonts w:ascii="Times New Roman" w:hAnsi="Times New Roman" w:cs="Times New Roman"/>
                <w:b/>
                <w:iCs/>
              </w:rPr>
              <w:t xml:space="preserve"> (EUR)</w:t>
            </w:r>
          </w:p>
        </w:tc>
      </w:tr>
      <w:tr w:rsidR="003C6F83" w:rsidRPr="008C5F1C" w14:paraId="4D3C4A20" w14:textId="77777777" w:rsidTr="0044621F">
        <w:tc>
          <w:tcPr>
            <w:tcW w:w="1599" w:type="dxa"/>
            <w:tcBorders>
              <w:top w:val="single" w:sz="4" w:space="0" w:color="auto"/>
              <w:left w:val="single" w:sz="4" w:space="0" w:color="auto"/>
              <w:bottom w:val="single" w:sz="4" w:space="0" w:color="auto"/>
              <w:right w:val="single" w:sz="4" w:space="0" w:color="auto"/>
            </w:tcBorders>
          </w:tcPr>
          <w:p w14:paraId="5BAB5A11" w14:textId="137BFFFE" w:rsidR="003C6F83" w:rsidRPr="008C5F1C" w:rsidRDefault="003C6F83" w:rsidP="0044621F">
            <w:pPr>
              <w:rPr>
                <w:rFonts w:ascii="Times New Roman" w:hAnsi="Times New Roman" w:cs="Times New Roman"/>
                <w:iCs/>
              </w:rPr>
            </w:pPr>
          </w:p>
        </w:tc>
        <w:tc>
          <w:tcPr>
            <w:tcW w:w="1384" w:type="dxa"/>
            <w:tcBorders>
              <w:top w:val="single" w:sz="4" w:space="0" w:color="auto"/>
              <w:left w:val="single" w:sz="4" w:space="0" w:color="auto"/>
              <w:bottom w:val="single" w:sz="4" w:space="0" w:color="auto"/>
              <w:right w:val="single" w:sz="4" w:space="0" w:color="auto"/>
            </w:tcBorders>
          </w:tcPr>
          <w:p w14:paraId="57AB2D5E" w14:textId="32AF8B33" w:rsidR="003C6F83" w:rsidRPr="008C5F1C" w:rsidRDefault="003C6F83" w:rsidP="0044621F">
            <w:pPr>
              <w:rPr>
                <w:rFonts w:ascii="Times New Roman" w:hAnsi="Times New Roman" w:cs="Times New Roman"/>
                <w:b/>
                <w:iCs/>
              </w:rPr>
            </w:pPr>
          </w:p>
        </w:tc>
        <w:tc>
          <w:tcPr>
            <w:tcW w:w="2115" w:type="dxa"/>
            <w:tcBorders>
              <w:top w:val="single" w:sz="4" w:space="0" w:color="auto"/>
              <w:left w:val="single" w:sz="4" w:space="0" w:color="auto"/>
              <w:bottom w:val="single" w:sz="4" w:space="0" w:color="auto"/>
              <w:right w:val="single" w:sz="4" w:space="0" w:color="auto"/>
            </w:tcBorders>
          </w:tcPr>
          <w:p w14:paraId="5CF85E44" w14:textId="0F43AF7A" w:rsidR="003C6F83" w:rsidRPr="008C5F1C" w:rsidRDefault="003C6F83" w:rsidP="0044621F">
            <w:pPr>
              <w:rPr>
                <w:rFonts w:ascii="Times New Roman" w:hAnsi="Times New Roman" w:cs="Times New Roman"/>
                <w:b/>
                <w:iCs/>
              </w:rPr>
            </w:pPr>
          </w:p>
        </w:tc>
        <w:tc>
          <w:tcPr>
            <w:tcW w:w="1053" w:type="dxa"/>
            <w:tcBorders>
              <w:top w:val="single" w:sz="4" w:space="0" w:color="auto"/>
              <w:left w:val="single" w:sz="4" w:space="0" w:color="auto"/>
              <w:bottom w:val="single" w:sz="4" w:space="0" w:color="auto"/>
              <w:right w:val="single" w:sz="4" w:space="0" w:color="auto"/>
            </w:tcBorders>
          </w:tcPr>
          <w:p w14:paraId="3F453EDB" w14:textId="77777777" w:rsidR="003C6F83" w:rsidRPr="008C5F1C" w:rsidRDefault="003C6F83" w:rsidP="0044621F">
            <w:pPr>
              <w:rPr>
                <w:rFonts w:ascii="Times New Roman" w:hAnsi="Times New Roman" w:cs="Times New Roman"/>
                <w:b/>
                <w:iCs/>
              </w:rPr>
            </w:pPr>
          </w:p>
        </w:tc>
        <w:tc>
          <w:tcPr>
            <w:tcW w:w="2175" w:type="dxa"/>
            <w:tcBorders>
              <w:top w:val="single" w:sz="4" w:space="0" w:color="auto"/>
              <w:left w:val="single" w:sz="4" w:space="0" w:color="auto"/>
              <w:bottom w:val="single" w:sz="4" w:space="0" w:color="auto"/>
              <w:right w:val="single" w:sz="4" w:space="0" w:color="auto"/>
            </w:tcBorders>
          </w:tcPr>
          <w:p w14:paraId="5E891D77" w14:textId="77777777" w:rsidR="003C6F83" w:rsidRPr="008C5F1C" w:rsidRDefault="003C6F83" w:rsidP="0044621F">
            <w:pPr>
              <w:rPr>
                <w:rFonts w:ascii="Times New Roman" w:hAnsi="Times New Roman" w:cs="Times New Roman"/>
                <w:b/>
                <w:iCs/>
              </w:rPr>
            </w:pPr>
          </w:p>
        </w:tc>
      </w:tr>
    </w:tbl>
    <w:p w14:paraId="7EBF0C09" w14:textId="77777777" w:rsidR="00653571" w:rsidRPr="008C5F1C" w:rsidRDefault="00653571" w:rsidP="00653571">
      <w:pPr>
        <w:pStyle w:val="Heading3"/>
        <w:numPr>
          <w:ilvl w:val="0"/>
          <w:numId w:val="0"/>
        </w:numPr>
        <w:shd w:val="clear" w:color="auto" w:fill="B4C6E7" w:themeFill="accent1" w:themeFillTint="66"/>
        <w:rPr>
          <w:rFonts w:cs="Times New Roman"/>
          <w:noProof/>
          <w:lang w:val="ro-RO"/>
        </w:rPr>
      </w:pPr>
      <w:bookmarkStart w:id="11" w:name="_Toc39840930"/>
      <w:r w:rsidRPr="008C5F1C">
        <w:rPr>
          <w:rFonts w:cs="Times New Roman"/>
          <w:noProof/>
          <w:lang w:val="ro-RO"/>
        </w:rPr>
        <w:lastRenderedPageBreak/>
        <w:t>2.A.3 OS a (iii) Impulsionarea cre</w:t>
      </w:r>
      <w:r w:rsidR="00106240" w:rsidRPr="008C5F1C">
        <w:rPr>
          <w:rFonts w:cs="Times New Roman"/>
          <w:noProof/>
          <w:lang w:val="ro-RO"/>
        </w:rPr>
        <w:t>ș</w:t>
      </w:r>
      <w:r w:rsidRPr="008C5F1C">
        <w:rPr>
          <w:rFonts w:cs="Times New Roman"/>
          <w:noProof/>
          <w:lang w:val="ro-RO"/>
        </w:rPr>
        <w:t xml:space="preserve">terii </w:t>
      </w:r>
      <w:r w:rsidR="00106240" w:rsidRPr="008C5F1C">
        <w:rPr>
          <w:rFonts w:cs="Times New Roman"/>
          <w:noProof/>
          <w:lang w:val="ro-RO"/>
        </w:rPr>
        <w:t>ș</w:t>
      </w:r>
      <w:r w:rsidRPr="008C5F1C">
        <w:rPr>
          <w:rFonts w:cs="Times New Roman"/>
          <w:noProof/>
          <w:lang w:val="ro-RO"/>
        </w:rPr>
        <w:t>i competitivit</w:t>
      </w:r>
      <w:r w:rsidR="00BA7827" w:rsidRPr="008C5F1C">
        <w:rPr>
          <w:rFonts w:cs="Times New Roman"/>
          <w:noProof/>
          <w:lang w:val="ro-RO"/>
        </w:rPr>
        <w:t>ă</w:t>
      </w:r>
      <w:r w:rsidR="00E22FF2" w:rsidRPr="008C5F1C">
        <w:rPr>
          <w:rFonts w:cs="Times New Roman"/>
          <w:noProof/>
          <w:lang w:val="ro-RO"/>
        </w:rPr>
        <w:t>ț</w:t>
      </w:r>
      <w:r w:rsidRPr="008C5F1C">
        <w:rPr>
          <w:rFonts w:cs="Times New Roman"/>
          <w:noProof/>
          <w:lang w:val="ro-RO"/>
        </w:rPr>
        <w:t>ii IMM-urilor</w:t>
      </w:r>
      <w:bookmarkEnd w:id="11"/>
      <w:r w:rsidRPr="008C5F1C" w:rsidDel="00614241">
        <w:rPr>
          <w:rFonts w:cs="Times New Roman"/>
          <w:noProof/>
          <w:lang w:val="ro-RO"/>
        </w:rPr>
        <w:t xml:space="preserve"> </w:t>
      </w:r>
    </w:p>
    <w:p w14:paraId="023DB21B" w14:textId="77777777" w:rsidR="00653571" w:rsidRPr="008C5F1C" w:rsidRDefault="00653571" w:rsidP="00653571">
      <w:pPr>
        <w:pStyle w:val="Heading4"/>
        <w:numPr>
          <w:ilvl w:val="0"/>
          <w:numId w:val="0"/>
        </w:numPr>
        <w:ind w:left="851" w:hanging="851"/>
        <w:rPr>
          <w:rFonts w:cs="Times New Roman"/>
          <w:b/>
          <w:bCs/>
          <w:noProof/>
          <w:lang w:val="ro-RO"/>
        </w:rPr>
      </w:pPr>
      <w:r w:rsidRPr="008C5F1C">
        <w:rPr>
          <w:rFonts w:cs="Times New Roman"/>
          <w:b/>
          <w:bCs/>
          <w:noProof/>
          <w:lang w:val="ro-RO"/>
        </w:rPr>
        <w:t>2.A.3.1 Interventions of the Funds</w:t>
      </w:r>
    </w:p>
    <w:p w14:paraId="13E65A9A" w14:textId="77777777" w:rsidR="00653571" w:rsidRPr="008C5F1C" w:rsidRDefault="00653571" w:rsidP="00653571">
      <w:pPr>
        <w:spacing w:before="120" w:after="120" w:line="360" w:lineRule="auto"/>
        <w:rPr>
          <w:rFonts w:ascii="Times New Roman" w:eastAsia="Times New Roman" w:hAnsi="Times New Roman" w:cs="Times New Roman"/>
          <w:i/>
          <w:noProof/>
          <w:sz w:val="24"/>
          <w:szCs w:val="24"/>
        </w:rPr>
      </w:pPr>
      <w:r w:rsidRPr="008C5F1C">
        <w:rPr>
          <w:rFonts w:ascii="Times New Roman" w:eastAsia="Times New Roman" w:hAnsi="Times New Roman" w:cs="Times New Roman"/>
          <w:i/>
          <w:noProof/>
          <w:sz w:val="24"/>
          <w:szCs w:val="24"/>
        </w:rPr>
        <w:t>Reference: Article 17(3)(d)(i),(iii),(iv),(v),(vi);</w:t>
      </w:r>
    </w:p>
    <w:p w14:paraId="072E808C" w14:textId="77777777" w:rsidR="00653571" w:rsidRPr="008C5F1C" w:rsidRDefault="00653571" w:rsidP="00653571">
      <w:pPr>
        <w:bidi/>
        <w:spacing w:before="120" w:after="120" w:line="360" w:lineRule="auto"/>
        <w:jc w:val="right"/>
        <w:rPr>
          <w:rFonts w:ascii="Times New Roman" w:eastAsia="Times New Roman" w:hAnsi="Times New Roman" w:cs="Times New Roman"/>
          <w:b/>
          <w:bCs/>
          <w:i/>
          <w:iCs/>
          <w:noProof/>
          <w:sz w:val="24"/>
          <w:szCs w:val="24"/>
          <w:u w:val="single"/>
        </w:rPr>
      </w:pPr>
      <w:r w:rsidRPr="008C5F1C">
        <w:rPr>
          <w:rFonts w:ascii="Times New Roman" w:eastAsia="Times New Roman" w:hAnsi="Times New Roman" w:cs="Times New Roman"/>
          <w:i/>
          <w:noProof/>
          <w:sz w:val="24"/>
          <w:szCs w:val="24"/>
        </w:rPr>
        <w:t>The related types of actions – Article 17(3)(d)(i) CPR; Article 6(2) ESF+</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653571" w:rsidRPr="008C5F1C" w14:paraId="330D7251" w14:textId="77777777" w:rsidTr="00534127">
        <w:tc>
          <w:tcPr>
            <w:tcW w:w="9634" w:type="dxa"/>
            <w:tcBorders>
              <w:top w:val="single" w:sz="4" w:space="0" w:color="auto"/>
              <w:left w:val="single" w:sz="4" w:space="0" w:color="auto"/>
              <w:bottom w:val="single" w:sz="4" w:space="0" w:color="auto"/>
              <w:right w:val="single" w:sz="4" w:space="0" w:color="auto"/>
            </w:tcBorders>
            <w:hideMark/>
          </w:tcPr>
          <w:p w14:paraId="5AE92BEF" w14:textId="51288183" w:rsidR="009F65FF" w:rsidRPr="00E6197B" w:rsidRDefault="009F65FF" w:rsidP="00742B97">
            <w:pPr>
              <w:spacing w:after="120" w:line="240" w:lineRule="auto"/>
              <w:jc w:val="both"/>
              <w:rPr>
                <w:rFonts w:ascii="Times New Roman" w:hAnsi="Times New Roman" w:cs="Times New Roman"/>
              </w:rPr>
            </w:pPr>
            <w:r w:rsidRPr="00E6197B">
              <w:rPr>
                <w:rFonts w:ascii="Times New Roman" w:hAnsi="Times New Roman" w:cs="Times New Roman"/>
              </w:rPr>
              <w:t>Performanța economică a regiunii NV este susținută în principal de concentrarea mare de companii, comparativ cu celelalte regiuni ale țării.</w:t>
            </w:r>
            <w:r w:rsidRPr="00E6197B">
              <w:rPr>
                <w:rFonts w:ascii="Times New Roman" w:hAnsi="Times New Roman" w:cs="Times New Roman"/>
                <w:i/>
                <w:iCs/>
              </w:rPr>
              <w:t xml:space="preserve"> </w:t>
            </w:r>
            <w:r w:rsidRPr="00E6197B">
              <w:rPr>
                <w:rFonts w:ascii="Times New Roman" w:hAnsi="Times New Roman" w:cs="Times New Roman"/>
              </w:rPr>
              <w:t xml:space="preserve">Numărul de întreprinderi active în anul 2018 în regiunea Nord Vest indică o capacitate sporită de susținere a dezvoltării economice, ocupând locul 2 după regiunea București-Ilfov cu 85.858 firme, fiind urmată la mare distanță de regiunea Centru, cu 67.095 companii active. Deși la mare distanță de regiunea București-Ilfov, prima clasată (45% pondere în 2018), regiunea Nord-Vest contribuie cu 10% la formarea cifrei de afaceri la nivel național. </w:t>
            </w:r>
          </w:p>
          <w:p w14:paraId="05242064" w14:textId="7AACB0A3" w:rsidR="00E86D94" w:rsidRPr="00E6197B" w:rsidRDefault="008F112F" w:rsidP="00742B97">
            <w:pPr>
              <w:spacing w:after="120" w:line="240" w:lineRule="auto"/>
              <w:jc w:val="both"/>
              <w:rPr>
                <w:rFonts w:ascii="Times New Roman" w:hAnsi="Times New Roman" w:cs="Times New Roman"/>
              </w:rPr>
            </w:pPr>
            <w:r w:rsidRPr="00E6197B">
              <w:rPr>
                <w:rFonts w:ascii="Times New Roman" w:hAnsi="Times New Roman" w:cs="Times New Roman"/>
              </w:rPr>
              <w:t>Productivitatea muncii, calculată ca raport între valoarea adăugată brută și populația ocupată</w:t>
            </w:r>
            <w:r w:rsidR="009F65FF" w:rsidRPr="00E6197B">
              <w:rPr>
                <w:rFonts w:ascii="Times New Roman" w:hAnsi="Times New Roman" w:cs="Times New Roman"/>
              </w:rPr>
              <w:t xml:space="preserve">, se situează sub media națională și mult sub nivelul mediu din UE. Aceasta </w:t>
            </w:r>
            <w:r w:rsidRPr="00E6197B">
              <w:rPr>
                <w:rFonts w:ascii="Times New Roman" w:hAnsi="Times New Roman" w:cs="Times New Roman"/>
              </w:rPr>
              <w:t xml:space="preserve">are o valoare de 17.600 EUR/persoană ocupată în anul 2017, de aproape 4 ori mai puțin decât la nivelul Uniunii Europene și mai mică cu 13,6% decât valoarea înregistrată la nivel național. </w:t>
            </w:r>
            <w:r w:rsidR="009F65FF" w:rsidRPr="00E6197B">
              <w:rPr>
                <w:rFonts w:ascii="Times New Roman" w:hAnsi="Times New Roman" w:cs="Times New Roman"/>
              </w:rPr>
              <w:t>E</w:t>
            </w:r>
            <w:r w:rsidRPr="00E6197B">
              <w:rPr>
                <w:rFonts w:ascii="Times New Roman" w:hAnsi="Times New Roman" w:cs="Times New Roman"/>
              </w:rPr>
              <w:t xml:space="preserve">xistă diferențe intra-regionale majore, județul Cluj având o productivitate de aproape 24 de mii EUR/persoană ocupată, în timp ce județul Bistrița Năsăud ocupă ultimul loc la nivel regional, cu aproape 14 mii EUR/persoană ocupată (conform </w:t>
            </w:r>
            <w:proofErr w:type="spellStart"/>
            <w:r w:rsidRPr="00E6197B">
              <w:rPr>
                <w:rFonts w:ascii="Times New Roman" w:hAnsi="Times New Roman" w:cs="Times New Roman"/>
              </w:rPr>
              <w:t>Eurostat</w:t>
            </w:r>
            <w:proofErr w:type="spellEnd"/>
            <w:r w:rsidRPr="00E6197B">
              <w:rPr>
                <w:rFonts w:ascii="Times New Roman" w:hAnsi="Times New Roman" w:cs="Times New Roman"/>
              </w:rPr>
              <w:t xml:space="preserve">). </w:t>
            </w:r>
          </w:p>
          <w:p w14:paraId="165E6EFA" w14:textId="17A088E8" w:rsidR="00E67941" w:rsidRPr="00E6197B" w:rsidRDefault="009F65FF" w:rsidP="00742B97">
            <w:pPr>
              <w:spacing w:after="120" w:line="240" w:lineRule="auto"/>
              <w:jc w:val="both"/>
              <w:rPr>
                <w:rFonts w:ascii="Times New Roman" w:hAnsi="Times New Roman" w:cs="Times New Roman"/>
              </w:rPr>
            </w:pPr>
            <w:r w:rsidRPr="00E6197B">
              <w:rPr>
                <w:rFonts w:ascii="Times New Roman" w:hAnsi="Times New Roman" w:cs="Times New Roman"/>
              </w:rPr>
              <w:t>Mediul urban concentrează mai mult de două treimi din totalul companiilor, efectivului salarial și cifrei de afaceri. În mediul urban sunt înregistrate 72,5% din întreprinderile active, 78,1% din efectivul salarial și 78,3% din cifra de afaceri în anul 2018. Aproximativ 60% din firmele nou înființate în regiune se regăsesc</w:t>
            </w:r>
            <w:r w:rsidR="00E67941" w:rsidRPr="00E6197B">
              <w:rPr>
                <w:rFonts w:ascii="Times New Roman" w:hAnsi="Times New Roman" w:cs="Times New Roman"/>
              </w:rPr>
              <w:t xml:space="preserve"> de asemenea</w:t>
            </w:r>
            <w:r w:rsidRPr="00E6197B">
              <w:rPr>
                <w:rFonts w:ascii="Times New Roman" w:hAnsi="Times New Roman" w:cs="Times New Roman"/>
              </w:rPr>
              <w:t xml:space="preserve"> în mediul urban.</w:t>
            </w:r>
            <w:r w:rsidR="00E67941" w:rsidRPr="00E6197B">
              <w:rPr>
                <w:rFonts w:ascii="Times New Roman" w:hAnsi="Times New Roman" w:cs="Times New Roman"/>
              </w:rPr>
              <w:t xml:space="preserve"> Densitatea firmelor în mediul urban (40,59 firme / 1000 loc în 2018) este superioară valorii regionale (30,28 firme / 1000 loc în 2018). </w:t>
            </w:r>
          </w:p>
          <w:p w14:paraId="51D95BA6" w14:textId="5477E05D" w:rsidR="009F65FF" w:rsidRPr="008C5F1C" w:rsidRDefault="00ED6FB1" w:rsidP="00742B97">
            <w:pPr>
              <w:spacing w:after="120" w:line="240" w:lineRule="auto"/>
              <w:jc w:val="both"/>
              <w:rPr>
                <w:rFonts w:ascii="Times New Roman" w:hAnsi="Times New Roman" w:cs="Times New Roman"/>
              </w:rPr>
            </w:pPr>
            <w:r w:rsidRPr="00E6197B">
              <w:rPr>
                <w:rFonts w:ascii="Times New Roman" w:hAnsi="Times New Roman" w:cs="Times New Roman"/>
              </w:rPr>
              <w:t>C</w:t>
            </w:r>
            <w:r w:rsidR="009F65FF" w:rsidRPr="00E6197B">
              <w:rPr>
                <w:rFonts w:ascii="Times New Roman" w:hAnsi="Times New Roman" w:cs="Times New Roman"/>
              </w:rPr>
              <w:t>ele mai mari aglomerări</w:t>
            </w:r>
            <w:r w:rsidRPr="00E6197B">
              <w:rPr>
                <w:rFonts w:ascii="Times New Roman" w:hAnsi="Times New Roman" w:cs="Times New Roman"/>
              </w:rPr>
              <w:t xml:space="preserve"> de firme se </w:t>
            </w:r>
            <w:r w:rsidR="009F65FF" w:rsidRPr="00E6197B">
              <w:rPr>
                <w:rFonts w:ascii="Times New Roman" w:hAnsi="Times New Roman" w:cs="Times New Roman"/>
              </w:rPr>
              <w:t>regăs</w:t>
            </w:r>
            <w:r w:rsidRPr="00E6197B">
              <w:rPr>
                <w:rFonts w:ascii="Times New Roman" w:hAnsi="Times New Roman" w:cs="Times New Roman"/>
              </w:rPr>
              <w:t>e</w:t>
            </w:r>
            <w:r w:rsidR="009F65FF" w:rsidRPr="00E6197B">
              <w:rPr>
                <w:rFonts w:ascii="Times New Roman" w:hAnsi="Times New Roman" w:cs="Times New Roman"/>
              </w:rPr>
              <w:t>s</w:t>
            </w:r>
            <w:r w:rsidRPr="00E6197B">
              <w:rPr>
                <w:rFonts w:ascii="Times New Roman" w:hAnsi="Times New Roman" w:cs="Times New Roman"/>
              </w:rPr>
              <w:t>c</w:t>
            </w:r>
            <w:r w:rsidR="009F65FF" w:rsidRPr="00E6197B">
              <w:rPr>
                <w:rFonts w:ascii="Times New Roman" w:hAnsi="Times New Roman" w:cs="Times New Roman"/>
              </w:rPr>
              <w:t xml:space="preserve"> în 2018 în Cluj-Napoca (67,36 firme/1000 loc), Oradea (49,74 firme/1000 loc), Bistrița (41,76 firme/1000 loc), peste media regională de 40,59 firme/1000 loc, urmate de Baia Mare (37,1 firme/1000 loc) și Zalău (36,89 firme/1000 loc). </w:t>
            </w:r>
            <w:r w:rsidR="00CA4001">
              <w:rPr>
                <w:rFonts w:ascii="Times New Roman" w:hAnsi="Times New Roman" w:cs="Times New Roman"/>
              </w:rPr>
              <w:t>Urmează</w:t>
            </w:r>
            <w:r w:rsidR="009F65FF" w:rsidRPr="008C5F1C">
              <w:rPr>
                <w:rFonts w:ascii="Times New Roman" w:hAnsi="Times New Roman" w:cs="Times New Roman"/>
              </w:rPr>
              <w:t xml:space="preserve"> orașe</w:t>
            </w:r>
            <w:r w:rsidR="00CA4001">
              <w:rPr>
                <w:rFonts w:ascii="Times New Roman" w:hAnsi="Times New Roman" w:cs="Times New Roman"/>
              </w:rPr>
              <w:t>le</w:t>
            </w:r>
            <w:r w:rsidR="009F65FF" w:rsidRPr="008C5F1C">
              <w:rPr>
                <w:rFonts w:ascii="Times New Roman" w:hAnsi="Times New Roman" w:cs="Times New Roman"/>
              </w:rPr>
              <w:t xml:space="preserve"> medii din apropierea acestora și/sau aflate în proximitatea granițelor cu Ungaria și Ucraina: Beiuș (35,71 firme/1000 loc), Huedin (35,44 firme/1000 loc), Dej (35,41 firme/1000 loc), Satu Mare (34,07 firme/1000 loc), Aleșd (31,76 firme/1000 loc). De remarcat este și poziționarea orașelor medii din jurul municipiilor Cluj-Napoca și Oradea (ex. Beiuș, Dej) peste Satu Mare, municipiu reședință de județ. </w:t>
            </w:r>
          </w:p>
          <w:p w14:paraId="1F0AFFA7" w14:textId="77777777" w:rsidR="009F65FF" w:rsidRPr="008C5F1C" w:rsidRDefault="009F65FF" w:rsidP="00742B97">
            <w:pPr>
              <w:spacing w:after="120" w:line="240" w:lineRule="auto"/>
              <w:contextualSpacing/>
              <w:rPr>
                <w:rFonts w:ascii="Times New Roman" w:hAnsi="Times New Roman" w:cs="Times New Roman"/>
              </w:rPr>
            </w:pPr>
            <w:r w:rsidRPr="008C5F1C">
              <w:rPr>
                <w:rFonts w:ascii="Times New Roman" w:hAnsi="Times New Roman" w:cs="Times New Roman"/>
              </w:rPr>
              <w:t xml:space="preserve">În plan teritorial, situația la nivelul orașelor și municipiilor se prezintă astfel: </w:t>
            </w:r>
          </w:p>
          <w:p w14:paraId="03FE5B80" w14:textId="77777777" w:rsidR="009F65FF" w:rsidRPr="008C5F1C" w:rsidRDefault="009F65FF" w:rsidP="00742B97">
            <w:pPr>
              <w:pStyle w:val="ListParagraph"/>
              <w:numPr>
                <w:ilvl w:val="0"/>
                <w:numId w:val="73"/>
              </w:numPr>
              <w:spacing w:before="0" w:line="240" w:lineRule="auto"/>
              <w:jc w:val="both"/>
              <w:rPr>
                <w:sz w:val="22"/>
                <w:lang w:val="ro-RO"/>
              </w:rPr>
            </w:pPr>
            <w:r w:rsidRPr="008C5F1C">
              <w:rPr>
                <w:sz w:val="22"/>
                <w:lang w:val="ro-RO"/>
              </w:rPr>
              <w:t>Municipiile reședință de județ sunt cele mai atractive pentru companiile mari, cele mai multe regăsindu-se în Cluj-Napoca (63 de companii), Oradea (25), Baia Mare (13) și Satu Mare (10).</w:t>
            </w:r>
          </w:p>
          <w:p w14:paraId="5008E8F5" w14:textId="77777777" w:rsidR="009F65FF" w:rsidRPr="008C5F1C" w:rsidRDefault="009F65FF" w:rsidP="00742B97">
            <w:pPr>
              <w:pStyle w:val="ListParagraph"/>
              <w:numPr>
                <w:ilvl w:val="0"/>
                <w:numId w:val="73"/>
              </w:numPr>
              <w:spacing w:before="0" w:line="240" w:lineRule="auto"/>
              <w:jc w:val="both"/>
              <w:rPr>
                <w:sz w:val="22"/>
                <w:lang w:val="ro-RO"/>
              </w:rPr>
            </w:pPr>
            <w:r w:rsidRPr="008C5F1C">
              <w:rPr>
                <w:sz w:val="22"/>
                <w:lang w:val="ro-RO"/>
              </w:rPr>
              <w:t xml:space="preserve">Orașele mici și afectate de depopulare și migrație externă au o economie locală bazată pe microîntreprinderi, cum este cazul în Dragomirești, Cavnic, Șomcuta Mare sau </w:t>
            </w:r>
            <w:proofErr w:type="spellStart"/>
            <w:r w:rsidRPr="008C5F1C">
              <w:rPr>
                <w:sz w:val="22"/>
                <w:lang w:val="ro-RO"/>
              </w:rPr>
              <w:t>Săcueni</w:t>
            </w:r>
            <w:proofErr w:type="spellEnd"/>
            <w:r w:rsidRPr="008C5F1C">
              <w:rPr>
                <w:sz w:val="22"/>
                <w:lang w:val="ro-RO"/>
              </w:rPr>
              <w:t xml:space="preserve">. În aceste orașe nu își desfășoară activitatea nicio companie mare. </w:t>
            </w:r>
          </w:p>
          <w:p w14:paraId="00DDE656" w14:textId="77777777" w:rsidR="009F65FF" w:rsidRPr="008C5F1C" w:rsidRDefault="009F65FF" w:rsidP="00742B97">
            <w:pPr>
              <w:pStyle w:val="ListParagraph"/>
              <w:numPr>
                <w:ilvl w:val="0"/>
                <w:numId w:val="73"/>
              </w:numPr>
              <w:spacing w:before="0" w:line="240" w:lineRule="auto"/>
              <w:jc w:val="both"/>
              <w:rPr>
                <w:sz w:val="22"/>
                <w:lang w:val="ro-RO"/>
              </w:rPr>
            </w:pPr>
            <w:r w:rsidRPr="008C5F1C">
              <w:rPr>
                <w:sz w:val="22"/>
                <w:lang w:val="ro-RO"/>
              </w:rPr>
              <w:t>Orașele cele mai antreprenoriale și atractive pentru tineri concentrează de asemenea un număr mare de microîntreprinderi (Cluj-Napoca, Bistrița, Dej, Oradea, Turda)</w:t>
            </w:r>
          </w:p>
          <w:p w14:paraId="3A958393" w14:textId="1BF45C89" w:rsidR="00844DF0" w:rsidRPr="00E6197B" w:rsidRDefault="00844DF0" w:rsidP="00742B97">
            <w:pPr>
              <w:spacing w:after="120" w:line="240" w:lineRule="auto"/>
              <w:jc w:val="both"/>
              <w:rPr>
                <w:rFonts w:ascii="Times New Roman" w:hAnsi="Times New Roman" w:cs="Times New Roman"/>
              </w:rPr>
            </w:pPr>
            <w:bookmarkStart w:id="12" w:name="_Toc505078917"/>
            <w:bookmarkStart w:id="13" w:name="_Toc505079286"/>
            <w:bookmarkStart w:id="14" w:name="_Toc505090412"/>
            <w:bookmarkStart w:id="15" w:name="_Toc505093658"/>
            <w:bookmarkStart w:id="16" w:name="_Toc505151109"/>
            <w:bookmarkStart w:id="17" w:name="_Toc505155654"/>
            <w:bookmarkStart w:id="18" w:name="_Toc505157261"/>
            <w:bookmarkStart w:id="19" w:name="_Toc505157320"/>
            <w:bookmarkStart w:id="20" w:name="_Toc505157402"/>
            <w:bookmarkStart w:id="21" w:name="_Toc505157440"/>
            <w:bookmarkStart w:id="22" w:name="_Toc505157522"/>
            <w:bookmarkStart w:id="23" w:name="_Toc505157609"/>
            <w:bookmarkStart w:id="24" w:name="_Toc505157695"/>
            <w:bookmarkStart w:id="25" w:name="_Toc505157846"/>
            <w:bookmarkStart w:id="26" w:name="_Toc505157877"/>
            <w:bookmarkStart w:id="27" w:name="_Toc505157910"/>
            <w:bookmarkStart w:id="28" w:name="_Toc505160014"/>
            <w:bookmarkStart w:id="29" w:name="_Toc505160453"/>
            <w:bookmarkStart w:id="30" w:name="_Toc505160513"/>
            <w:bookmarkStart w:id="31" w:name="_Toc505160558"/>
            <w:bookmarkStart w:id="32" w:name="_Toc505160641"/>
            <w:bookmarkStart w:id="33" w:name="_Toc505161624"/>
            <w:bookmarkStart w:id="34" w:name="_Toc505161668"/>
            <w:bookmarkStart w:id="35" w:name="_Toc505161732"/>
            <w:bookmarkStart w:id="36" w:name="_Toc505161925"/>
            <w:bookmarkStart w:id="37" w:name="_Toc505162164"/>
            <w:bookmarkStart w:id="38" w:name="_Toc505162224"/>
            <w:bookmarkStart w:id="39" w:name="_Toc505162468"/>
            <w:bookmarkStart w:id="40" w:name="_Toc505163346"/>
            <w:bookmarkStart w:id="41" w:name="_Toc505169685"/>
            <w:bookmarkStart w:id="42" w:name="_Toc505169709"/>
            <w:bookmarkStart w:id="43" w:name="_Toc505170842"/>
            <w:bookmarkStart w:id="44" w:name="_Toc505170865"/>
            <w:bookmarkStart w:id="45" w:name="_Toc505170930"/>
            <w:bookmarkStart w:id="46" w:name="_Toc505171006"/>
            <w:bookmarkStart w:id="47" w:name="_Toc505171087"/>
            <w:bookmarkStart w:id="48" w:name="_Toc505171752"/>
            <w:bookmarkStart w:id="49" w:name="_Toc505175588"/>
            <w:bookmarkStart w:id="50" w:name="_Toc505178777"/>
            <w:bookmarkStart w:id="51" w:name="_Toc505178886"/>
            <w:bookmarkStart w:id="52" w:name="_Toc505180141"/>
            <w:bookmarkStart w:id="53" w:name="_Toc505180236"/>
            <w:bookmarkStart w:id="54" w:name="_Toc505180294"/>
            <w:bookmarkStart w:id="55" w:name="_Toc505180338"/>
            <w:bookmarkStart w:id="56" w:name="_Toc505268145"/>
            <w:bookmarkStart w:id="57" w:name="_Toc506392538"/>
            <w:bookmarkStart w:id="58" w:name="_Toc506446652"/>
            <w:bookmarkStart w:id="59" w:name="_Toc506551912"/>
            <w:bookmarkStart w:id="60" w:name="_Toc506677009"/>
            <w:bookmarkStart w:id="61" w:name="_Toc506677299"/>
            <w:bookmarkStart w:id="62" w:name="_Toc506769402"/>
            <w:bookmarkStart w:id="63" w:name="_Toc506806610"/>
            <w:bookmarkStart w:id="64" w:name="_Toc506813571"/>
            <w:bookmarkStart w:id="65" w:name="_Toc506815387"/>
            <w:bookmarkStart w:id="66" w:name="_Toc506822694"/>
            <w:bookmarkStart w:id="67" w:name="_Toc506822734"/>
            <w:bookmarkStart w:id="68" w:name="_Toc506822758"/>
            <w:bookmarkStart w:id="69" w:name="_Toc506822817"/>
            <w:bookmarkStart w:id="70" w:name="_Toc506879810"/>
            <w:bookmarkStart w:id="71" w:name="_Toc506915956"/>
            <w:bookmarkStart w:id="72" w:name="_Toc506919586"/>
            <w:bookmarkStart w:id="73" w:name="_Toc506919606"/>
            <w:bookmarkStart w:id="74" w:name="_Toc506919686"/>
            <w:bookmarkStart w:id="75" w:name="_Toc507052977"/>
            <w:bookmarkStart w:id="76" w:name="_Toc507053065"/>
            <w:bookmarkStart w:id="77" w:name="_Toc507060391"/>
            <w:bookmarkStart w:id="78" w:name="_Toc507080961"/>
            <w:bookmarkStart w:id="79" w:name="_Toc507164209"/>
            <w:bookmarkStart w:id="80" w:name="_Toc507356320"/>
            <w:bookmarkStart w:id="81" w:name="_Toc507360003"/>
            <w:bookmarkStart w:id="82" w:name="_Toc507593680"/>
            <w:bookmarkStart w:id="83" w:name="_Toc507670621"/>
            <w:bookmarkStart w:id="84" w:name="_Toc507670909"/>
            <w:bookmarkStart w:id="85" w:name="_Toc508024619"/>
            <w:bookmarkStart w:id="86" w:name="_Toc516824428"/>
            <w:bookmarkStart w:id="87" w:name="_Toc516826498"/>
            <w:bookmarkStart w:id="88" w:name="_Toc516827196"/>
            <w:bookmarkStart w:id="89" w:name="_Toc516827455"/>
            <w:bookmarkStart w:id="90" w:name="_Toc516827550"/>
            <w:bookmarkStart w:id="91" w:name="_Toc516828125"/>
            <w:bookmarkStart w:id="92" w:name="_Toc518633502"/>
            <w:bookmarkStart w:id="93" w:name="_MON_1534942583"/>
            <w:bookmarkStart w:id="94" w:name="_MON_1534941351"/>
            <w:bookmarkStart w:id="95" w:name="_MON_1534941440"/>
            <w:bookmarkStart w:id="96" w:name="_MON_1534941497"/>
            <w:bookmarkStart w:id="97" w:name="_MON_1534941523"/>
            <w:bookmarkStart w:id="98" w:name="_MON_1534941632"/>
            <w:bookmarkStart w:id="99" w:name="_MON_1534941661"/>
            <w:bookmarkStart w:id="100" w:name="_MON_1534941671"/>
            <w:bookmarkStart w:id="101" w:name="_MON_1534941703"/>
            <w:bookmarkStart w:id="102" w:name="_MON_1534941917"/>
            <w:bookmarkStart w:id="103" w:name="_MON_1534941930"/>
            <w:bookmarkStart w:id="104" w:name="_Toc479669901"/>
            <w:bookmarkStart w:id="105" w:name="_Toc518472451"/>
            <w:bookmarkStart w:id="106" w:name="_Toc518478355"/>
            <w:bookmarkStart w:id="107" w:name="_Toc518478547"/>
            <w:bookmarkStart w:id="108" w:name="_Toc518478592"/>
            <w:bookmarkStart w:id="109" w:name="_Toc518472452"/>
            <w:bookmarkStart w:id="110" w:name="_Toc518478356"/>
            <w:bookmarkStart w:id="111" w:name="_Toc518478548"/>
            <w:bookmarkStart w:id="112" w:name="_Toc518478593"/>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E6197B">
              <w:rPr>
                <w:rFonts w:ascii="Times New Roman" w:hAnsi="Times New Roman" w:cs="Times New Roman"/>
              </w:rPr>
              <w:t>Cea mai mare capacitate antreprenorială se întâlnește în orașele mari și în cele cu o localizare geografică oportună din perspectiva accesibilității sau a accesului la piețe mai mari</w:t>
            </w:r>
            <w:r w:rsidR="002A6989" w:rsidRPr="00E6197B">
              <w:rPr>
                <w:rFonts w:ascii="Times New Roman" w:hAnsi="Times New Roman" w:cs="Times New Roman"/>
              </w:rPr>
              <w:t>.</w:t>
            </w:r>
            <w:r w:rsidR="002A6989" w:rsidRPr="00E6197B">
              <w:rPr>
                <w:rFonts w:ascii="Times New Roman" w:hAnsi="Times New Roman" w:cs="Times New Roman"/>
                <w:i/>
                <w:iCs/>
              </w:rPr>
              <w:t xml:space="preserve"> </w:t>
            </w:r>
            <w:r w:rsidR="002A6989" w:rsidRPr="00E6197B">
              <w:rPr>
                <w:rFonts w:ascii="Times New Roman" w:hAnsi="Times New Roman" w:cs="Times New Roman"/>
              </w:rPr>
              <w:t xml:space="preserve">Capacitatea antreprenorială, definită ca număr de întreprinderi noi la 1000 de locuitori, a avut o evoluție pozitivă după 2014, în timp ce sporul natural al întreprinderilor (firme noi minus firme închise, raportat la totalul firmelor active și înmulțit cu 1000) s-a redus ușor. </w:t>
            </w:r>
            <w:r w:rsidRPr="00E6197B">
              <w:rPr>
                <w:rFonts w:ascii="Times New Roman" w:hAnsi="Times New Roman" w:cs="Times New Roman"/>
              </w:rPr>
              <w:t>Dintre municipiile reședință de județ, regăsim Cluj-Napoca și Oradea pe primele două poziții, urmate de o serie de orașe medii din apropierea acestora: Beiuș, Dej, Gherla, Salonta. Aceste municipii înregistrează și valori însemnate ale sporului natural, indicând o capacitate crescută de supraviețuire a companiilor nou înființate, precum și existența unui mediu adecvat dezvoltării economice. Baia Mare și Oradea sunt singurele municipii din top 10 care au o valoare mai redusă decât media regională de 51</w:t>
            </w:r>
            <w:r w:rsidRPr="00E6197B">
              <w:rPr>
                <w:rFonts w:ascii="Times New Roman" w:eastAsia="Times New Roman" w:hAnsi="Times New Roman" w:cs="Times New Roman"/>
                <w:lang w:eastAsia="en-GB"/>
              </w:rPr>
              <w:t>‰</w:t>
            </w:r>
            <w:r w:rsidRPr="00E6197B">
              <w:rPr>
                <w:rFonts w:ascii="Times New Roman" w:hAnsi="Times New Roman" w:cs="Times New Roman"/>
              </w:rPr>
              <w:t xml:space="preserve">, însă investițiile recente în infrastructura de sprijin a afacerilor poate avea un impact pozitiv important asupra creșterii valorii acestui indicator. </w:t>
            </w:r>
          </w:p>
          <w:p w14:paraId="338AA0E2" w14:textId="6936853A" w:rsidR="00076758" w:rsidRPr="00E6197B" w:rsidRDefault="00844DF0" w:rsidP="00742B97">
            <w:pPr>
              <w:spacing w:after="120" w:line="240" w:lineRule="auto"/>
              <w:jc w:val="both"/>
              <w:rPr>
                <w:rFonts w:ascii="Times New Roman" w:hAnsi="Times New Roman" w:cs="Times New Roman"/>
              </w:rPr>
            </w:pPr>
            <w:r w:rsidRPr="00E6197B">
              <w:rPr>
                <w:rFonts w:ascii="Times New Roman" w:hAnsi="Times New Roman" w:cs="Times New Roman"/>
              </w:rPr>
              <w:lastRenderedPageBreak/>
              <w:t>Infrastructura de sprijin a afacerilor este bine dezvoltată și în creștere la nivelul rețelei urbane regionale, însă concentrarea teritorială indică poziția dominantă a municipiilor Cluj-Napoca și Oradea</w:t>
            </w:r>
            <w:r w:rsidRPr="00E6197B">
              <w:rPr>
                <w:rFonts w:ascii="Times New Roman" w:hAnsi="Times New Roman" w:cs="Times New Roman"/>
                <w:i/>
                <w:iCs/>
              </w:rPr>
              <w:t xml:space="preserve">. </w:t>
            </w:r>
            <w:r w:rsidR="00076758" w:rsidRPr="00E6197B">
              <w:rPr>
                <w:rFonts w:ascii="Times New Roman" w:hAnsi="Times New Roman" w:cs="Times New Roman"/>
              </w:rPr>
              <w:t xml:space="preserve">Cele 21 parcuri industriale </w:t>
            </w:r>
            <w:r w:rsidR="00ED6FB1" w:rsidRPr="00E6197B">
              <w:rPr>
                <w:rFonts w:ascii="Times New Roman" w:hAnsi="Times New Roman" w:cs="Times New Roman"/>
              </w:rPr>
              <w:t xml:space="preserve">din regiune </w:t>
            </w:r>
            <w:r w:rsidR="00076758" w:rsidRPr="00E6197B">
              <w:rPr>
                <w:rFonts w:ascii="Times New Roman" w:hAnsi="Times New Roman" w:cs="Times New Roman"/>
              </w:rPr>
              <w:t xml:space="preserve">se întind pe o suprafață totală de peste 764,57 hectare și găzduiesc 178 de operatori economici. Dintre acestea la mijlocul anului 2019 un număr de cinci erau încă în curs de amenajare fără a găzdui firme la momentul respectiv. Din cele 21 parcuri industriale menționate, 6 se află în mediul rural, restul fiind situate în mediul urban. Alături de parcurile industriale acreditate funcționează o serie de zone industriale sau structuri similare, precum Zona Industrială REIF – Câmpia Turzii, Parcul </w:t>
            </w:r>
            <w:proofErr w:type="spellStart"/>
            <w:r w:rsidR="00076758" w:rsidRPr="00E6197B">
              <w:rPr>
                <w:rFonts w:ascii="Times New Roman" w:hAnsi="Times New Roman" w:cs="Times New Roman"/>
              </w:rPr>
              <w:t>Nervia</w:t>
            </w:r>
            <w:proofErr w:type="spellEnd"/>
            <w:r w:rsidR="00076758" w:rsidRPr="00E6197B">
              <w:rPr>
                <w:rFonts w:ascii="Times New Roman" w:hAnsi="Times New Roman" w:cs="Times New Roman"/>
              </w:rPr>
              <w:t xml:space="preserve"> – Apahida, Parcul Industrial Sud Satu-Mare, care au în general aceleași caracteristici și îndeplinesc aceleași funcții.  </w:t>
            </w:r>
          </w:p>
          <w:p w14:paraId="7A0C71FA" w14:textId="2294DD7F" w:rsidR="00ED6FB1" w:rsidRPr="008C5F1C" w:rsidRDefault="00ED6FB1" w:rsidP="00742B97">
            <w:pPr>
              <w:spacing w:after="120" w:line="240" w:lineRule="auto"/>
              <w:jc w:val="both"/>
              <w:rPr>
                <w:rFonts w:ascii="Times New Roman" w:hAnsi="Times New Roman" w:cs="Times New Roman"/>
              </w:rPr>
            </w:pPr>
            <w:r w:rsidRPr="008C5F1C">
              <w:rPr>
                <w:rFonts w:ascii="Times New Roman" w:hAnsi="Times New Roman" w:cs="Times New Roman"/>
              </w:rPr>
              <w:t xml:space="preserve">O vulnerabilitate a ecosistemului antreprenorial și de inovare o reprezintă însă lipsa unui parc științific și tehnologic, care să impulsioneze transferul tehnologic și parteneriatele dintre mediul privat și cel academic, în scopul creșterii </w:t>
            </w:r>
            <w:proofErr w:type="spellStart"/>
            <w:r w:rsidRPr="008C5F1C">
              <w:rPr>
                <w:rFonts w:ascii="Times New Roman" w:hAnsi="Times New Roman" w:cs="Times New Roman"/>
              </w:rPr>
              <w:t>antreprenoriatului</w:t>
            </w:r>
            <w:proofErr w:type="spellEnd"/>
            <w:r w:rsidRPr="008C5F1C">
              <w:rPr>
                <w:rFonts w:ascii="Times New Roman" w:hAnsi="Times New Roman" w:cs="Times New Roman"/>
              </w:rPr>
              <w:t xml:space="preserve"> în domenii cu valoare adăugată mare, conform Strategiei de Specializare Inteligentă a regiunii.</w:t>
            </w:r>
          </w:p>
          <w:p w14:paraId="5BB8D09F" w14:textId="5A3CBF6E" w:rsidR="00ED6FB1" w:rsidRPr="008C5F1C" w:rsidRDefault="00F729F2" w:rsidP="00742B97">
            <w:pPr>
              <w:spacing w:after="120" w:line="240" w:lineRule="auto"/>
              <w:jc w:val="both"/>
              <w:rPr>
                <w:rFonts w:ascii="Times New Roman" w:hAnsi="Times New Roman" w:cs="Times New Roman"/>
              </w:rPr>
            </w:pPr>
            <w:r w:rsidRPr="008C5F1C">
              <w:rPr>
                <w:rFonts w:ascii="Times New Roman" w:hAnsi="Times New Roman" w:cs="Times New Roman"/>
              </w:rPr>
              <w:t xml:space="preserve">În ultimii ani, </w:t>
            </w:r>
            <w:r w:rsidR="00ED6FB1" w:rsidRPr="008C5F1C">
              <w:rPr>
                <w:rFonts w:ascii="Times New Roman" w:hAnsi="Times New Roman" w:cs="Times New Roman"/>
              </w:rPr>
              <w:t>s-a înregistrat o</w:t>
            </w:r>
            <w:r w:rsidRPr="008C5F1C">
              <w:rPr>
                <w:rFonts w:ascii="Times New Roman" w:hAnsi="Times New Roman" w:cs="Times New Roman"/>
              </w:rPr>
              <w:t xml:space="preserve"> creștere </w:t>
            </w:r>
            <w:r w:rsidR="00ED6FB1" w:rsidRPr="008C5F1C">
              <w:rPr>
                <w:rFonts w:ascii="Times New Roman" w:hAnsi="Times New Roman" w:cs="Times New Roman"/>
              </w:rPr>
              <w:t>importată</w:t>
            </w:r>
            <w:r w:rsidRPr="008C5F1C">
              <w:rPr>
                <w:rFonts w:ascii="Times New Roman" w:hAnsi="Times New Roman" w:cs="Times New Roman"/>
              </w:rPr>
              <w:t xml:space="preserve"> a numărului structurilor de nouă generație, cum ar fi birourile de </w:t>
            </w:r>
            <w:proofErr w:type="spellStart"/>
            <w:r w:rsidRPr="008C5F1C">
              <w:rPr>
                <w:rFonts w:ascii="Times New Roman" w:hAnsi="Times New Roman" w:cs="Times New Roman"/>
              </w:rPr>
              <w:t>co-working</w:t>
            </w:r>
            <w:proofErr w:type="spellEnd"/>
            <w:r w:rsidRPr="008C5F1C">
              <w:rPr>
                <w:rFonts w:ascii="Times New Roman" w:hAnsi="Times New Roman" w:cs="Times New Roman"/>
              </w:rPr>
              <w:t xml:space="preserve">, diferite hub-uri de afaceri, acceleratoare, </w:t>
            </w:r>
            <w:proofErr w:type="spellStart"/>
            <w:r w:rsidRPr="008C5F1C">
              <w:rPr>
                <w:rFonts w:ascii="Times New Roman" w:hAnsi="Times New Roman" w:cs="Times New Roman"/>
              </w:rPr>
              <w:t>șamd</w:t>
            </w:r>
            <w:proofErr w:type="spellEnd"/>
            <w:r w:rsidRPr="008C5F1C">
              <w:rPr>
                <w:rFonts w:ascii="Times New Roman" w:hAnsi="Times New Roman" w:cs="Times New Roman"/>
              </w:rPr>
              <w:t>. Majoritatea acestora se regăsesc în județul Cluj, susțin colaborarea în general dintre companii noi și start-</w:t>
            </w:r>
            <w:proofErr w:type="spellStart"/>
            <w:r w:rsidRPr="008C5F1C">
              <w:rPr>
                <w:rFonts w:ascii="Times New Roman" w:hAnsi="Times New Roman" w:cs="Times New Roman"/>
              </w:rPr>
              <w:t>up</w:t>
            </w:r>
            <w:proofErr w:type="spellEnd"/>
            <w:r w:rsidRPr="008C5F1C">
              <w:rPr>
                <w:rFonts w:ascii="Times New Roman" w:hAnsi="Times New Roman" w:cs="Times New Roman"/>
              </w:rPr>
              <w:t xml:space="preserve">-uri și  - chiar dacă nu se adresează unui sector anume – au o componentă importantă de IT. Cu toate acestea în ultima perioadă au început să apară și structuri cu accent pe domenii specifice. </w:t>
            </w:r>
            <w:r w:rsidR="00ED6FB1" w:rsidRPr="008C5F1C">
              <w:rPr>
                <w:rFonts w:ascii="Times New Roman" w:hAnsi="Times New Roman" w:cs="Times New Roman"/>
              </w:rPr>
              <w:t>Alte spații se găsesc în Oradea și Zalău.</w:t>
            </w:r>
          </w:p>
          <w:p w14:paraId="1E0620A0" w14:textId="5FE2E015" w:rsidR="00653571" w:rsidRPr="008C5F1C" w:rsidRDefault="005065EA" w:rsidP="00742B97">
            <w:pPr>
              <w:spacing w:after="120" w:line="240" w:lineRule="auto"/>
              <w:jc w:val="both"/>
              <w:rPr>
                <w:rFonts w:ascii="Times New Roman" w:hAnsi="Times New Roman" w:cs="Times New Roman"/>
              </w:rPr>
            </w:pPr>
            <w:r w:rsidRPr="008C5F1C">
              <w:rPr>
                <w:rFonts w:ascii="Times New Roman" w:hAnsi="Times New Roman" w:cs="Times New Roman"/>
              </w:rPr>
              <w:t>Densitatea IMM-urilor în regiune este de 31,21 IMM-uri/mia locuitori, peste media națională</w:t>
            </w:r>
            <w:r w:rsidR="004B617F">
              <w:rPr>
                <w:rFonts w:ascii="Times New Roman" w:hAnsi="Times New Roman" w:cs="Times New Roman"/>
              </w:rPr>
              <w:t xml:space="preserve">, </w:t>
            </w:r>
            <w:r w:rsidRPr="008C5F1C">
              <w:rPr>
                <w:rFonts w:ascii="Times New Roman" w:hAnsi="Times New Roman" w:cs="Times New Roman"/>
              </w:rPr>
              <w:t>dar la mare distanță față de București-Ilfov (59,59) și de media UE-28 (47,83).</w:t>
            </w:r>
            <w:r w:rsidR="00280F5D">
              <w:rPr>
                <w:rFonts w:ascii="Times New Roman" w:hAnsi="Times New Roman" w:cs="Times New Roman"/>
              </w:rPr>
              <w:t xml:space="preserve"> </w:t>
            </w:r>
            <w:r w:rsidR="004B617F">
              <w:rPr>
                <w:rFonts w:ascii="Times New Roman" w:hAnsi="Times New Roman" w:cs="Times New Roman"/>
              </w:rPr>
              <w:t>P</w:t>
            </w:r>
            <w:r w:rsidR="00653571" w:rsidRPr="008C5F1C">
              <w:rPr>
                <w:rFonts w:ascii="Times New Roman" w:hAnsi="Times New Roman" w:cs="Times New Roman"/>
              </w:rPr>
              <w:t>rincipalele provoc</w:t>
            </w:r>
            <w:r w:rsidR="00BA7827" w:rsidRPr="008C5F1C">
              <w:rPr>
                <w:rFonts w:ascii="Times New Roman" w:hAnsi="Times New Roman" w:cs="Times New Roman"/>
              </w:rPr>
              <w:t>ă</w:t>
            </w:r>
            <w:r w:rsidR="00653571" w:rsidRPr="008C5F1C">
              <w:rPr>
                <w:rFonts w:ascii="Times New Roman" w:hAnsi="Times New Roman" w:cs="Times New Roman"/>
              </w:rPr>
              <w:t xml:space="preserve">ri la nivelul </w:t>
            </w:r>
            <w:r w:rsidR="004B617F">
              <w:rPr>
                <w:rFonts w:ascii="Times New Roman" w:hAnsi="Times New Roman" w:cs="Times New Roman"/>
              </w:rPr>
              <w:t>regiunii</w:t>
            </w:r>
            <w:r w:rsidR="00653571" w:rsidRPr="008C5F1C">
              <w:rPr>
                <w:rFonts w:ascii="Times New Roman" w:hAnsi="Times New Roman" w:cs="Times New Roman"/>
              </w:rPr>
              <w:t xml:space="preserve"> r</w:t>
            </w:r>
            <w:r w:rsidR="00BA7827" w:rsidRPr="008C5F1C">
              <w:rPr>
                <w:rFonts w:ascii="Times New Roman" w:hAnsi="Times New Roman" w:cs="Times New Roman"/>
              </w:rPr>
              <w:t>ă</w:t>
            </w:r>
            <w:r w:rsidR="00653571" w:rsidRPr="008C5F1C">
              <w:rPr>
                <w:rFonts w:ascii="Times New Roman" w:hAnsi="Times New Roman" w:cs="Times New Roman"/>
              </w:rPr>
              <w:t>mân cele legate de densitatea sc</w:t>
            </w:r>
            <w:r w:rsidR="00BA7827" w:rsidRPr="008C5F1C">
              <w:rPr>
                <w:rFonts w:ascii="Times New Roman" w:hAnsi="Times New Roman" w:cs="Times New Roman"/>
              </w:rPr>
              <w:t>ă</w:t>
            </w:r>
            <w:r w:rsidR="00653571" w:rsidRPr="008C5F1C">
              <w:rPr>
                <w:rFonts w:ascii="Times New Roman" w:hAnsi="Times New Roman" w:cs="Times New Roman"/>
              </w:rPr>
              <w:t>zut</w:t>
            </w:r>
            <w:r w:rsidR="00BA7827" w:rsidRPr="008C5F1C">
              <w:rPr>
                <w:rFonts w:ascii="Times New Roman" w:hAnsi="Times New Roman" w:cs="Times New Roman"/>
              </w:rPr>
              <w:t>ă</w:t>
            </w:r>
            <w:r w:rsidR="00653571" w:rsidRPr="008C5F1C">
              <w:rPr>
                <w:rFonts w:ascii="Times New Roman" w:hAnsi="Times New Roman" w:cs="Times New Roman"/>
              </w:rPr>
              <w:t xml:space="preserve"> a IMM-urilor, de nivelul redus al productivit</w:t>
            </w:r>
            <w:r w:rsidR="00BA7827" w:rsidRPr="008C5F1C">
              <w:rPr>
                <w:rFonts w:ascii="Times New Roman" w:hAnsi="Times New Roman" w:cs="Times New Roman"/>
              </w:rPr>
              <w:t>ă</w:t>
            </w:r>
            <w:r w:rsidR="00E22FF2" w:rsidRPr="008C5F1C">
              <w:rPr>
                <w:rFonts w:ascii="Times New Roman" w:hAnsi="Times New Roman" w:cs="Times New Roman"/>
              </w:rPr>
              <w:t>ț</w:t>
            </w:r>
            <w:r w:rsidR="00653571" w:rsidRPr="008C5F1C">
              <w:rPr>
                <w:rFonts w:ascii="Times New Roman" w:hAnsi="Times New Roman" w:cs="Times New Roman"/>
              </w:rPr>
              <w:t xml:space="preserve">ii </w:t>
            </w:r>
            <w:r w:rsidR="00106240" w:rsidRPr="008C5F1C">
              <w:rPr>
                <w:rFonts w:ascii="Times New Roman" w:hAnsi="Times New Roman" w:cs="Times New Roman"/>
              </w:rPr>
              <w:t>ș</w:t>
            </w:r>
            <w:r w:rsidR="00653571" w:rsidRPr="008C5F1C">
              <w:rPr>
                <w:rFonts w:ascii="Times New Roman" w:hAnsi="Times New Roman" w:cs="Times New Roman"/>
              </w:rPr>
              <w:t>i prevalen</w:t>
            </w:r>
            <w:r w:rsidR="00E22FF2" w:rsidRPr="008C5F1C">
              <w:rPr>
                <w:rFonts w:ascii="Times New Roman" w:hAnsi="Times New Roman" w:cs="Times New Roman"/>
              </w:rPr>
              <w:t>ț</w:t>
            </w:r>
            <w:r w:rsidR="00653571" w:rsidRPr="008C5F1C">
              <w:rPr>
                <w:rFonts w:ascii="Times New Roman" w:hAnsi="Times New Roman" w:cs="Times New Roman"/>
              </w:rPr>
              <w:t>a activit</w:t>
            </w:r>
            <w:r w:rsidR="00BA7827" w:rsidRPr="008C5F1C">
              <w:rPr>
                <w:rFonts w:ascii="Times New Roman" w:hAnsi="Times New Roman" w:cs="Times New Roman"/>
              </w:rPr>
              <w:t>ă</w:t>
            </w:r>
            <w:r w:rsidR="00E22FF2" w:rsidRPr="008C5F1C">
              <w:rPr>
                <w:rFonts w:ascii="Times New Roman" w:hAnsi="Times New Roman" w:cs="Times New Roman"/>
              </w:rPr>
              <w:t>ț</w:t>
            </w:r>
            <w:r w:rsidR="00653571" w:rsidRPr="008C5F1C">
              <w:rPr>
                <w:rFonts w:ascii="Times New Roman" w:hAnsi="Times New Roman" w:cs="Times New Roman"/>
              </w:rPr>
              <w:t>ilor cu intensitate tehnologic</w:t>
            </w:r>
            <w:r w:rsidR="00BA7827" w:rsidRPr="008C5F1C">
              <w:rPr>
                <w:rFonts w:ascii="Times New Roman" w:hAnsi="Times New Roman" w:cs="Times New Roman"/>
              </w:rPr>
              <w:t>ă</w:t>
            </w:r>
            <w:r w:rsidR="00653571" w:rsidRPr="008C5F1C">
              <w:rPr>
                <w:rFonts w:ascii="Times New Roman" w:hAnsi="Times New Roman" w:cs="Times New Roman"/>
              </w:rPr>
              <w:t xml:space="preserve"> sc</w:t>
            </w:r>
            <w:r w:rsidR="00BA7827" w:rsidRPr="008C5F1C">
              <w:rPr>
                <w:rFonts w:ascii="Times New Roman" w:hAnsi="Times New Roman" w:cs="Times New Roman"/>
              </w:rPr>
              <w:t>ă</w:t>
            </w:r>
            <w:r w:rsidR="00653571" w:rsidRPr="008C5F1C">
              <w:rPr>
                <w:rFonts w:ascii="Times New Roman" w:hAnsi="Times New Roman" w:cs="Times New Roman"/>
              </w:rPr>
              <w:t>zut</w:t>
            </w:r>
            <w:r w:rsidR="00BA7827" w:rsidRPr="008C5F1C">
              <w:rPr>
                <w:rFonts w:ascii="Times New Roman" w:hAnsi="Times New Roman" w:cs="Times New Roman"/>
              </w:rPr>
              <w:t>ă</w:t>
            </w:r>
            <w:r w:rsidR="00653571" w:rsidRPr="008C5F1C">
              <w:rPr>
                <w:rFonts w:ascii="Times New Roman" w:hAnsi="Times New Roman" w:cs="Times New Roman"/>
              </w:rPr>
              <w:t xml:space="preserve"> </w:t>
            </w:r>
            <w:r w:rsidR="00106240" w:rsidRPr="008C5F1C">
              <w:rPr>
                <w:rFonts w:ascii="Times New Roman" w:hAnsi="Times New Roman" w:cs="Times New Roman"/>
              </w:rPr>
              <w:t>ș</w:t>
            </w:r>
            <w:r w:rsidR="00653571" w:rsidRPr="008C5F1C">
              <w:rPr>
                <w:rFonts w:ascii="Times New Roman" w:hAnsi="Times New Roman" w:cs="Times New Roman"/>
              </w:rPr>
              <w:t>i slab intensive în cunoa</w:t>
            </w:r>
            <w:r w:rsidR="00106240" w:rsidRPr="008C5F1C">
              <w:rPr>
                <w:rFonts w:ascii="Times New Roman" w:hAnsi="Times New Roman" w:cs="Times New Roman"/>
              </w:rPr>
              <w:t>ș</w:t>
            </w:r>
            <w:r w:rsidR="00653571" w:rsidRPr="008C5F1C">
              <w:rPr>
                <w:rFonts w:ascii="Times New Roman" w:hAnsi="Times New Roman" w:cs="Times New Roman"/>
              </w:rPr>
              <w:t>tere, care determin</w:t>
            </w:r>
            <w:r w:rsidR="00BA7827" w:rsidRPr="008C5F1C">
              <w:rPr>
                <w:rFonts w:ascii="Times New Roman" w:hAnsi="Times New Roman" w:cs="Times New Roman"/>
              </w:rPr>
              <w:t>ă</w:t>
            </w:r>
            <w:r w:rsidR="00653571" w:rsidRPr="008C5F1C">
              <w:rPr>
                <w:rFonts w:ascii="Times New Roman" w:hAnsi="Times New Roman" w:cs="Times New Roman"/>
              </w:rPr>
              <w:t xml:space="preserve"> riscuri ridicate în ceea ce prive</w:t>
            </w:r>
            <w:r w:rsidR="00106240" w:rsidRPr="008C5F1C">
              <w:rPr>
                <w:rFonts w:ascii="Times New Roman" w:hAnsi="Times New Roman" w:cs="Times New Roman"/>
              </w:rPr>
              <w:t>ș</w:t>
            </w:r>
            <w:r w:rsidR="00653571" w:rsidRPr="008C5F1C">
              <w:rPr>
                <w:rFonts w:ascii="Times New Roman" w:hAnsi="Times New Roman" w:cs="Times New Roman"/>
              </w:rPr>
              <w:t>te rezilien</w:t>
            </w:r>
            <w:r w:rsidR="00E22FF2" w:rsidRPr="008C5F1C">
              <w:rPr>
                <w:rFonts w:ascii="Times New Roman" w:hAnsi="Times New Roman" w:cs="Times New Roman"/>
              </w:rPr>
              <w:t>ț</w:t>
            </w:r>
            <w:r w:rsidR="00653571" w:rsidRPr="008C5F1C">
              <w:rPr>
                <w:rFonts w:ascii="Times New Roman" w:hAnsi="Times New Roman" w:cs="Times New Roman"/>
              </w:rPr>
              <w:t xml:space="preserve">a </w:t>
            </w:r>
            <w:r w:rsidR="00106240" w:rsidRPr="008C5F1C">
              <w:rPr>
                <w:rFonts w:ascii="Times New Roman" w:hAnsi="Times New Roman" w:cs="Times New Roman"/>
              </w:rPr>
              <w:t>ș</w:t>
            </w:r>
            <w:r w:rsidR="00653571" w:rsidRPr="008C5F1C">
              <w:rPr>
                <w:rFonts w:ascii="Times New Roman" w:hAnsi="Times New Roman" w:cs="Times New Roman"/>
              </w:rPr>
              <w:t xml:space="preserve">i capacitatea de adaptare pe termen mediu </w:t>
            </w:r>
            <w:r w:rsidR="00106240" w:rsidRPr="008C5F1C">
              <w:rPr>
                <w:rFonts w:ascii="Times New Roman" w:hAnsi="Times New Roman" w:cs="Times New Roman"/>
              </w:rPr>
              <w:t>ș</w:t>
            </w:r>
            <w:r w:rsidR="00653571" w:rsidRPr="008C5F1C">
              <w:rPr>
                <w:rFonts w:ascii="Times New Roman" w:hAnsi="Times New Roman" w:cs="Times New Roman"/>
              </w:rPr>
              <w:t>i lung. Acestea sunt accentuate de accesul dificil la resurse, în special for</w:t>
            </w:r>
            <w:r w:rsidR="00E22FF2" w:rsidRPr="008C5F1C">
              <w:rPr>
                <w:rFonts w:ascii="Times New Roman" w:hAnsi="Times New Roman" w:cs="Times New Roman"/>
              </w:rPr>
              <w:t>ț</w:t>
            </w:r>
            <w:r w:rsidR="00BA7827" w:rsidRPr="008C5F1C">
              <w:rPr>
                <w:rFonts w:ascii="Times New Roman" w:hAnsi="Times New Roman" w:cs="Times New Roman"/>
              </w:rPr>
              <w:t>ă</w:t>
            </w:r>
            <w:r w:rsidR="00653571" w:rsidRPr="008C5F1C">
              <w:rPr>
                <w:rFonts w:ascii="Times New Roman" w:hAnsi="Times New Roman" w:cs="Times New Roman"/>
              </w:rPr>
              <w:t xml:space="preserve"> de munc</w:t>
            </w:r>
            <w:r w:rsidR="00BA7827" w:rsidRPr="008C5F1C">
              <w:rPr>
                <w:rFonts w:ascii="Times New Roman" w:hAnsi="Times New Roman" w:cs="Times New Roman"/>
              </w:rPr>
              <w:t>ă</w:t>
            </w:r>
            <w:r w:rsidR="00653571" w:rsidRPr="008C5F1C">
              <w:rPr>
                <w:rFonts w:ascii="Times New Roman" w:hAnsi="Times New Roman" w:cs="Times New Roman"/>
              </w:rPr>
              <w:t xml:space="preserve">, </w:t>
            </w:r>
            <w:r w:rsidR="00106240" w:rsidRPr="008C5F1C">
              <w:rPr>
                <w:rFonts w:ascii="Times New Roman" w:hAnsi="Times New Roman" w:cs="Times New Roman"/>
              </w:rPr>
              <w:t>ș</w:t>
            </w:r>
            <w:r w:rsidR="00653571" w:rsidRPr="008C5F1C">
              <w:rPr>
                <w:rFonts w:ascii="Times New Roman" w:hAnsi="Times New Roman" w:cs="Times New Roman"/>
              </w:rPr>
              <w:t>i de disparit</w:t>
            </w:r>
            <w:r w:rsidR="00BA7827" w:rsidRPr="008C5F1C">
              <w:rPr>
                <w:rFonts w:ascii="Times New Roman" w:hAnsi="Times New Roman" w:cs="Times New Roman"/>
              </w:rPr>
              <w:t>ă</w:t>
            </w:r>
            <w:r w:rsidR="00E22FF2" w:rsidRPr="008C5F1C">
              <w:rPr>
                <w:rFonts w:ascii="Times New Roman" w:hAnsi="Times New Roman" w:cs="Times New Roman"/>
              </w:rPr>
              <w:t>ț</w:t>
            </w:r>
            <w:r w:rsidR="00653571" w:rsidRPr="008C5F1C">
              <w:rPr>
                <w:rFonts w:ascii="Times New Roman" w:hAnsi="Times New Roman" w:cs="Times New Roman"/>
              </w:rPr>
              <w:t>ile intra-regionale semnificative, care îngreuneaz</w:t>
            </w:r>
            <w:r w:rsidR="00BA7827" w:rsidRPr="008C5F1C">
              <w:rPr>
                <w:rFonts w:ascii="Times New Roman" w:hAnsi="Times New Roman" w:cs="Times New Roman"/>
              </w:rPr>
              <w:t>ă</w:t>
            </w:r>
            <w:r w:rsidR="00653571" w:rsidRPr="008C5F1C">
              <w:rPr>
                <w:rFonts w:ascii="Times New Roman" w:hAnsi="Times New Roman" w:cs="Times New Roman"/>
              </w:rPr>
              <w:t xml:space="preserve"> eforturile de cre</w:t>
            </w:r>
            <w:r w:rsidR="00106240" w:rsidRPr="008C5F1C">
              <w:rPr>
                <w:rFonts w:ascii="Times New Roman" w:hAnsi="Times New Roman" w:cs="Times New Roman"/>
              </w:rPr>
              <w:t>ș</w:t>
            </w:r>
            <w:r w:rsidR="00653571" w:rsidRPr="008C5F1C">
              <w:rPr>
                <w:rFonts w:ascii="Times New Roman" w:hAnsi="Times New Roman" w:cs="Times New Roman"/>
              </w:rPr>
              <w:t>tere a competitivit</w:t>
            </w:r>
            <w:r w:rsidR="00BA7827" w:rsidRPr="008C5F1C">
              <w:rPr>
                <w:rFonts w:ascii="Times New Roman" w:hAnsi="Times New Roman" w:cs="Times New Roman"/>
              </w:rPr>
              <w:t>ă</w:t>
            </w:r>
            <w:r w:rsidR="00E22FF2" w:rsidRPr="008C5F1C">
              <w:rPr>
                <w:rFonts w:ascii="Times New Roman" w:hAnsi="Times New Roman" w:cs="Times New Roman"/>
              </w:rPr>
              <w:t>ț</w:t>
            </w:r>
            <w:r w:rsidR="00653571" w:rsidRPr="008C5F1C">
              <w:rPr>
                <w:rFonts w:ascii="Times New Roman" w:hAnsi="Times New Roman" w:cs="Times New Roman"/>
              </w:rPr>
              <w:t xml:space="preserve">ii </w:t>
            </w:r>
            <w:r w:rsidR="00106240" w:rsidRPr="008C5F1C">
              <w:rPr>
                <w:rFonts w:ascii="Times New Roman" w:hAnsi="Times New Roman" w:cs="Times New Roman"/>
              </w:rPr>
              <w:t>ș</w:t>
            </w:r>
            <w:r w:rsidR="00653571" w:rsidRPr="008C5F1C">
              <w:rPr>
                <w:rFonts w:ascii="Times New Roman" w:hAnsi="Times New Roman" w:cs="Times New Roman"/>
              </w:rPr>
              <w:t>i valorificare a poten</w:t>
            </w:r>
            <w:r w:rsidR="00E22FF2" w:rsidRPr="008C5F1C">
              <w:rPr>
                <w:rFonts w:ascii="Times New Roman" w:hAnsi="Times New Roman" w:cs="Times New Roman"/>
              </w:rPr>
              <w:t>ț</w:t>
            </w:r>
            <w:r w:rsidR="00653571" w:rsidRPr="008C5F1C">
              <w:rPr>
                <w:rFonts w:ascii="Times New Roman" w:hAnsi="Times New Roman" w:cs="Times New Roman"/>
              </w:rPr>
              <w:t>ialului existent.</w:t>
            </w:r>
          </w:p>
          <w:p w14:paraId="64B8BA67" w14:textId="00B822A9" w:rsidR="00371BEB" w:rsidRPr="008C5F1C" w:rsidRDefault="00371BEB" w:rsidP="00742B97">
            <w:pPr>
              <w:spacing w:after="120" w:line="240" w:lineRule="auto"/>
              <w:jc w:val="both"/>
              <w:rPr>
                <w:rFonts w:ascii="Times New Roman" w:hAnsi="Times New Roman" w:cs="Times New Roman"/>
              </w:rPr>
            </w:pPr>
            <w:r w:rsidRPr="008C5F1C">
              <w:rPr>
                <w:rFonts w:ascii="Times New Roman" w:hAnsi="Times New Roman" w:cs="Times New Roman"/>
              </w:rPr>
              <w:t>Transformarea digital</w:t>
            </w:r>
            <w:r w:rsidR="00BA7827" w:rsidRPr="008C5F1C">
              <w:rPr>
                <w:rFonts w:ascii="Times New Roman" w:hAnsi="Times New Roman" w:cs="Times New Roman"/>
              </w:rPr>
              <w:t>ă</w:t>
            </w:r>
            <w:r w:rsidRPr="008C5F1C">
              <w:rPr>
                <w:rFonts w:ascii="Times New Roman" w:hAnsi="Times New Roman" w:cs="Times New Roman"/>
              </w:rPr>
              <w:t xml:space="preserve"> este îns</w:t>
            </w:r>
            <w:r w:rsidR="00BA7827" w:rsidRPr="008C5F1C">
              <w:rPr>
                <w:rFonts w:ascii="Times New Roman" w:hAnsi="Times New Roman" w:cs="Times New Roman"/>
              </w:rPr>
              <w:t>ă</w:t>
            </w:r>
            <w:r w:rsidRPr="008C5F1C">
              <w:rPr>
                <w:rFonts w:ascii="Times New Roman" w:hAnsi="Times New Roman" w:cs="Times New Roman"/>
              </w:rPr>
              <w:t xml:space="preserve"> esen</w:t>
            </w:r>
            <w:r w:rsidR="00E22FF2" w:rsidRPr="008C5F1C">
              <w:rPr>
                <w:rFonts w:ascii="Times New Roman" w:hAnsi="Times New Roman" w:cs="Times New Roman"/>
              </w:rPr>
              <w:t>ț</w:t>
            </w:r>
            <w:r w:rsidRPr="008C5F1C">
              <w:rPr>
                <w:rFonts w:ascii="Times New Roman" w:hAnsi="Times New Roman" w:cs="Times New Roman"/>
              </w:rPr>
              <w:t>ial</w:t>
            </w:r>
            <w:r w:rsidR="00BA7827" w:rsidRPr="008C5F1C">
              <w:rPr>
                <w:rFonts w:ascii="Times New Roman" w:hAnsi="Times New Roman" w:cs="Times New Roman"/>
              </w:rPr>
              <w:t>ă</w:t>
            </w:r>
            <w:r w:rsidRPr="008C5F1C">
              <w:rPr>
                <w:rFonts w:ascii="Times New Roman" w:hAnsi="Times New Roman" w:cs="Times New Roman"/>
              </w:rPr>
              <w:t xml:space="preserve"> pentru asigurarea sustenabilit</w:t>
            </w:r>
            <w:r w:rsidR="00BA7827" w:rsidRPr="008C5F1C">
              <w:rPr>
                <w:rFonts w:ascii="Times New Roman" w:hAnsi="Times New Roman" w:cs="Times New Roman"/>
              </w:rPr>
              <w:t>ă</w:t>
            </w:r>
            <w:r w:rsidR="00E22FF2" w:rsidRPr="008C5F1C">
              <w:rPr>
                <w:rFonts w:ascii="Times New Roman" w:hAnsi="Times New Roman" w:cs="Times New Roman"/>
              </w:rPr>
              <w:t>ț</w:t>
            </w:r>
            <w:r w:rsidRPr="008C5F1C">
              <w:rPr>
                <w:rFonts w:ascii="Times New Roman" w:hAnsi="Times New Roman" w:cs="Times New Roman"/>
              </w:rPr>
              <w:t xml:space="preserve">ii </w:t>
            </w:r>
            <w:r w:rsidR="00106240" w:rsidRPr="008C5F1C">
              <w:rPr>
                <w:rFonts w:ascii="Times New Roman" w:hAnsi="Times New Roman" w:cs="Times New Roman"/>
              </w:rPr>
              <w:t>ș</w:t>
            </w:r>
            <w:r w:rsidRPr="008C5F1C">
              <w:rPr>
                <w:rFonts w:ascii="Times New Roman" w:hAnsi="Times New Roman" w:cs="Times New Roman"/>
              </w:rPr>
              <w:t>i chiar a supravie</w:t>
            </w:r>
            <w:r w:rsidR="00E22FF2" w:rsidRPr="008C5F1C">
              <w:rPr>
                <w:rFonts w:ascii="Times New Roman" w:hAnsi="Times New Roman" w:cs="Times New Roman"/>
              </w:rPr>
              <w:t>ț</w:t>
            </w:r>
            <w:r w:rsidRPr="008C5F1C">
              <w:rPr>
                <w:rFonts w:ascii="Times New Roman" w:hAnsi="Times New Roman" w:cs="Times New Roman"/>
              </w:rPr>
              <w:t>uirii firmelor. Distan</w:t>
            </w:r>
            <w:r w:rsidR="00E22FF2" w:rsidRPr="008C5F1C">
              <w:rPr>
                <w:rFonts w:ascii="Times New Roman" w:hAnsi="Times New Roman" w:cs="Times New Roman"/>
              </w:rPr>
              <w:t>ț</w:t>
            </w:r>
            <w:r w:rsidRPr="008C5F1C">
              <w:rPr>
                <w:rFonts w:ascii="Times New Roman" w:hAnsi="Times New Roman" w:cs="Times New Roman"/>
              </w:rPr>
              <w:t>area social</w:t>
            </w:r>
            <w:r w:rsidR="00BA7827" w:rsidRPr="008C5F1C">
              <w:rPr>
                <w:rFonts w:ascii="Times New Roman" w:hAnsi="Times New Roman" w:cs="Times New Roman"/>
              </w:rPr>
              <w:t>ă</w:t>
            </w:r>
            <w:r w:rsidRPr="008C5F1C">
              <w:rPr>
                <w:rFonts w:ascii="Times New Roman" w:hAnsi="Times New Roman" w:cs="Times New Roman"/>
              </w:rPr>
              <w:t xml:space="preserve"> impus</w:t>
            </w:r>
            <w:r w:rsidR="00BA7827" w:rsidRPr="008C5F1C">
              <w:rPr>
                <w:rFonts w:ascii="Times New Roman" w:hAnsi="Times New Roman" w:cs="Times New Roman"/>
              </w:rPr>
              <w:t>ă</w:t>
            </w:r>
            <w:r w:rsidRPr="008C5F1C">
              <w:rPr>
                <w:rFonts w:ascii="Times New Roman" w:hAnsi="Times New Roman" w:cs="Times New Roman"/>
              </w:rPr>
              <w:t xml:space="preserve"> în contextul crizei COVID a ar</w:t>
            </w:r>
            <w:r w:rsidR="00BA7827" w:rsidRPr="008C5F1C">
              <w:rPr>
                <w:rFonts w:ascii="Times New Roman" w:hAnsi="Times New Roman" w:cs="Times New Roman"/>
              </w:rPr>
              <w:t>ă</w:t>
            </w:r>
            <w:r w:rsidRPr="008C5F1C">
              <w:rPr>
                <w:rFonts w:ascii="Times New Roman" w:hAnsi="Times New Roman" w:cs="Times New Roman"/>
              </w:rPr>
              <w:t xml:space="preserve">tat cât de important este mediul digital, chiar </w:t>
            </w:r>
            <w:r w:rsidR="00106240" w:rsidRPr="008C5F1C">
              <w:rPr>
                <w:rFonts w:ascii="Times New Roman" w:hAnsi="Times New Roman" w:cs="Times New Roman"/>
              </w:rPr>
              <w:t>ș</w:t>
            </w:r>
            <w:r w:rsidRPr="008C5F1C">
              <w:rPr>
                <w:rFonts w:ascii="Times New Roman" w:hAnsi="Times New Roman" w:cs="Times New Roman"/>
              </w:rPr>
              <w:t>i activit</w:t>
            </w:r>
            <w:r w:rsidR="00BA7827" w:rsidRPr="008C5F1C">
              <w:rPr>
                <w:rFonts w:ascii="Times New Roman" w:hAnsi="Times New Roman" w:cs="Times New Roman"/>
              </w:rPr>
              <w:t>ă</w:t>
            </w:r>
            <w:r w:rsidR="00E22FF2" w:rsidRPr="008C5F1C">
              <w:rPr>
                <w:rFonts w:ascii="Times New Roman" w:hAnsi="Times New Roman" w:cs="Times New Roman"/>
              </w:rPr>
              <w:t>ț</w:t>
            </w:r>
            <w:r w:rsidRPr="008C5F1C">
              <w:rPr>
                <w:rFonts w:ascii="Times New Roman" w:hAnsi="Times New Roman" w:cs="Times New Roman"/>
              </w:rPr>
              <w:t>i tradi</w:t>
            </w:r>
            <w:r w:rsidR="00E22FF2" w:rsidRPr="008C5F1C">
              <w:rPr>
                <w:rFonts w:ascii="Times New Roman" w:hAnsi="Times New Roman" w:cs="Times New Roman"/>
              </w:rPr>
              <w:t>ț</w:t>
            </w:r>
            <w:r w:rsidRPr="008C5F1C">
              <w:rPr>
                <w:rFonts w:ascii="Times New Roman" w:hAnsi="Times New Roman" w:cs="Times New Roman"/>
              </w:rPr>
              <w:t>ionale, iar în viitor este de a</w:t>
            </w:r>
            <w:r w:rsidR="00106240" w:rsidRPr="008C5F1C">
              <w:rPr>
                <w:rFonts w:ascii="Times New Roman" w:hAnsi="Times New Roman" w:cs="Times New Roman"/>
              </w:rPr>
              <w:t>ș</w:t>
            </w:r>
            <w:r w:rsidRPr="008C5F1C">
              <w:rPr>
                <w:rFonts w:ascii="Times New Roman" w:hAnsi="Times New Roman" w:cs="Times New Roman"/>
              </w:rPr>
              <w:t>teptat ca tendin</w:t>
            </w:r>
            <w:r w:rsidR="00E22FF2" w:rsidRPr="008C5F1C">
              <w:rPr>
                <w:rFonts w:ascii="Times New Roman" w:hAnsi="Times New Roman" w:cs="Times New Roman"/>
              </w:rPr>
              <w:t>ț</w:t>
            </w:r>
            <w:r w:rsidRPr="008C5F1C">
              <w:rPr>
                <w:rFonts w:ascii="Times New Roman" w:hAnsi="Times New Roman" w:cs="Times New Roman"/>
              </w:rPr>
              <w:t>ele actuale s</w:t>
            </w:r>
            <w:r w:rsidR="00BA7827" w:rsidRPr="008C5F1C">
              <w:rPr>
                <w:rFonts w:ascii="Times New Roman" w:hAnsi="Times New Roman" w:cs="Times New Roman"/>
              </w:rPr>
              <w:t>ă</w:t>
            </w:r>
            <w:r w:rsidRPr="008C5F1C">
              <w:rPr>
                <w:rFonts w:ascii="Times New Roman" w:hAnsi="Times New Roman" w:cs="Times New Roman"/>
              </w:rPr>
              <w:t xml:space="preserve"> se accentueze.</w:t>
            </w:r>
          </w:p>
          <w:p w14:paraId="5A2E2731" w14:textId="4247785E" w:rsidR="00466E84" w:rsidRPr="008C5F1C" w:rsidRDefault="00466E84" w:rsidP="00742B97">
            <w:pPr>
              <w:spacing w:after="120" w:line="240" w:lineRule="auto"/>
              <w:jc w:val="both"/>
              <w:rPr>
                <w:rFonts w:ascii="Times New Roman" w:hAnsi="Times New Roman" w:cs="Times New Roman"/>
              </w:rPr>
            </w:pPr>
            <w:r w:rsidRPr="008C5F1C">
              <w:rPr>
                <w:rFonts w:ascii="Times New Roman" w:hAnsi="Times New Roman" w:cs="Times New Roman"/>
              </w:rPr>
              <w:t xml:space="preserve">Între acțiunile necesare pentru sprijinirea </w:t>
            </w:r>
            <w:r w:rsidR="003236FD" w:rsidRPr="008C5F1C">
              <w:rPr>
                <w:rFonts w:ascii="Times New Roman" w:hAnsi="Times New Roman" w:cs="Times New Roman"/>
              </w:rPr>
              <w:t>dezvoltării IMM-urilor</w:t>
            </w:r>
            <w:r w:rsidRPr="008C5F1C">
              <w:rPr>
                <w:rFonts w:ascii="Times New Roman" w:hAnsi="Times New Roman" w:cs="Times New Roman"/>
              </w:rPr>
              <w:t xml:space="preserve"> au fost identificate:</w:t>
            </w:r>
          </w:p>
          <w:p w14:paraId="0A2F13BD" w14:textId="2154C277" w:rsidR="00F964FD" w:rsidRPr="008C5F1C" w:rsidRDefault="00E6197B" w:rsidP="00742B97">
            <w:pPr>
              <w:pStyle w:val="ListParagraph"/>
              <w:numPr>
                <w:ilvl w:val="0"/>
                <w:numId w:val="75"/>
              </w:numPr>
              <w:spacing w:before="0" w:line="240" w:lineRule="auto"/>
              <w:jc w:val="both"/>
              <w:rPr>
                <w:sz w:val="22"/>
                <w:lang w:val="ro-RO"/>
              </w:rPr>
            </w:pPr>
            <w:r>
              <w:rPr>
                <w:sz w:val="22"/>
                <w:lang w:val="ro-RO"/>
              </w:rPr>
              <w:t>c</w:t>
            </w:r>
            <w:r w:rsidR="00466E84" w:rsidRPr="008C5F1C">
              <w:rPr>
                <w:sz w:val="22"/>
                <w:lang w:val="ro-RO"/>
              </w:rPr>
              <w:t xml:space="preserve">reșterea investițiilor dedicate susținerii </w:t>
            </w:r>
            <w:proofErr w:type="spellStart"/>
            <w:r w:rsidR="00466E84" w:rsidRPr="008C5F1C">
              <w:rPr>
                <w:sz w:val="22"/>
                <w:lang w:val="ro-RO"/>
              </w:rPr>
              <w:t>antreprenoriatului</w:t>
            </w:r>
            <w:proofErr w:type="spellEnd"/>
          </w:p>
          <w:p w14:paraId="26DC4E4A" w14:textId="7DB68313" w:rsidR="00F964FD" w:rsidRPr="008C5F1C" w:rsidRDefault="00E6197B" w:rsidP="00742B97">
            <w:pPr>
              <w:pStyle w:val="ListParagraph"/>
              <w:numPr>
                <w:ilvl w:val="0"/>
                <w:numId w:val="75"/>
              </w:numPr>
              <w:spacing w:before="0" w:line="240" w:lineRule="auto"/>
              <w:jc w:val="both"/>
              <w:rPr>
                <w:sz w:val="22"/>
                <w:lang w:val="ro-RO"/>
              </w:rPr>
            </w:pPr>
            <w:r>
              <w:rPr>
                <w:sz w:val="22"/>
                <w:lang w:val="ro-RO"/>
              </w:rPr>
              <w:t>d</w:t>
            </w:r>
            <w:r w:rsidR="00466E84" w:rsidRPr="008C5F1C">
              <w:rPr>
                <w:sz w:val="22"/>
                <w:lang w:val="ro-RO"/>
              </w:rPr>
              <w:t>ezvoltarea serviciilor și infrastructurilor care facilitează inovație în companii</w:t>
            </w:r>
          </w:p>
          <w:p w14:paraId="7F14FBDC" w14:textId="77047078" w:rsidR="00F964FD" w:rsidRPr="008C5F1C" w:rsidRDefault="00E6197B" w:rsidP="00742B97">
            <w:pPr>
              <w:pStyle w:val="ListParagraph"/>
              <w:numPr>
                <w:ilvl w:val="0"/>
                <w:numId w:val="75"/>
              </w:numPr>
              <w:spacing w:before="0" w:line="240" w:lineRule="auto"/>
              <w:jc w:val="both"/>
              <w:rPr>
                <w:sz w:val="22"/>
                <w:lang w:val="ro-RO"/>
              </w:rPr>
            </w:pPr>
            <w:r>
              <w:rPr>
                <w:sz w:val="22"/>
                <w:lang w:val="ro-RO"/>
              </w:rPr>
              <w:t>e</w:t>
            </w:r>
            <w:r w:rsidR="00466E84" w:rsidRPr="008C5F1C">
              <w:rPr>
                <w:sz w:val="22"/>
                <w:lang w:val="ro-RO"/>
              </w:rPr>
              <w:t>xtinderea către piețele globale cu acces la noile tehnologii</w:t>
            </w:r>
          </w:p>
          <w:p w14:paraId="73F7B544" w14:textId="58DA5745" w:rsidR="00F964FD" w:rsidRPr="008C5F1C" w:rsidRDefault="00E6197B" w:rsidP="00742B97">
            <w:pPr>
              <w:pStyle w:val="ListParagraph"/>
              <w:numPr>
                <w:ilvl w:val="0"/>
                <w:numId w:val="75"/>
              </w:numPr>
              <w:spacing w:before="0" w:line="240" w:lineRule="auto"/>
              <w:jc w:val="both"/>
              <w:rPr>
                <w:sz w:val="22"/>
                <w:lang w:val="ro-RO"/>
              </w:rPr>
            </w:pPr>
            <w:r>
              <w:rPr>
                <w:sz w:val="22"/>
                <w:lang w:val="ro-RO"/>
              </w:rPr>
              <w:t>r</w:t>
            </w:r>
            <w:r w:rsidR="00466E84" w:rsidRPr="008C5F1C">
              <w:rPr>
                <w:sz w:val="22"/>
                <w:lang w:val="ro-RO"/>
              </w:rPr>
              <w:t xml:space="preserve">educerea lacunelor competitive prin digitalizare, </w:t>
            </w:r>
          </w:p>
          <w:p w14:paraId="37A27285" w14:textId="0003F4B0" w:rsidR="00466E84" w:rsidRPr="008C5F1C" w:rsidRDefault="00F964FD" w:rsidP="00742B97">
            <w:pPr>
              <w:pStyle w:val="ListParagraph"/>
              <w:numPr>
                <w:ilvl w:val="0"/>
                <w:numId w:val="75"/>
              </w:numPr>
              <w:spacing w:before="0" w:line="240" w:lineRule="auto"/>
              <w:jc w:val="both"/>
              <w:rPr>
                <w:sz w:val="22"/>
              </w:rPr>
            </w:pPr>
            <w:r w:rsidRPr="008C5F1C">
              <w:rPr>
                <w:sz w:val="22"/>
                <w:lang w:val="ro-RO"/>
              </w:rPr>
              <w:t>E</w:t>
            </w:r>
            <w:r w:rsidR="00466E84" w:rsidRPr="008C5F1C">
              <w:rPr>
                <w:sz w:val="22"/>
                <w:lang w:val="ro-RO"/>
              </w:rPr>
              <w:t>xploatarea potențialului în termeni de activități de cercetare și dezvoltare</w:t>
            </w:r>
            <w:r w:rsidRPr="008C5F1C">
              <w:rPr>
                <w:rStyle w:val="FootnoteReference"/>
                <w:sz w:val="22"/>
                <w:lang w:val="ro-RO"/>
              </w:rPr>
              <w:footnoteReference w:id="43"/>
            </w:r>
          </w:p>
          <w:p w14:paraId="6E102B7C" w14:textId="25205275" w:rsidR="00466E84" w:rsidRPr="008C5F1C" w:rsidRDefault="00CA4001" w:rsidP="00742B97">
            <w:pPr>
              <w:spacing w:after="120" w:line="240" w:lineRule="auto"/>
              <w:jc w:val="both"/>
              <w:rPr>
                <w:rFonts w:ascii="Times New Roman" w:hAnsi="Times New Roman" w:cs="Times New Roman"/>
              </w:rPr>
            </w:pPr>
            <w:r>
              <w:rPr>
                <w:rFonts w:ascii="Times New Roman" w:hAnsi="Times New Roman" w:cs="Times New Roman"/>
              </w:rPr>
              <w:t>Î</w:t>
            </w:r>
            <w:r w:rsidR="00466E84" w:rsidRPr="008C5F1C">
              <w:rPr>
                <w:rFonts w:ascii="Times New Roman" w:hAnsi="Times New Roman" w:cs="Times New Roman"/>
              </w:rPr>
              <w:t xml:space="preserve">n vederea creșterii ratei de supraviețuire, </w:t>
            </w:r>
            <w:r>
              <w:rPr>
                <w:rFonts w:ascii="Times New Roman" w:hAnsi="Times New Roman" w:cs="Times New Roman"/>
              </w:rPr>
              <w:t>este necesară</w:t>
            </w:r>
            <w:r w:rsidR="00466E84" w:rsidRPr="008C5F1C">
              <w:rPr>
                <w:rFonts w:ascii="Times New Roman" w:hAnsi="Times New Roman" w:cs="Times New Roman"/>
              </w:rPr>
              <w:t xml:space="preserve"> dezvoltarea unui ecosistem antreprenorial favorabil inovării și dezvoltarea serviciilor aferente infrastructurilor de sprijin a afacerilor (incubatoare, acceleratoare etc.).</w:t>
            </w:r>
          </w:p>
          <w:p w14:paraId="1DD3FE53" w14:textId="77777777" w:rsidR="00653571" w:rsidRPr="008C5F1C" w:rsidRDefault="00653571" w:rsidP="00742B97">
            <w:pPr>
              <w:spacing w:after="120" w:line="240" w:lineRule="auto"/>
              <w:jc w:val="both"/>
              <w:rPr>
                <w:rFonts w:ascii="Times New Roman" w:hAnsi="Times New Roman" w:cs="Times New Roman"/>
              </w:rPr>
            </w:pPr>
            <w:r w:rsidRPr="008C5F1C">
              <w:rPr>
                <w:rFonts w:ascii="Times New Roman" w:hAnsi="Times New Roman" w:cs="Times New Roman"/>
              </w:rPr>
              <w:t>Drept urmare, ac</w:t>
            </w:r>
            <w:r w:rsidR="00E22FF2" w:rsidRPr="008C5F1C">
              <w:rPr>
                <w:rFonts w:ascii="Times New Roman" w:hAnsi="Times New Roman" w:cs="Times New Roman"/>
              </w:rPr>
              <w:t>ț</w:t>
            </w:r>
            <w:r w:rsidRPr="008C5F1C">
              <w:rPr>
                <w:rFonts w:ascii="Times New Roman" w:hAnsi="Times New Roman" w:cs="Times New Roman"/>
              </w:rPr>
              <w:t>iunile sprijinite în cadrul acestui obiectiv specific au în vedere cre</w:t>
            </w:r>
            <w:r w:rsidR="00106240" w:rsidRPr="008C5F1C">
              <w:rPr>
                <w:rFonts w:ascii="Times New Roman" w:hAnsi="Times New Roman" w:cs="Times New Roman"/>
              </w:rPr>
              <w:t>ș</w:t>
            </w:r>
            <w:r w:rsidRPr="008C5F1C">
              <w:rPr>
                <w:rFonts w:ascii="Times New Roman" w:hAnsi="Times New Roman" w:cs="Times New Roman"/>
              </w:rPr>
              <w:t>terea num</w:t>
            </w:r>
            <w:r w:rsidR="00BA7827" w:rsidRPr="008C5F1C">
              <w:rPr>
                <w:rFonts w:ascii="Times New Roman" w:hAnsi="Times New Roman" w:cs="Times New Roman"/>
              </w:rPr>
              <w:t>ă</w:t>
            </w:r>
            <w:r w:rsidRPr="008C5F1C">
              <w:rPr>
                <w:rFonts w:ascii="Times New Roman" w:hAnsi="Times New Roman" w:cs="Times New Roman"/>
              </w:rPr>
              <w:t xml:space="preserve">rului de întreprinderi inovative în Regiunea de Dezvoltare Nord-Vest, inclusiv prin asigurarea accesului la tehnologii noi, alinierea la standardele Industriei 4.0 </w:t>
            </w:r>
            <w:r w:rsidR="00106240" w:rsidRPr="008C5F1C">
              <w:rPr>
                <w:rFonts w:ascii="Times New Roman" w:hAnsi="Times New Roman" w:cs="Times New Roman"/>
              </w:rPr>
              <w:t>ș</w:t>
            </w:r>
            <w:r w:rsidRPr="008C5F1C">
              <w:rPr>
                <w:rFonts w:ascii="Times New Roman" w:hAnsi="Times New Roman" w:cs="Times New Roman"/>
              </w:rPr>
              <w:t>i standardele economiei sustenabile, inclusiv economia circular</w:t>
            </w:r>
            <w:r w:rsidR="00BA7827" w:rsidRPr="008C5F1C">
              <w:rPr>
                <w:rFonts w:ascii="Times New Roman" w:hAnsi="Times New Roman" w:cs="Times New Roman"/>
              </w:rPr>
              <w:t>ă</w:t>
            </w:r>
            <w:r w:rsidRPr="008C5F1C">
              <w:rPr>
                <w:rFonts w:ascii="Times New Roman" w:hAnsi="Times New Roman" w:cs="Times New Roman"/>
              </w:rPr>
              <w:t>. Totodat</w:t>
            </w:r>
            <w:r w:rsidR="00BA7827" w:rsidRPr="008C5F1C">
              <w:rPr>
                <w:rFonts w:ascii="Times New Roman" w:hAnsi="Times New Roman" w:cs="Times New Roman"/>
              </w:rPr>
              <w:t>ă</w:t>
            </w:r>
            <w:r w:rsidRPr="008C5F1C">
              <w:rPr>
                <w:rFonts w:ascii="Times New Roman" w:hAnsi="Times New Roman" w:cs="Times New Roman"/>
              </w:rPr>
              <w:t>, se are în vedere cre</w:t>
            </w:r>
            <w:r w:rsidR="00106240" w:rsidRPr="008C5F1C">
              <w:rPr>
                <w:rFonts w:ascii="Times New Roman" w:hAnsi="Times New Roman" w:cs="Times New Roman"/>
              </w:rPr>
              <w:t>ș</w:t>
            </w:r>
            <w:r w:rsidRPr="008C5F1C">
              <w:rPr>
                <w:rFonts w:ascii="Times New Roman" w:hAnsi="Times New Roman" w:cs="Times New Roman"/>
              </w:rPr>
              <w:t>terea rezilien</w:t>
            </w:r>
            <w:r w:rsidR="00E22FF2" w:rsidRPr="008C5F1C">
              <w:rPr>
                <w:rFonts w:ascii="Times New Roman" w:hAnsi="Times New Roman" w:cs="Times New Roman"/>
              </w:rPr>
              <w:t>ț</w:t>
            </w:r>
            <w:r w:rsidRPr="008C5F1C">
              <w:rPr>
                <w:rFonts w:ascii="Times New Roman" w:hAnsi="Times New Roman" w:cs="Times New Roman"/>
              </w:rPr>
              <w:t xml:space="preserve">ei IMM-urilor pe termen mediu </w:t>
            </w:r>
            <w:r w:rsidR="00106240" w:rsidRPr="008C5F1C">
              <w:rPr>
                <w:rFonts w:ascii="Times New Roman" w:hAnsi="Times New Roman" w:cs="Times New Roman"/>
              </w:rPr>
              <w:t>ș</w:t>
            </w:r>
            <w:r w:rsidRPr="008C5F1C">
              <w:rPr>
                <w:rFonts w:ascii="Times New Roman" w:hAnsi="Times New Roman" w:cs="Times New Roman"/>
              </w:rPr>
              <w:t>i lung, sprijinirea acestora pentru a dep</w:t>
            </w:r>
            <w:r w:rsidR="00BA7827" w:rsidRPr="008C5F1C">
              <w:rPr>
                <w:rFonts w:ascii="Times New Roman" w:hAnsi="Times New Roman" w:cs="Times New Roman"/>
              </w:rPr>
              <w:t>ă</w:t>
            </w:r>
            <w:r w:rsidR="00106240" w:rsidRPr="008C5F1C">
              <w:rPr>
                <w:rFonts w:ascii="Times New Roman" w:hAnsi="Times New Roman" w:cs="Times New Roman"/>
              </w:rPr>
              <w:t>ș</w:t>
            </w:r>
            <w:r w:rsidRPr="008C5F1C">
              <w:rPr>
                <w:rFonts w:ascii="Times New Roman" w:hAnsi="Times New Roman" w:cs="Times New Roman"/>
              </w:rPr>
              <w:t xml:space="preserve">i efectele crizei COVID-19. </w:t>
            </w:r>
          </w:p>
          <w:p w14:paraId="68D0881F" w14:textId="77777777" w:rsidR="00653571" w:rsidRPr="008C5F1C" w:rsidRDefault="00653571" w:rsidP="00742B97">
            <w:pPr>
              <w:spacing w:after="120" w:line="240" w:lineRule="auto"/>
              <w:jc w:val="both"/>
              <w:rPr>
                <w:rFonts w:ascii="Times New Roman" w:hAnsi="Times New Roman" w:cs="Times New Roman"/>
              </w:rPr>
            </w:pPr>
            <w:r w:rsidRPr="008C5F1C">
              <w:rPr>
                <w:rFonts w:ascii="Times New Roman" w:hAnsi="Times New Roman" w:cs="Times New Roman"/>
                <w:b/>
                <w:bCs/>
              </w:rPr>
              <w:t xml:space="preserve">a) </w:t>
            </w:r>
            <w:r w:rsidR="00920FE5" w:rsidRPr="008C5F1C">
              <w:rPr>
                <w:rFonts w:ascii="Times New Roman" w:hAnsi="Times New Roman" w:cs="Times New Roman"/>
                <w:b/>
                <w:bCs/>
              </w:rPr>
              <w:t>Cre</w:t>
            </w:r>
            <w:r w:rsidR="00106240" w:rsidRPr="008C5F1C">
              <w:rPr>
                <w:rFonts w:ascii="Times New Roman" w:hAnsi="Times New Roman" w:cs="Times New Roman"/>
                <w:b/>
                <w:bCs/>
              </w:rPr>
              <w:t>ș</w:t>
            </w:r>
            <w:r w:rsidR="00920FE5" w:rsidRPr="008C5F1C">
              <w:rPr>
                <w:rFonts w:ascii="Times New Roman" w:hAnsi="Times New Roman" w:cs="Times New Roman"/>
                <w:b/>
                <w:bCs/>
              </w:rPr>
              <w:t>terea competitivit</w:t>
            </w:r>
            <w:r w:rsidR="00BA7827" w:rsidRPr="008C5F1C">
              <w:rPr>
                <w:rFonts w:ascii="Times New Roman" w:hAnsi="Times New Roman" w:cs="Times New Roman"/>
                <w:b/>
                <w:bCs/>
              </w:rPr>
              <w:t>ă</w:t>
            </w:r>
            <w:r w:rsidR="00E22FF2" w:rsidRPr="008C5F1C">
              <w:rPr>
                <w:rFonts w:ascii="Times New Roman" w:hAnsi="Times New Roman" w:cs="Times New Roman"/>
                <w:b/>
                <w:bCs/>
              </w:rPr>
              <w:t>ț</w:t>
            </w:r>
            <w:r w:rsidR="00920FE5" w:rsidRPr="008C5F1C">
              <w:rPr>
                <w:rFonts w:ascii="Times New Roman" w:hAnsi="Times New Roman" w:cs="Times New Roman"/>
                <w:b/>
                <w:bCs/>
              </w:rPr>
              <w:t>ii IMM-urilor prin echipamente, tehnologii, utilaje inovative</w:t>
            </w:r>
            <w:r w:rsidR="00890173" w:rsidRPr="008C5F1C">
              <w:rPr>
                <w:rFonts w:ascii="Times New Roman" w:hAnsi="Times New Roman" w:cs="Times New Roman"/>
                <w:b/>
                <w:bCs/>
              </w:rPr>
              <w:t>, inclusiv digitalizare</w:t>
            </w:r>
            <w:r w:rsidR="00505F9B" w:rsidRPr="008C5F1C">
              <w:rPr>
                <w:rFonts w:ascii="Times New Roman" w:hAnsi="Times New Roman" w:cs="Times New Roman"/>
              </w:rPr>
              <w:t>, prin:</w:t>
            </w:r>
          </w:p>
          <w:p w14:paraId="23030287" w14:textId="121ACEA0" w:rsidR="00653571" w:rsidRPr="008C5F1C" w:rsidRDefault="00653571" w:rsidP="00742B97">
            <w:pPr>
              <w:pStyle w:val="ListParagraph"/>
              <w:numPr>
                <w:ilvl w:val="0"/>
                <w:numId w:val="59"/>
              </w:numPr>
              <w:spacing w:before="0" w:line="240" w:lineRule="auto"/>
              <w:jc w:val="both"/>
              <w:rPr>
                <w:sz w:val="22"/>
                <w:lang w:val="ro-RO"/>
              </w:rPr>
            </w:pPr>
            <w:r w:rsidRPr="008C5F1C">
              <w:rPr>
                <w:sz w:val="22"/>
                <w:lang w:val="ro-RO"/>
              </w:rPr>
              <w:t>Noi tehnologii</w:t>
            </w:r>
            <w:r w:rsidR="00890173" w:rsidRPr="008C5F1C">
              <w:rPr>
                <w:sz w:val="22"/>
                <w:lang w:val="ro-RO"/>
              </w:rPr>
              <w:t xml:space="preserve"> în scopul cre</w:t>
            </w:r>
            <w:r w:rsidR="00106240" w:rsidRPr="008C5F1C">
              <w:rPr>
                <w:sz w:val="22"/>
                <w:lang w:val="ro-RO"/>
              </w:rPr>
              <w:t>ș</w:t>
            </w:r>
            <w:r w:rsidR="00890173" w:rsidRPr="008C5F1C">
              <w:rPr>
                <w:sz w:val="22"/>
                <w:lang w:val="ro-RO"/>
              </w:rPr>
              <w:t>terii productivit</w:t>
            </w:r>
            <w:r w:rsidR="00BA7827" w:rsidRPr="008C5F1C">
              <w:rPr>
                <w:sz w:val="22"/>
                <w:lang w:val="ro-RO"/>
              </w:rPr>
              <w:t>ă</w:t>
            </w:r>
            <w:r w:rsidR="00E22FF2" w:rsidRPr="008C5F1C">
              <w:rPr>
                <w:sz w:val="22"/>
                <w:lang w:val="ro-RO"/>
              </w:rPr>
              <w:t>ț</w:t>
            </w:r>
            <w:r w:rsidR="00890173" w:rsidRPr="008C5F1C">
              <w:rPr>
                <w:sz w:val="22"/>
                <w:lang w:val="ro-RO"/>
              </w:rPr>
              <w:t xml:space="preserve">ii  </w:t>
            </w:r>
            <w:r w:rsidRPr="008C5F1C">
              <w:rPr>
                <w:sz w:val="22"/>
                <w:lang w:val="ro-RO"/>
              </w:rPr>
              <w:t>(</w:t>
            </w:r>
            <w:proofErr w:type="spellStart"/>
            <w:r w:rsidRPr="008C5F1C">
              <w:rPr>
                <w:sz w:val="22"/>
                <w:lang w:val="ro-RO"/>
              </w:rPr>
              <w:t>IoT</w:t>
            </w:r>
            <w:proofErr w:type="spellEnd"/>
            <w:r w:rsidRPr="008C5F1C">
              <w:rPr>
                <w:sz w:val="22"/>
                <w:lang w:val="ro-RO"/>
              </w:rPr>
              <w:t>, automatizare, robotic</w:t>
            </w:r>
            <w:r w:rsidR="00BA7827" w:rsidRPr="008C5F1C">
              <w:rPr>
                <w:sz w:val="22"/>
                <w:lang w:val="ro-RO"/>
              </w:rPr>
              <w:t>ă</w:t>
            </w:r>
            <w:r w:rsidRPr="008C5F1C">
              <w:rPr>
                <w:sz w:val="22"/>
                <w:lang w:val="ro-RO"/>
              </w:rPr>
              <w:t>, inteligen</w:t>
            </w:r>
            <w:r w:rsidR="00E22FF2" w:rsidRPr="008C5F1C">
              <w:rPr>
                <w:sz w:val="22"/>
                <w:lang w:val="ro-RO"/>
              </w:rPr>
              <w:t>ț</w:t>
            </w:r>
            <w:r w:rsidR="00BA7827" w:rsidRPr="008C5F1C">
              <w:rPr>
                <w:sz w:val="22"/>
                <w:lang w:val="ro-RO"/>
              </w:rPr>
              <w:t>ă</w:t>
            </w:r>
            <w:r w:rsidRPr="008C5F1C">
              <w:rPr>
                <w:sz w:val="22"/>
                <w:lang w:val="ro-RO"/>
              </w:rPr>
              <w:t xml:space="preserve"> artificial</w:t>
            </w:r>
            <w:r w:rsidR="00BA7827" w:rsidRPr="008C5F1C">
              <w:rPr>
                <w:sz w:val="22"/>
                <w:lang w:val="ro-RO"/>
              </w:rPr>
              <w:t>ă</w:t>
            </w:r>
            <w:r w:rsidR="00890173" w:rsidRPr="008C5F1C">
              <w:rPr>
                <w:sz w:val="22"/>
                <w:lang w:val="ro-RO"/>
              </w:rPr>
              <w:t xml:space="preserve">, tehnologii de management </w:t>
            </w:r>
            <w:r w:rsidR="00106240" w:rsidRPr="008C5F1C">
              <w:rPr>
                <w:sz w:val="22"/>
                <w:lang w:val="ro-RO"/>
              </w:rPr>
              <w:t>ș</w:t>
            </w:r>
            <w:r w:rsidR="00890173" w:rsidRPr="008C5F1C">
              <w:rPr>
                <w:sz w:val="22"/>
                <w:lang w:val="ro-RO"/>
              </w:rPr>
              <w:t>i organizarea activit</w:t>
            </w:r>
            <w:r w:rsidR="00BA7827" w:rsidRPr="008C5F1C">
              <w:rPr>
                <w:sz w:val="22"/>
                <w:lang w:val="ro-RO"/>
              </w:rPr>
              <w:t>ă</w:t>
            </w:r>
            <w:r w:rsidR="00E22FF2" w:rsidRPr="008C5F1C">
              <w:rPr>
                <w:sz w:val="22"/>
                <w:lang w:val="ro-RO"/>
              </w:rPr>
              <w:t>ț</w:t>
            </w:r>
            <w:r w:rsidR="00890173" w:rsidRPr="008C5F1C">
              <w:rPr>
                <w:sz w:val="22"/>
                <w:lang w:val="ro-RO"/>
              </w:rPr>
              <w:t>ilor etc</w:t>
            </w:r>
            <w:r w:rsidRPr="008C5F1C">
              <w:rPr>
                <w:sz w:val="22"/>
                <w:lang w:val="ro-RO"/>
              </w:rPr>
              <w:t>);</w:t>
            </w:r>
          </w:p>
          <w:p w14:paraId="297585ED" w14:textId="12D161F7" w:rsidR="00613363" w:rsidRPr="008C5F1C" w:rsidRDefault="00613363" w:rsidP="00742B97">
            <w:pPr>
              <w:pStyle w:val="ListParagraph"/>
              <w:numPr>
                <w:ilvl w:val="0"/>
                <w:numId w:val="59"/>
              </w:numPr>
              <w:spacing w:before="0" w:line="240" w:lineRule="auto"/>
              <w:jc w:val="both"/>
              <w:rPr>
                <w:sz w:val="22"/>
                <w:lang w:val="ro-RO"/>
              </w:rPr>
            </w:pPr>
            <w:r w:rsidRPr="008C5F1C">
              <w:rPr>
                <w:sz w:val="22"/>
                <w:lang w:val="ro-RO"/>
              </w:rPr>
              <w:t>Activități de digitalizare, altele decât cele care au ca obiect principal de activitate TIC</w:t>
            </w:r>
          </w:p>
          <w:p w14:paraId="4584B2C9" w14:textId="77777777" w:rsidR="00B7695B" w:rsidRPr="008C5F1C" w:rsidRDefault="00653571" w:rsidP="00742B97">
            <w:pPr>
              <w:pStyle w:val="ListParagraph"/>
              <w:numPr>
                <w:ilvl w:val="0"/>
                <w:numId w:val="59"/>
              </w:numPr>
              <w:spacing w:before="0" w:line="240" w:lineRule="auto"/>
              <w:jc w:val="both"/>
              <w:rPr>
                <w:sz w:val="22"/>
                <w:lang w:val="ro-RO"/>
              </w:rPr>
            </w:pPr>
            <w:r w:rsidRPr="008C5F1C">
              <w:rPr>
                <w:sz w:val="22"/>
                <w:lang w:val="ro-RO"/>
              </w:rPr>
              <w:t>Design industrial, inclusiv inovare bazat</w:t>
            </w:r>
            <w:r w:rsidR="00BA7827" w:rsidRPr="008C5F1C">
              <w:rPr>
                <w:sz w:val="22"/>
                <w:lang w:val="ro-RO"/>
              </w:rPr>
              <w:t>ă</w:t>
            </w:r>
            <w:r w:rsidRPr="008C5F1C">
              <w:rPr>
                <w:sz w:val="22"/>
                <w:lang w:val="ro-RO"/>
              </w:rPr>
              <w:t xml:space="preserve"> pe design;</w:t>
            </w:r>
          </w:p>
          <w:p w14:paraId="0ECB9646" w14:textId="77777777" w:rsidR="006D7E64" w:rsidRPr="008C5F1C" w:rsidRDefault="00653571" w:rsidP="00742B97">
            <w:pPr>
              <w:pStyle w:val="ListParagraph"/>
              <w:numPr>
                <w:ilvl w:val="0"/>
                <w:numId w:val="59"/>
              </w:numPr>
              <w:spacing w:before="0" w:line="240" w:lineRule="auto"/>
              <w:jc w:val="both"/>
              <w:rPr>
                <w:sz w:val="22"/>
                <w:lang w:val="ro-RO"/>
              </w:rPr>
            </w:pPr>
            <w:proofErr w:type="spellStart"/>
            <w:r w:rsidRPr="008C5F1C">
              <w:rPr>
                <w:sz w:val="22"/>
                <w:lang w:val="ro-RO"/>
              </w:rPr>
              <w:lastRenderedPageBreak/>
              <w:t>Customizare</w:t>
            </w:r>
            <w:proofErr w:type="spellEnd"/>
            <w:r w:rsidRPr="008C5F1C">
              <w:rPr>
                <w:sz w:val="22"/>
                <w:lang w:val="ro-RO"/>
              </w:rPr>
              <w:t xml:space="preserve"> de mas</w:t>
            </w:r>
            <w:r w:rsidR="00BA7827" w:rsidRPr="008C5F1C">
              <w:rPr>
                <w:sz w:val="22"/>
                <w:lang w:val="ro-RO"/>
              </w:rPr>
              <w:t>ă</w:t>
            </w:r>
            <w:r w:rsidRPr="008C5F1C">
              <w:rPr>
                <w:sz w:val="22"/>
                <w:lang w:val="ro-RO"/>
              </w:rPr>
              <w:t xml:space="preserve"> (imprimare 3D, manufacturare digital</w:t>
            </w:r>
            <w:r w:rsidR="00BA7827" w:rsidRPr="008C5F1C">
              <w:rPr>
                <w:sz w:val="22"/>
                <w:lang w:val="ro-RO"/>
              </w:rPr>
              <w:t>ă</w:t>
            </w:r>
            <w:r w:rsidRPr="008C5F1C">
              <w:rPr>
                <w:sz w:val="22"/>
                <w:lang w:val="ro-RO"/>
              </w:rPr>
              <w:t xml:space="preserve"> direct</w:t>
            </w:r>
            <w:r w:rsidR="00BA7827" w:rsidRPr="008C5F1C">
              <w:rPr>
                <w:sz w:val="22"/>
                <w:lang w:val="ro-RO"/>
              </w:rPr>
              <w:t>ă</w:t>
            </w:r>
            <w:r w:rsidRPr="008C5F1C">
              <w:rPr>
                <w:sz w:val="22"/>
                <w:lang w:val="ro-RO"/>
              </w:rPr>
              <w:t>).</w:t>
            </w:r>
          </w:p>
          <w:p w14:paraId="3350B952" w14:textId="1D7C161F" w:rsidR="002A78D0" w:rsidRPr="008C5F1C" w:rsidRDefault="001422AF" w:rsidP="00742B97">
            <w:pPr>
              <w:pStyle w:val="ListParagraph"/>
              <w:numPr>
                <w:ilvl w:val="0"/>
                <w:numId w:val="59"/>
              </w:numPr>
              <w:spacing w:before="0" w:line="240" w:lineRule="auto"/>
              <w:jc w:val="both"/>
              <w:rPr>
                <w:sz w:val="22"/>
                <w:lang w:val="ro-RO"/>
              </w:rPr>
            </w:pPr>
            <w:r w:rsidRPr="008C5F1C">
              <w:rPr>
                <w:sz w:val="22"/>
                <w:lang w:val="ro-RO"/>
              </w:rPr>
              <w:t xml:space="preserve">Activități de marketing, sprijinire a comercializării, </w:t>
            </w:r>
            <w:proofErr w:type="spellStart"/>
            <w:r w:rsidR="00EA7DC2" w:rsidRPr="008C5F1C">
              <w:rPr>
                <w:sz w:val="22"/>
                <w:lang w:val="ro-RO"/>
              </w:rPr>
              <w:t>i</w:t>
            </w:r>
            <w:r w:rsidR="002A78D0" w:rsidRPr="008C5F1C">
              <w:rPr>
                <w:sz w:val="22"/>
                <w:lang w:val="ro-RO"/>
              </w:rPr>
              <w:t>nternationalizare</w:t>
            </w:r>
            <w:proofErr w:type="spellEnd"/>
            <w:r w:rsidR="002A78D0" w:rsidRPr="008C5F1C">
              <w:rPr>
                <w:sz w:val="22"/>
                <w:lang w:val="ro-RO"/>
              </w:rPr>
              <w:t xml:space="preserve"> (ca activitate complementara)</w:t>
            </w:r>
          </w:p>
          <w:p w14:paraId="04B5001A" w14:textId="77777777" w:rsidR="00FC0243" w:rsidRPr="008C5F1C" w:rsidRDefault="00766FA3" w:rsidP="00742B97">
            <w:pPr>
              <w:spacing w:after="120" w:line="240" w:lineRule="auto"/>
              <w:jc w:val="both"/>
              <w:rPr>
                <w:rFonts w:ascii="Times New Roman" w:hAnsi="Times New Roman" w:cs="Times New Roman"/>
              </w:rPr>
            </w:pPr>
            <w:r w:rsidRPr="008C5F1C">
              <w:rPr>
                <w:rFonts w:ascii="Times New Roman" w:hAnsi="Times New Roman" w:cs="Times New Roman"/>
                <w:b/>
                <w:bCs/>
              </w:rPr>
              <w:t>b) Sprijinirea ecosistemului antreprenorial regional, încurajarea dezvolt</w:t>
            </w:r>
            <w:r w:rsidR="00BA7827" w:rsidRPr="008C5F1C">
              <w:rPr>
                <w:rFonts w:ascii="Times New Roman" w:hAnsi="Times New Roman" w:cs="Times New Roman"/>
                <w:b/>
                <w:bCs/>
              </w:rPr>
              <w:t>ă</w:t>
            </w:r>
            <w:r w:rsidRPr="008C5F1C">
              <w:rPr>
                <w:rFonts w:ascii="Times New Roman" w:hAnsi="Times New Roman" w:cs="Times New Roman"/>
                <w:b/>
                <w:bCs/>
              </w:rPr>
              <w:t xml:space="preserve">rii diferitelor forme specifice de </w:t>
            </w:r>
            <w:proofErr w:type="spellStart"/>
            <w:r w:rsidRPr="008C5F1C">
              <w:rPr>
                <w:rFonts w:ascii="Times New Roman" w:hAnsi="Times New Roman" w:cs="Times New Roman"/>
                <w:b/>
                <w:bCs/>
              </w:rPr>
              <w:t>antreprenoriat</w:t>
            </w:r>
            <w:proofErr w:type="spellEnd"/>
            <w:r w:rsidRPr="008C5F1C">
              <w:rPr>
                <w:rFonts w:ascii="Times New Roman" w:hAnsi="Times New Roman" w:cs="Times New Roman"/>
                <w:b/>
                <w:bCs/>
              </w:rPr>
              <w:t xml:space="preserve"> </w:t>
            </w:r>
            <w:r w:rsidR="00106240" w:rsidRPr="008C5F1C">
              <w:rPr>
                <w:rFonts w:ascii="Times New Roman" w:hAnsi="Times New Roman" w:cs="Times New Roman"/>
                <w:b/>
                <w:bCs/>
              </w:rPr>
              <w:t>ș</w:t>
            </w:r>
            <w:r w:rsidRPr="008C5F1C">
              <w:rPr>
                <w:rFonts w:ascii="Times New Roman" w:hAnsi="Times New Roman" w:cs="Times New Roman"/>
                <w:b/>
                <w:bCs/>
              </w:rPr>
              <w:t xml:space="preserve">i de intermediere în </w:t>
            </w:r>
            <w:proofErr w:type="spellStart"/>
            <w:r w:rsidRPr="008C5F1C">
              <w:rPr>
                <w:rFonts w:ascii="Times New Roman" w:hAnsi="Times New Roman" w:cs="Times New Roman"/>
                <w:b/>
                <w:bCs/>
              </w:rPr>
              <w:t>antreprenoriat</w:t>
            </w:r>
            <w:proofErr w:type="spellEnd"/>
            <w:r w:rsidRPr="008C5F1C">
              <w:rPr>
                <w:rFonts w:ascii="Times New Roman" w:hAnsi="Times New Roman" w:cs="Times New Roman"/>
                <w:b/>
                <w:bCs/>
              </w:rPr>
              <w:t>.</w:t>
            </w:r>
            <w:r w:rsidRPr="008C5F1C">
              <w:rPr>
                <w:rFonts w:ascii="Times New Roman" w:hAnsi="Times New Roman" w:cs="Times New Roman"/>
              </w:rPr>
              <w:t xml:space="preserve"> </w:t>
            </w:r>
          </w:p>
          <w:p w14:paraId="18A2A7D6" w14:textId="247A9970" w:rsidR="00A154DD" w:rsidRPr="008C5F1C" w:rsidRDefault="00766FA3" w:rsidP="00742B97">
            <w:pPr>
              <w:pStyle w:val="ListParagraph"/>
              <w:numPr>
                <w:ilvl w:val="0"/>
                <w:numId w:val="79"/>
              </w:numPr>
              <w:spacing w:before="0" w:line="240" w:lineRule="auto"/>
              <w:jc w:val="both"/>
              <w:rPr>
                <w:iCs/>
                <w:lang w:val="ro-RO"/>
              </w:rPr>
            </w:pPr>
            <w:r w:rsidRPr="008C5F1C">
              <w:rPr>
                <w:sz w:val="22"/>
                <w:lang w:val="ro-RO"/>
              </w:rPr>
              <w:t>Sunt avute în vedere interven</w:t>
            </w:r>
            <w:r w:rsidR="00E22FF2" w:rsidRPr="008C5F1C">
              <w:rPr>
                <w:sz w:val="22"/>
                <w:lang w:val="ro-RO"/>
              </w:rPr>
              <w:t>ț</w:t>
            </w:r>
            <w:r w:rsidRPr="008C5F1C">
              <w:rPr>
                <w:sz w:val="22"/>
                <w:lang w:val="ro-RO"/>
              </w:rPr>
              <w:t>ii pentru sus</w:t>
            </w:r>
            <w:r w:rsidR="00E22FF2" w:rsidRPr="008C5F1C">
              <w:rPr>
                <w:sz w:val="22"/>
                <w:lang w:val="ro-RO"/>
              </w:rPr>
              <w:t>ț</w:t>
            </w:r>
            <w:r w:rsidRPr="008C5F1C">
              <w:rPr>
                <w:sz w:val="22"/>
                <w:lang w:val="ro-RO"/>
              </w:rPr>
              <w:t>inerea sectoarelor economice prioritare la nivel regional, conform RIS3 2021-2027</w:t>
            </w:r>
            <w:r w:rsidR="00505F9B" w:rsidRPr="008C5F1C">
              <w:rPr>
                <w:sz w:val="22"/>
                <w:lang w:val="ro-RO"/>
              </w:rPr>
              <w:t>, prin</w:t>
            </w:r>
            <w:r w:rsidR="0059100C" w:rsidRPr="008C5F1C">
              <w:rPr>
                <w:sz w:val="22"/>
                <w:lang w:val="ro-RO"/>
              </w:rPr>
              <w:t xml:space="preserve"> </w:t>
            </w:r>
            <w:r w:rsidR="00505F9B" w:rsidRPr="008C5F1C">
              <w:rPr>
                <w:iCs/>
                <w:sz w:val="22"/>
                <w:lang w:val="ro-RO"/>
              </w:rPr>
              <w:t>î</w:t>
            </w:r>
            <w:r w:rsidRPr="008C5F1C">
              <w:rPr>
                <w:iCs/>
                <w:sz w:val="22"/>
                <w:lang w:val="ro-RO"/>
              </w:rPr>
              <w:t>nfiin</w:t>
            </w:r>
            <w:r w:rsidR="00E22FF2" w:rsidRPr="008C5F1C">
              <w:rPr>
                <w:iCs/>
                <w:sz w:val="22"/>
                <w:lang w:val="ro-RO"/>
              </w:rPr>
              <w:t>ț</w:t>
            </w:r>
            <w:r w:rsidRPr="008C5F1C">
              <w:rPr>
                <w:iCs/>
                <w:sz w:val="22"/>
                <w:lang w:val="ro-RO"/>
              </w:rPr>
              <w:t>are</w:t>
            </w:r>
            <w:r w:rsidR="0059100C" w:rsidRPr="008C5F1C">
              <w:rPr>
                <w:iCs/>
                <w:sz w:val="22"/>
                <w:lang w:val="ro-RO"/>
              </w:rPr>
              <w:t>a</w:t>
            </w:r>
            <w:r w:rsidRPr="008C5F1C">
              <w:rPr>
                <w:iCs/>
                <w:sz w:val="22"/>
                <w:lang w:val="ro-RO"/>
              </w:rPr>
              <w:t xml:space="preserve"> </w:t>
            </w:r>
            <w:r w:rsidR="00106240" w:rsidRPr="008C5F1C">
              <w:rPr>
                <w:iCs/>
                <w:sz w:val="22"/>
                <w:lang w:val="ro-RO"/>
              </w:rPr>
              <w:t>ș</w:t>
            </w:r>
            <w:r w:rsidRPr="008C5F1C">
              <w:rPr>
                <w:iCs/>
                <w:sz w:val="22"/>
                <w:lang w:val="ro-RO"/>
              </w:rPr>
              <w:t>i dezvoltare</w:t>
            </w:r>
            <w:r w:rsidR="0059100C" w:rsidRPr="008C5F1C">
              <w:rPr>
                <w:iCs/>
                <w:sz w:val="22"/>
                <w:lang w:val="ro-RO"/>
              </w:rPr>
              <w:t>a de</w:t>
            </w:r>
            <w:r w:rsidR="00DB31F1">
              <w:rPr>
                <w:iCs/>
                <w:sz w:val="22"/>
                <w:lang w:val="ro-RO"/>
              </w:rPr>
              <w:t xml:space="preserve"> structuri suport precum</w:t>
            </w:r>
            <w:r w:rsidRPr="008C5F1C">
              <w:rPr>
                <w:iCs/>
                <w:sz w:val="22"/>
                <w:lang w:val="ro-RO"/>
              </w:rPr>
              <w:t xml:space="preserve"> incubatoare </w:t>
            </w:r>
            <w:r w:rsidR="00106240" w:rsidRPr="008C5F1C">
              <w:rPr>
                <w:iCs/>
                <w:sz w:val="22"/>
                <w:lang w:val="ro-RO"/>
              </w:rPr>
              <w:t>ș</w:t>
            </w:r>
            <w:r w:rsidRPr="008C5F1C">
              <w:rPr>
                <w:iCs/>
                <w:sz w:val="22"/>
                <w:lang w:val="ro-RO"/>
              </w:rPr>
              <w:t xml:space="preserve">i acceleratoare de afaceri, </w:t>
            </w:r>
            <w:r w:rsidR="001422AF" w:rsidRPr="008C5F1C">
              <w:rPr>
                <w:iCs/>
                <w:sz w:val="22"/>
                <w:lang w:val="ro-RO"/>
              </w:rPr>
              <w:t>impulsionarea colaborării prin susținerea structurilor asociative de tip asociații profesionale, clustere, rețele, inclusiv cu acoperire internațională</w:t>
            </w:r>
            <w:r w:rsidR="001422AF" w:rsidRPr="008C5F1C">
              <w:rPr>
                <w:iCs/>
                <w:lang w:val="ro-RO"/>
              </w:rPr>
              <w:t xml:space="preserve">  </w:t>
            </w:r>
          </w:p>
        </w:tc>
      </w:tr>
    </w:tbl>
    <w:p w14:paraId="25E76265" w14:textId="77777777" w:rsidR="00653571" w:rsidRPr="008C5F1C" w:rsidRDefault="00653571" w:rsidP="00653571">
      <w:pPr>
        <w:spacing w:before="120" w:after="120" w:line="360" w:lineRule="auto"/>
        <w:rPr>
          <w:rFonts w:ascii="Times New Roman" w:eastAsia="Times New Roman" w:hAnsi="Times New Roman" w:cs="Times New Roman"/>
          <w:b/>
          <w:i/>
          <w:iCs/>
          <w:noProof/>
          <w:sz w:val="24"/>
          <w:szCs w:val="24"/>
        </w:rPr>
      </w:pPr>
      <w:r w:rsidRPr="008C5F1C">
        <w:rPr>
          <w:rFonts w:ascii="Times New Roman" w:eastAsia="Times New Roman" w:hAnsi="Times New Roman" w:cs="Times New Roman"/>
          <w:i/>
          <w:noProof/>
          <w:sz w:val="24"/>
          <w:szCs w:val="24"/>
        </w:rPr>
        <w:lastRenderedPageBreak/>
        <w:t>The main target groups - Article 17(3)(d)(iii):</w:t>
      </w:r>
    </w:p>
    <w:p w14:paraId="38B695C8" w14:textId="77777777" w:rsidR="00505F9B" w:rsidRPr="008C5F1C" w:rsidRDefault="00653571" w:rsidP="00505F9B">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iCs/>
          <w:noProof/>
          <w:sz w:val="24"/>
          <w:szCs w:val="24"/>
        </w:rPr>
      </w:pPr>
      <w:r w:rsidRPr="008C5F1C">
        <w:rPr>
          <w:rFonts w:ascii="Times New Roman" w:eastAsia="Times New Roman" w:hAnsi="Times New Roman" w:cs="Times New Roman"/>
          <w:i/>
          <w:iCs/>
          <w:noProof/>
          <w:sz w:val="24"/>
          <w:szCs w:val="24"/>
        </w:rPr>
        <w:t>Text field [1 000]</w:t>
      </w:r>
    </w:p>
    <w:p w14:paraId="4F9CF25F" w14:textId="77777777" w:rsidR="00505F9B" w:rsidRPr="008C5F1C" w:rsidRDefault="00505F9B" w:rsidP="005B11D6">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noProof/>
        </w:rPr>
      </w:pPr>
      <w:r w:rsidRPr="008C5F1C">
        <w:rPr>
          <w:rFonts w:ascii="Times New Roman" w:eastAsia="Times New Roman" w:hAnsi="Times New Roman" w:cs="Times New Roman"/>
          <w:noProof/>
        </w:rPr>
        <w:t xml:space="preserve">Întreprinderi mici </w:t>
      </w:r>
      <w:r w:rsidR="00106240" w:rsidRPr="008C5F1C">
        <w:rPr>
          <w:rFonts w:ascii="Times New Roman" w:eastAsia="Times New Roman" w:hAnsi="Times New Roman" w:cs="Times New Roman"/>
          <w:noProof/>
        </w:rPr>
        <w:t>ș</w:t>
      </w:r>
      <w:r w:rsidRPr="008C5F1C">
        <w:rPr>
          <w:rFonts w:ascii="Times New Roman" w:eastAsia="Times New Roman" w:hAnsi="Times New Roman" w:cs="Times New Roman"/>
          <w:noProof/>
        </w:rPr>
        <w:t>i mijlocii din Regiunea de Dezvoltare Nord-Vest</w:t>
      </w:r>
    </w:p>
    <w:p w14:paraId="5EEA04C3" w14:textId="3A9EBC96" w:rsidR="00C14281" w:rsidRDefault="0059100C" w:rsidP="005B11D6">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noProof/>
        </w:rPr>
      </w:pPr>
      <w:r w:rsidRPr="008C5F1C">
        <w:rPr>
          <w:rFonts w:ascii="Times New Roman" w:eastAsia="Times New Roman" w:hAnsi="Times New Roman" w:cs="Times New Roman"/>
          <w:noProof/>
        </w:rPr>
        <w:t>Alte organiza</w:t>
      </w:r>
      <w:r w:rsidR="00E22FF2" w:rsidRPr="008C5F1C">
        <w:rPr>
          <w:rFonts w:ascii="Times New Roman" w:eastAsia="Times New Roman" w:hAnsi="Times New Roman" w:cs="Times New Roman"/>
          <w:noProof/>
        </w:rPr>
        <w:t>ț</w:t>
      </w:r>
      <w:r w:rsidRPr="008C5F1C">
        <w:rPr>
          <w:rFonts w:ascii="Times New Roman" w:eastAsia="Times New Roman" w:hAnsi="Times New Roman" w:cs="Times New Roman"/>
          <w:noProof/>
        </w:rPr>
        <w:t>ii din sistemul regional de inovare, inclusiv clustere, incubatoare, acceleratoare etc.</w:t>
      </w:r>
    </w:p>
    <w:p w14:paraId="68754A3A" w14:textId="77777777" w:rsidR="00653571" w:rsidRPr="008C5F1C" w:rsidRDefault="00653571" w:rsidP="00653571">
      <w:pPr>
        <w:spacing w:before="120" w:after="120" w:line="360" w:lineRule="auto"/>
        <w:rPr>
          <w:rFonts w:ascii="Times New Roman" w:eastAsia="Times New Roman" w:hAnsi="Times New Roman" w:cs="Times New Roman"/>
          <w:i/>
          <w:noProof/>
          <w:sz w:val="24"/>
          <w:szCs w:val="24"/>
        </w:rPr>
      </w:pPr>
      <w:r w:rsidRPr="008C5F1C">
        <w:rPr>
          <w:rFonts w:ascii="Times New Roman" w:eastAsia="Times New Roman" w:hAnsi="Times New Roman" w:cs="Times New Roman"/>
          <w:i/>
          <w:noProof/>
          <w:sz w:val="24"/>
          <w:szCs w:val="24"/>
        </w:rPr>
        <w:t>Specific territories tageted, including the planned use of territorial tools – Article 17(3)(d)(iv)</w:t>
      </w:r>
    </w:p>
    <w:p w14:paraId="76AD8209" w14:textId="77777777" w:rsidR="00653571" w:rsidRPr="008C5F1C" w:rsidRDefault="00653571" w:rsidP="0065357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rPr>
      </w:pPr>
      <w:r w:rsidRPr="008C5F1C">
        <w:rPr>
          <w:rFonts w:ascii="Times New Roman" w:eastAsia="Times New Roman" w:hAnsi="Times New Roman" w:cs="Times New Roman"/>
          <w:i/>
          <w:iCs/>
          <w:noProof/>
          <w:sz w:val="24"/>
          <w:szCs w:val="24"/>
        </w:rPr>
        <w:t>Nu este cazul</w:t>
      </w:r>
    </w:p>
    <w:p w14:paraId="796293D8" w14:textId="77777777" w:rsidR="00653571" w:rsidRPr="008C5F1C" w:rsidRDefault="00653571" w:rsidP="00653571">
      <w:pPr>
        <w:spacing w:before="120" w:after="120" w:line="360" w:lineRule="auto"/>
        <w:rPr>
          <w:rFonts w:ascii="Times New Roman" w:eastAsia="Times New Roman" w:hAnsi="Times New Roman" w:cs="Times New Roman"/>
          <w:b/>
          <w:i/>
          <w:iCs/>
          <w:noProof/>
          <w:sz w:val="24"/>
          <w:szCs w:val="24"/>
        </w:rPr>
      </w:pPr>
      <w:r w:rsidRPr="008C5F1C">
        <w:rPr>
          <w:rFonts w:ascii="Times New Roman" w:eastAsia="Times New Roman" w:hAnsi="Times New Roman" w:cs="Times New Roman"/>
          <w:i/>
          <w:noProof/>
          <w:sz w:val="24"/>
          <w:szCs w:val="24"/>
        </w:rPr>
        <w:t>The interregional and transnational actions  –Article – 17(3)(d)(v)</w:t>
      </w:r>
    </w:p>
    <w:p w14:paraId="55CEB9FB" w14:textId="77777777" w:rsidR="00653571" w:rsidRPr="008C5F1C" w:rsidRDefault="00653571" w:rsidP="0065357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rPr>
      </w:pPr>
      <w:r w:rsidRPr="008C5F1C">
        <w:rPr>
          <w:rFonts w:ascii="Times New Roman" w:eastAsia="Times New Roman" w:hAnsi="Times New Roman" w:cs="Times New Roman"/>
          <w:i/>
          <w:iCs/>
          <w:noProof/>
          <w:sz w:val="24"/>
          <w:szCs w:val="24"/>
        </w:rPr>
        <w:t>Nu este cazul</w:t>
      </w:r>
    </w:p>
    <w:p w14:paraId="76C1BD67" w14:textId="77777777" w:rsidR="00653571" w:rsidRPr="008C5F1C" w:rsidRDefault="00653571" w:rsidP="00653571">
      <w:pPr>
        <w:spacing w:before="120" w:after="120" w:line="360" w:lineRule="auto"/>
        <w:rPr>
          <w:rFonts w:ascii="Times New Roman" w:eastAsia="Times New Roman" w:hAnsi="Times New Roman" w:cs="Times New Roman"/>
          <w:b/>
          <w:i/>
          <w:iCs/>
          <w:noProof/>
          <w:sz w:val="24"/>
          <w:szCs w:val="24"/>
        </w:rPr>
      </w:pPr>
      <w:r w:rsidRPr="008C5F1C">
        <w:rPr>
          <w:rFonts w:ascii="Times New Roman" w:eastAsia="Times New Roman" w:hAnsi="Times New Roman" w:cs="Times New Roman"/>
          <w:i/>
          <w:noProof/>
          <w:sz w:val="24"/>
          <w:szCs w:val="24"/>
        </w:rPr>
        <w:t>The planned use of financial instruments – Article – 17(3)(d)(vi)</w:t>
      </w:r>
    </w:p>
    <w:p w14:paraId="018C15DA" w14:textId="77777777" w:rsidR="00653571" w:rsidRPr="008C5F1C" w:rsidRDefault="00C33E84" w:rsidP="0065357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rPr>
      </w:pPr>
      <w:r w:rsidRPr="008C5F1C">
        <w:rPr>
          <w:rFonts w:ascii="Times New Roman" w:eastAsia="Times New Roman" w:hAnsi="Times New Roman" w:cs="Times New Roman"/>
          <w:i/>
          <w:iCs/>
          <w:noProof/>
          <w:sz w:val="24"/>
          <w:szCs w:val="24"/>
        </w:rPr>
        <w:t>Instrumente financiare, inclusiv revolving</w:t>
      </w:r>
    </w:p>
    <w:p w14:paraId="762F025E" w14:textId="77777777" w:rsidR="00653571" w:rsidRPr="008C5F1C" w:rsidRDefault="00653571" w:rsidP="00653571">
      <w:pPr>
        <w:spacing w:before="120" w:after="120" w:line="240" w:lineRule="auto"/>
        <w:rPr>
          <w:rFonts w:ascii="Times New Roman" w:eastAsia="Times New Roman" w:hAnsi="Times New Roman" w:cs="Times New Roman"/>
          <w:b/>
          <w:iCs/>
          <w:noProof/>
          <w:sz w:val="24"/>
          <w:szCs w:val="24"/>
        </w:rPr>
      </w:pPr>
    </w:p>
    <w:p w14:paraId="047AB681" w14:textId="77777777" w:rsidR="00653571" w:rsidRPr="008C5F1C" w:rsidRDefault="00653571" w:rsidP="00653571">
      <w:pPr>
        <w:pStyle w:val="Heading4"/>
        <w:numPr>
          <w:ilvl w:val="0"/>
          <w:numId w:val="0"/>
        </w:numPr>
        <w:ind w:left="851" w:hanging="851"/>
        <w:rPr>
          <w:rFonts w:cs="Times New Roman"/>
          <w:b/>
          <w:bCs/>
          <w:lang w:val="ro-RO"/>
        </w:rPr>
      </w:pPr>
      <w:r w:rsidRPr="008C5F1C">
        <w:rPr>
          <w:rFonts w:cs="Times New Roman"/>
          <w:b/>
          <w:bCs/>
          <w:lang w:val="ro-RO"/>
        </w:rPr>
        <w:t xml:space="preserve">2.A.3.2 </w:t>
      </w:r>
      <w:proofErr w:type="spellStart"/>
      <w:r w:rsidRPr="008C5F1C">
        <w:rPr>
          <w:rFonts w:cs="Times New Roman"/>
          <w:b/>
          <w:bCs/>
          <w:lang w:val="ro-RO"/>
        </w:rPr>
        <w:t>Indicators</w:t>
      </w:r>
      <w:proofErr w:type="spellEnd"/>
    </w:p>
    <w:p w14:paraId="72B83685" w14:textId="77777777" w:rsidR="00653571" w:rsidRPr="008C5F1C" w:rsidRDefault="00653571" w:rsidP="00653571">
      <w:pPr>
        <w:rPr>
          <w:rFonts w:ascii="Times New Roman" w:hAnsi="Times New Roman" w:cs="Times New Roman"/>
          <w:b/>
          <w:bCs/>
          <w:i/>
          <w:u w:val="single"/>
        </w:rPr>
      </w:pPr>
      <w:proofErr w:type="spellStart"/>
      <w:r w:rsidRPr="008C5F1C">
        <w:rPr>
          <w:rFonts w:ascii="Times New Roman" w:hAnsi="Times New Roman" w:cs="Times New Roman"/>
          <w:i/>
        </w:rPr>
        <w:t>Reference</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Article</w:t>
      </w:r>
      <w:proofErr w:type="spellEnd"/>
      <w:r w:rsidRPr="008C5F1C">
        <w:rPr>
          <w:rFonts w:ascii="Times New Roman" w:hAnsi="Times New Roman" w:cs="Times New Roman"/>
          <w:i/>
        </w:rPr>
        <w:t xml:space="preserve"> 17(3)(d)(ii) CPR </w:t>
      </w:r>
    </w:p>
    <w:tbl>
      <w:tblPr>
        <w:tblW w:w="51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8"/>
        <w:gridCol w:w="1502"/>
        <w:gridCol w:w="625"/>
        <w:gridCol w:w="875"/>
        <w:gridCol w:w="545"/>
        <w:gridCol w:w="2128"/>
        <w:gridCol w:w="1158"/>
        <w:gridCol w:w="1019"/>
        <w:gridCol w:w="1286"/>
      </w:tblGrid>
      <w:tr w:rsidR="00653571" w:rsidRPr="008C5F1C" w14:paraId="360B3AB7" w14:textId="77777777" w:rsidTr="00534127">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20108D58" w14:textId="77777777" w:rsidR="00653571" w:rsidRPr="008C5F1C" w:rsidRDefault="00653571" w:rsidP="00EE349D">
            <w:pPr>
              <w:spacing w:after="120"/>
              <w:rPr>
                <w:rFonts w:ascii="Times New Roman" w:hAnsi="Times New Roman" w:cs="Times New Roman"/>
                <w:b/>
              </w:rPr>
            </w:pPr>
            <w:r w:rsidRPr="008C5F1C">
              <w:rPr>
                <w:rFonts w:ascii="Times New Roman" w:hAnsi="Times New Roman" w:cs="Times New Roman"/>
                <w:b/>
                <w:iCs/>
              </w:rPr>
              <w:t xml:space="preserve">Table 2: Output </w:t>
            </w:r>
            <w:proofErr w:type="spellStart"/>
            <w:r w:rsidRPr="008C5F1C">
              <w:rPr>
                <w:rFonts w:ascii="Times New Roman" w:hAnsi="Times New Roman" w:cs="Times New Roman"/>
                <w:b/>
                <w:iCs/>
              </w:rPr>
              <w:t>indicators</w:t>
            </w:r>
            <w:proofErr w:type="spellEnd"/>
          </w:p>
        </w:tc>
      </w:tr>
      <w:tr w:rsidR="00653571" w:rsidRPr="008C5F1C" w14:paraId="0BA5C397" w14:textId="77777777" w:rsidTr="00EE349D">
        <w:trPr>
          <w:trHeight w:val="691"/>
        </w:trPr>
        <w:tc>
          <w:tcPr>
            <w:tcW w:w="383" w:type="pct"/>
            <w:tcBorders>
              <w:top w:val="single" w:sz="4" w:space="0" w:color="auto"/>
              <w:left w:val="single" w:sz="4" w:space="0" w:color="auto"/>
              <w:bottom w:val="single" w:sz="4" w:space="0" w:color="auto"/>
              <w:right w:val="single" w:sz="4" w:space="0" w:color="auto"/>
            </w:tcBorders>
            <w:hideMark/>
          </w:tcPr>
          <w:p w14:paraId="67D85ED6" w14:textId="77777777" w:rsidR="00653571" w:rsidRPr="008C5F1C" w:rsidRDefault="00653571" w:rsidP="00EE349D">
            <w:pPr>
              <w:spacing w:after="120"/>
              <w:rPr>
                <w:rFonts w:ascii="Times New Roman" w:hAnsi="Times New Roman" w:cs="Times New Roman"/>
                <w:b/>
                <w:sz w:val="16"/>
                <w:szCs w:val="16"/>
              </w:rPr>
            </w:pPr>
            <w:proofErr w:type="spellStart"/>
            <w:r w:rsidRPr="008C5F1C">
              <w:rPr>
                <w:rFonts w:ascii="Times New Roman" w:hAnsi="Times New Roman" w:cs="Times New Roman"/>
                <w:b/>
                <w:sz w:val="16"/>
                <w:szCs w:val="16"/>
              </w:rPr>
              <w:t>Priority</w:t>
            </w:r>
            <w:proofErr w:type="spellEnd"/>
            <w:r w:rsidRPr="008C5F1C">
              <w:rPr>
                <w:rFonts w:ascii="Times New Roman" w:hAnsi="Times New Roman" w:cs="Times New Roman"/>
                <w:b/>
                <w:sz w:val="16"/>
                <w:szCs w:val="16"/>
              </w:rPr>
              <w:t xml:space="preserve"> </w:t>
            </w:r>
          </w:p>
        </w:tc>
        <w:tc>
          <w:tcPr>
            <w:tcW w:w="759" w:type="pct"/>
            <w:tcBorders>
              <w:top w:val="single" w:sz="4" w:space="0" w:color="auto"/>
              <w:left w:val="single" w:sz="4" w:space="0" w:color="auto"/>
              <w:bottom w:val="single" w:sz="4" w:space="0" w:color="auto"/>
              <w:right w:val="single" w:sz="4" w:space="0" w:color="auto"/>
            </w:tcBorders>
            <w:hideMark/>
          </w:tcPr>
          <w:p w14:paraId="72BB2835" w14:textId="77777777" w:rsidR="00653571" w:rsidRPr="008C5F1C" w:rsidRDefault="00653571" w:rsidP="00EE349D">
            <w:pPr>
              <w:spacing w:after="120"/>
              <w:rPr>
                <w:rFonts w:ascii="Times New Roman" w:hAnsi="Times New Roman" w:cs="Times New Roman"/>
                <w:b/>
                <w:sz w:val="16"/>
                <w:szCs w:val="16"/>
              </w:rPr>
            </w:pPr>
            <w:r w:rsidRPr="008C5F1C">
              <w:rPr>
                <w:rFonts w:ascii="Times New Roman" w:hAnsi="Times New Roman" w:cs="Times New Roman"/>
                <w:b/>
                <w:sz w:val="16"/>
                <w:szCs w:val="16"/>
              </w:rPr>
              <w:t xml:space="preserve">Specific </w:t>
            </w:r>
            <w:proofErr w:type="spellStart"/>
            <w:r w:rsidRPr="008C5F1C">
              <w:rPr>
                <w:rFonts w:ascii="Times New Roman" w:hAnsi="Times New Roman" w:cs="Times New Roman"/>
                <w:b/>
                <w:sz w:val="16"/>
                <w:szCs w:val="16"/>
              </w:rPr>
              <w:t>objective</w:t>
            </w:r>
            <w:proofErr w:type="spellEnd"/>
            <w:r w:rsidRPr="008C5F1C">
              <w:rPr>
                <w:rFonts w:ascii="Times New Roman" w:hAnsi="Times New Roman" w:cs="Times New Roman"/>
                <w:b/>
                <w:sz w:val="16"/>
                <w:szCs w:val="16"/>
              </w:rPr>
              <w:t xml:space="preserve"> (Investment for </w:t>
            </w:r>
            <w:proofErr w:type="spellStart"/>
            <w:r w:rsidRPr="008C5F1C">
              <w:rPr>
                <w:rFonts w:ascii="Times New Roman" w:hAnsi="Times New Roman" w:cs="Times New Roman"/>
                <w:b/>
                <w:sz w:val="16"/>
                <w:szCs w:val="16"/>
              </w:rPr>
              <w:t>Jobs</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and</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Growth</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goal</w:t>
            </w:r>
            <w:proofErr w:type="spellEnd"/>
            <w:r w:rsidRPr="008C5F1C">
              <w:rPr>
                <w:rFonts w:ascii="Times New Roman" w:hAnsi="Times New Roman" w:cs="Times New Roman"/>
                <w:b/>
                <w:sz w:val="16"/>
                <w:szCs w:val="16"/>
              </w:rPr>
              <w:t xml:space="preserve"> or EMFF)</w:t>
            </w:r>
          </w:p>
        </w:tc>
        <w:tc>
          <w:tcPr>
            <w:tcW w:w="316" w:type="pct"/>
            <w:tcBorders>
              <w:top w:val="single" w:sz="4" w:space="0" w:color="auto"/>
              <w:left w:val="single" w:sz="4" w:space="0" w:color="auto"/>
              <w:bottom w:val="single" w:sz="4" w:space="0" w:color="auto"/>
              <w:right w:val="single" w:sz="4" w:space="0" w:color="auto"/>
            </w:tcBorders>
            <w:hideMark/>
          </w:tcPr>
          <w:p w14:paraId="11026BBF" w14:textId="77777777" w:rsidR="00653571" w:rsidRPr="008C5F1C" w:rsidRDefault="00653571" w:rsidP="00EE349D">
            <w:pPr>
              <w:spacing w:after="120"/>
              <w:rPr>
                <w:rFonts w:ascii="Times New Roman" w:hAnsi="Times New Roman" w:cs="Times New Roman"/>
                <w:b/>
                <w:sz w:val="16"/>
                <w:szCs w:val="16"/>
              </w:rPr>
            </w:pPr>
            <w:r w:rsidRPr="008C5F1C">
              <w:rPr>
                <w:rFonts w:ascii="Times New Roman" w:hAnsi="Times New Roman" w:cs="Times New Roman"/>
                <w:b/>
                <w:sz w:val="16"/>
                <w:szCs w:val="16"/>
              </w:rPr>
              <w:t>Fund</w:t>
            </w:r>
          </w:p>
        </w:tc>
        <w:tc>
          <w:tcPr>
            <w:tcW w:w="442" w:type="pct"/>
            <w:tcBorders>
              <w:top w:val="single" w:sz="4" w:space="0" w:color="auto"/>
              <w:left w:val="single" w:sz="4" w:space="0" w:color="auto"/>
              <w:bottom w:val="single" w:sz="4" w:space="0" w:color="auto"/>
              <w:right w:val="single" w:sz="4" w:space="0" w:color="auto"/>
            </w:tcBorders>
            <w:hideMark/>
          </w:tcPr>
          <w:p w14:paraId="24EC46D8" w14:textId="77777777" w:rsidR="00653571" w:rsidRPr="008C5F1C" w:rsidRDefault="00653571" w:rsidP="00EE349D">
            <w:pPr>
              <w:spacing w:after="120"/>
              <w:rPr>
                <w:rFonts w:ascii="Times New Roman" w:hAnsi="Times New Roman" w:cs="Times New Roman"/>
                <w:b/>
                <w:sz w:val="16"/>
                <w:szCs w:val="16"/>
              </w:rPr>
            </w:pPr>
            <w:proofErr w:type="spellStart"/>
            <w:r w:rsidRPr="008C5F1C">
              <w:rPr>
                <w:rFonts w:ascii="Times New Roman" w:hAnsi="Times New Roman" w:cs="Times New Roman"/>
                <w:b/>
                <w:sz w:val="16"/>
                <w:szCs w:val="16"/>
              </w:rPr>
              <w:t>Category</w:t>
            </w:r>
            <w:proofErr w:type="spellEnd"/>
            <w:r w:rsidRPr="008C5F1C">
              <w:rPr>
                <w:rFonts w:ascii="Times New Roman" w:hAnsi="Times New Roman" w:cs="Times New Roman"/>
                <w:b/>
                <w:sz w:val="16"/>
                <w:szCs w:val="16"/>
              </w:rPr>
              <w:t xml:space="preserve"> of </w:t>
            </w:r>
            <w:proofErr w:type="spellStart"/>
            <w:r w:rsidRPr="008C5F1C">
              <w:rPr>
                <w:rFonts w:ascii="Times New Roman" w:hAnsi="Times New Roman" w:cs="Times New Roman"/>
                <w:b/>
                <w:sz w:val="16"/>
                <w:szCs w:val="16"/>
              </w:rPr>
              <w:t>region</w:t>
            </w:r>
            <w:proofErr w:type="spellEnd"/>
          </w:p>
        </w:tc>
        <w:tc>
          <w:tcPr>
            <w:tcW w:w="275" w:type="pct"/>
            <w:tcBorders>
              <w:top w:val="single" w:sz="4" w:space="0" w:color="auto"/>
              <w:left w:val="single" w:sz="4" w:space="0" w:color="auto"/>
              <w:bottom w:val="single" w:sz="4" w:space="0" w:color="auto"/>
              <w:right w:val="single" w:sz="4" w:space="0" w:color="auto"/>
            </w:tcBorders>
            <w:hideMark/>
          </w:tcPr>
          <w:p w14:paraId="176698C0" w14:textId="77777777" w:rsidR="00653571" w:rsidRPr="008C5F1C" w:rsidRDefault="00653571" w:rsidP="00EE349D">
            <w:pPr>
              <w:spacing w:after="120"/>
              <w:rPr>
                <w:rFonts w:ascii="Times New Roman" w:hAnsi="Times New Roman" w:cs="Times New Roman"/>
                <w:b/>
                <w:sz w:val="16"/>
                <w:szCs w:val="16"/>
              </w:rPr>
            </w:pPr>
            <w:r w:rsidRPr="008C5F1C">
              <w:rPr>
                <w:rFonts w:ascii="Times New Roman" w:hAnsi="Times New Roman" w:cs="Times New Roman"/>
                <w:b/>
                <w:sz w:val="16"/>
                <w:szCs w:val="16"/>
              </w:rPr>
              <w:t>ID [5]</w:t>
            </w:r>
          </w:p>
        </w:tc>
        <w:tc>
          <w:tcPr>
            <w:tcW w:w="1075" w:type="pct"/>
            <w:tcBorders>
              <w:top w:val="single" w:sz="4" w:space="0" w:color="auto"/>
              <w:left w:val="single" w:sz="4" w:space="0" w:color="auto"/>
              <w:bottom w:val="single" w:sz="4" w:space="0" w:color="auto"/>
              <w:right w:val="single" w:sz="4" w:space="0" w:color="auto"/>
            </w:tcBorders>
            <w:hideMark/>
          </w:tcPr>
          <w:p w14:paraId="55FEADC7" w14:textId="77777777" w:rsidR="00653571" w:rsidRPr="008C5F1C" w:rsidRDefault="00653571" w:rsidP="00EE349D">
            <w:pPr>
              <w:spacing w:after="120"/>
              <w:rPr>
                <w:rFonts w:ascii="Times New Roman" w:hAnsi="Times New Roman" w:cs="Times New Roman"/>
                <w:b/>
                <w:sz w:val="16"/>
                <w:szCs w:val="16"/>
              </w:rPr>
            </w:pPr>
            <w:r w:rsidRPr="008C5F1C">
              <w:rPr>
                <w:rFonts w:ascii="Times New Roman" w:hAnsi="Times New Roman" w:cs="Times New Roman"/>
                <w:b/>
                <w:sz w:val="16"/>
                <w:szCs w:val="16"/>
              </w:rPr>
              <w:t xml:space="preserve">Indicator [255] </w:t>
            </w:r>
          </w:p>
        </w:tc>
        <w:tc>
          <w:tcPr>
            <w:tcW w:w="585" w:type="pct"/>
            <w:tcBorders>
              <w:top w:val="single" w:sz="4" w:space="0" w:color="auto"/>
              <w:left w:val="single" w:sz="4" w:space="0" w:color="auto"/>
              <w:bottom w:val="single" w:sz="4" w:space="0" w:color="auto"/>
              <w:right w:val="single" w:sz="4" w:space="0" w:color="auto"/>
            </w:tcBorders>
            <w:hideMark/>
          </w:tcPr>
          <w:p w14:paraId="265D95B1" w14:textId="77777777" w:rsidR="00653571" w:rsidRPr="008C5F1C" w:rsidRDefault="00653571" w:rsidP="00EE349D">
            <w:pPr>
              <w:spacing w:after="120"/>
              <w:rPr>
                <w:rFonts w:ascii="Times New Roman" w:hAnsi="Times New Roman" w:cs="Times New Roman"/>
                <w:b/>
                <w:sz w:val="16"/>
                <w:szCs w:val="16"/>
              </w:rPr>
            </w:pPr>
            <w:proofErr w:type="spellStart"/>
            <w:r w:rsidRPr="008C5F1C">
              <w:rPr>
                <w:rFonts w:ascii="Times New Roman" w:hAnsi="Times New Roman" w:cs="Times New Roman"/>
                <w:b/>
                <w:sz w:val="16"/>
                <w:szCs w:val="16"/>
              </w:rPr>
              <w:t>Measurement</w:t>
            </w:r>
            <w:proofErr w:type="spellEnd"/>
            <w:r w:rsidRPr="008C5F1C">
              <w:rPr>
                <w:rFonts w:ascii="Times New Roman" w:hAnsi="Times New Roman" w:cs="Times New Roman"/>
                <w:b/>
                <w:sz w:val="16"/>
                <w:szCs w:val="16"/>
              </w:rPr>
              <w:t xml:space="preserve"> unit</w:t>
            </w:r>
          </w:p>
        </w:tc>
        <w:tc>
          <w:tcPr>
            <w:tcW w:w="515" w:type="pct"/>
            <w:tcBorders>
              <w:top w:val="single" w:sz="4" w:space="0" w:color="auto"/>
              <w:left w:val="single" w:sz="4" w:space="0" w:color="auto"/>
              <w:bottom w:val="single" w:sz="4" w:space="0" w:color="auto"/>
              <w:right w:val="single" w:sz="4" w:space="0" w:color="auto"/>
            </w:tcBorders>
          </w:tcPr>
          <w:p w14:paraId="31B39868" w14:textId="656ED833" w:rsidR="00653571" w:rsidRPr="008C5F1C" w:rsidRDefault="00653571" w:rsidP="00EE349D">
            <w:pPr>
              <w:spacing w:after="120"/>
              <w:rPr>
                <w:rFonts w:ascii="Times New Roman" w:hAnsi="Times New Roman" w:cs="Times New Roman"/>
                <w:b/>
                <w:sz w:val="16"/>
                <w:szCs w:val="16"/>
              </w:rPr>
            </w:pPr>
            <w:proofErr w:type="spellStart"/>
            <w:r w:rsidRPr="008C5F1C">
              <w:rPr>
                <w:rFonts w:ascii="Times New Roman" w:hAnsi="Times New Roman" w:cs="Times New Roman"/>
                <w:b/>
                <w:sz w:val="16"/>
                <w:szCs w:val="16"/>
              </w:rPr>
              <w:t>Milestone</w:t>
            </w:r>
            <w:proofErr w:type="spellEnd"/>
            <w:r w:rsidRPr="008C5F1C">
              <w:rPr>
                <w:rFonts w:ascii="Times New Roman" w:hAnsi="Times New Roman" w:cs="Times New Roman"/>
                <w:b/>
                <w:sz w:val="16"/>
                <w:szCs w:val="16"/>
              </w:rPr>
              <w:t xml:space="preserve"> (2024)</w:t>
            </w:r>
          </w:p>
        </w:tc>
        <w:tc>
          <w:tcPr>
            <w:tcW w:w="650" w:type="pct"/>
            <w:tcBorders>
              <w:top w:val="single" w:sz="4" w:space="0" w:color="auto"/>
              <w:left w:val="single" w:sz="4" w:space="0" w:color="auto"/>
              <w:bottom w:val="single" w:sz="4" w:space="0" w:color="auto"/>
              <w:right w:val="single" w:sz="4" w:space="0" w:color="auto"/>
            </w:tcBorders>
          </w:tcPr>
          <w:p w14:paraId="51EAA23A" w14:textId="77777777" w:rsidR="00653571" w:rsidRPr="008C5F1C" w:rsidRDefault="00653571" w:rsidP="00EE349D">
            <w:pPr>
              <w:spacing w:after="120"/>
              <w:rPr>
                <w:rFonts w:ascii="Times New Roman" w:hAnsi="Times New Roman" w:cs="Times New Roman"/>
                <w:b/>
                <w:sz w:val="16"/>
                <w:szCs w:val="16"/>
              </w:rPr>
            </w:pPr>
            <w:r w:rsidRPr="008C5F1C">
              <w:rPr>
                <w:rFonts w:ascii="Times New Roman" w:hAnsi="Times New Roman" w:cs="Times New Roman"/>
                <w:b/>
                <w:sz w:val="16"/>
                <w:szCs w:val="16"/>
              </w:rPr>
              <w:t>Target (2029)</w:t>
            </w:r>
          </w:p>
          <w:p w14:paraId="315E59BF" w14:textId="77777777" w:rsidR="00653571" w:rsidRPr="008C5F1C" w:rsidRDefault="00653571" w:rsidP="00EE349D">
            <w:pPr>
              <w:spacing w:after="120"/>
              <w:rPr>
                <w:rFonts w:ascii="Times New Roman" w:hAnsi="Times New Roman" w:cs="Times New Roman"/>
                <w:b/>
                <w:sz w:val="16"/>
                <w:szCs w:val="16"/>
              </w:rPr>
            </w:pPr>
          </w:p>
        </w:tc>
      </w:tr>
      <w:tr w:rsidR="00653571" w:rsidRPr="008C5F1C" w14:paraId="12D799DD" w14:textId="77777777" w:rsidTr="00EE349D">
        <w:trPr>
          <w:trHeight w:val="1046"/>
        </w:trPr>
        <w:tc>
          <w:tcPr>
            <w:tcW w:w="383" w:type="pct"/>
            <w:tcBorders>
              <w:top w:val="single" w:sz="4" w:space="0" w:color="auto"/>
              <w:left w:val="single" w:sz="4" w:space="0" w:color="auto"/>
              <w:bottom w:val="single" w:sz="4" w:space="0" w:color="auto"/>
              <w:right w:val="single" w:sz="4" w:space="0" w:color="auto"/>
            </w:tcBorders>
          </w:tcPr>
          <w:p w14:paraId="714D2B1B" w14:textId="77777777" w:rsidR="00653571" w:rsidRPr="008C5F1C" w:rsidRDefault="006F2A71" w:rsidP="00EE349D">
            <w:pPr>
              <w:spacing w:after="120"/>
              <w:rPr>
                <w:rFonts w:ascii="Times New Roman" w:hAnsi="Times New Roman" w:cs="Times New Roman"/>
                <w:b/>
                <w:i/>
                <w:sz w:val="16"/>
                <w:szCs w:val="16"/>
              </w:rPr>
            </w:pPr>
            <w:r w:rsidRPr="008C5F1C">
              <w:rPr>
                <w:rFonts w:ascii="Times New Roman" w:hAnsi="Times New Roman" w:cs="Times New Roman"/>
                <w:b/>
                <w:i/>
                <w:sz w:val="16"/>
                <w:szCs w:val="16"/>
              </w:rPr>
              <w:t>1</w:t>
            </w:r>
          </w:p>
        </w:tc>
        <w:tc>
          <w:tcPr>
            <w:tcW w:w="759" w:type="pct"/>
            <w:tcBorders>
              <w:top w:val="single" w:sz="4" w:space="0" w:color="auto"/>
              <w:left w:val="single" w:sz="4" w:space="0" w:color="auto"/>
              <w:bottom w:val="single" w:sz="4" w:space="0" w:color="auto"/>
              <w:right w:val="single" w:sz="4" w:space="0" w:color="auto"/>
            </w:tcBorders>
          </w:tcPr>
          <w:p w14:paraId="387B8DF1" w14:textId="77777777" w:rsidR="00653571" w:rsidRPr="008C5F1C" w:rsidRDefault="00653571" w:rsidP="00EE349D">
            <w:pPr>
              <w:spacing w:after="120"/>
              <w:rPr>
                <w:rFonts w:ascii="Times New Roman" w:hAnsi="Times New Roman" w:cs="Times New Roman"/>
                <w:bCs/>
                <w:iCs/>
                <w:sz w:val="16"/>
                <w:szCs w:val="16"/>
              </w:rPr>
            </w:pPr>
            <w:r w:rsidRPr="008C5F1C">
              <w:rPr>
                <w:rFonts w:ascii="Times New Roman" w:hAnsi="Times New Roman" w:cs="Times New Roman"/>
                <w:noProof/>
                <w:sz w:val="16"/>
                <w:szCs w:val="16"/>
              </w:rPr>
              <w:t>a (iii) Impulsionarea cre</w:t>
            </w:r>
            <w:r w:rsidR="00106240" w:rsidRPr="008C5F1C">
              <w:rPr>
                <w:rFonts w:ascii="Times New Roman" w:hAnsi="Times New Roman" w:cs="Times New Roman"/>
                <w:noProof/>
                <w:sz w:val="16"/>
                <w:szCs w:val="16"/>
              </w:rPr>
              <w:t>ș</w:t>
            </w:r>
            <w:r w:rsidRPr="008C5F1C">
              <w:rPr>
                <w:rFonts w:ascii="Times New Roman" w:hAnsi="Times New Roman" w:cs="Times New Roman"/>
                <w:noProof/>
                <w:sz w:val="16"/>
                <w:szCs w:val="16"/>
              </w:rPr>
              <w:t xml:space="preserve">terii </w:t>
            </w:r>
            <w:r w:rsidR="00106240" w:rsidRPr="008C5F1C">
              <w:rPr>
                <w:rFonts w:ascii="Times New Roman" w:hAnsi="Times New Roman" w:cs="Times New Roman"/>
                <w:noProof/>
                <w:sz w:val="16"/>
                <w:szCs w:val="16"/>
              </w:rPr>
              <w:t>ș</w:t>
            </w:r>
            <w:r w:rsidRPr="008C5F1C">
              <w:rPr>
                <w:rFonts w:ascii="Times New Roman" w:hAnsi="Times New Roman" w:cs="Times New Roman"/>
                <w:noProof/>
                <w:sz w:val="16"/>
                <w:szCs w:val="16"/>
              </w:rPr>
              <w:t>i competitivit</w:t>
            </w:r>
            <w:r w:rsidR="00BA7827" w:rsidRPr="008C5F1C">
              <w:rPr>
                <w:rFonts w:ascii="Times New Roman" w:hAnsi="Times New Roman" w:cs="Times New Roman"/>
                <w:noProof/>
                <w:sz w:val="16"/>
                <w:szCs w:val="16"/>
              </w:rPr>
              <w:t>ă</w:t>
            </w:r>
            <w:r w:rsidR="00E22FF2" w:rsidRPr="008C5F1C">
              <w:rPr>
                <w:rFonts w:ascii="Times New Roman" w:hAnsi="Times New Roman" w:cs="Times New Roman"/>
                <w:noProof/>
                <w:sz w:val="16"/>
                <w:szCs w:val="16"/>
              </w:rPr>
              <w:t>ț</w:t>
            </w:r>
            <w:r w:rsidRPr="008C5F1C">
              <w:rPr>
                <w:rFonts w:ascii="Times New Roman" w:hAnsi="Times New Roman" w:cs="Times New Roman"/>
                <w:noProof/>
                <w:sz w:val="16"/>
                <w:szCs w:val="16"/>
              </w:rPr>
              <w:t>ii IMM-urilor</w:t>
            </w:r>
          </w:p>
        </w:tc>
        <w:tc>
          <w:tcPr>
            <w:tcW w:w="316" w:type="pct"/>
            <w:tcBorders>
              <w:top w:val="single" w:sz="4" w:space="0" w:color="auto"/>
              <w:left w:val="single" w:sz="4" w:space="0" w:color="auto"/>
              <w:bottom w:val="single" w:sz="4" w:space="0" w:color="auto"/>
              <w:right w:val="single" w:sz="4" w:space="0" w:color="auto"/>
            </w:tcBorders>
          </w:tcPr>
          <w:p w14:paraId="77011603" w14:textId="77777777" w:rsidR="00653571" w:rsidRPr="008C5F1C" w:rsidRDefault="00653571" w:rsidP="00EE349D">
            <w:pPr>
              <w:spacing w:after="120"/>
              <w:rPr>
                <w:rFonts w:ascii="Times New Roman" w:hAnsi="Times New Roman" w:cs="Times New Roman"/>
                <w:bCs/>
                <w:iCs/>
                <w:sz w:val="16"/>
                <w:szCs w:val="16"/>
              </w:rPr>
            </w:pPr>
            <w:r w:rsidRPr="008C5F1C">
              <w:rPr>
                <w:rFonts w:ascii="Times New Roman" w:hAnsi="Times New Roman" w:cs="Times New Roman"/>
                <w:noProof/>
                <w:sz w:val="16"/>
                <w:szCs w:val="16"/>
              </w:rPr>
              <w:t>FEDR</w:t>
            </w:r>
          </w:p>
        </w:tc>
        <w:tc>
          <w:tcPr>
            <w:tcW w:w="442" w:type="pct"/>
            <w:tcBorders>
              <w:top w:val="single" w:sz="4" w:space="0" w:color="auto"/>
              <w:left w:val="single" w:sz="4" w:space="0" w:color="auto"/>
              <w:bottom w:val="single" w:sz="4" w:space="0" w:color="auto"/>
              <w:right w:val="single" w:sz="4" w:space="0" w:color="auto"/>
            </w:tcBorders>
          </w:tcPr>
          <w:p w14:paraId="7FB66B85" w14:textId="77777777" w:rsidR="00653571" w:rsidRPr="008C5F1C" w:rsidRDefault="00653571" w:rsidP="00EE349D">
            <w:pPr>
              <w:spacing w:after="120"/>
              <w:rPr>
                <w:rFonts w:ascii="Times New Roman" w:hAnsi="Times New Roman" w:cs="Times New Roman"/>
                <w:bCs/>
                <w:iCs/>
                <w:sz w:val="16"/>
                <w:szCs w:val="16"/>
              </w:rPr>
            </w:pPr>
            <w:r w:rsidRPr="008C5F1C">
              <w:rPr>
                <w:rFonts w:ascii="Times New Roman" w:hAnsi="Times New Roman" w:cs="Times New Roman"/>
                <w:noProof/>
                <w:sz w:val="16"/>
                <w:szCs w:val="16"/>
              </w:rPr>
              <w:t>Mai pu</w:t>
            </w:r>
            <w:r w:rsidR="00E22FF2" w:rsidRPr="008C5F1C">
              <w:rPr>
                <w:rFonts w:ascii="Times New Roman" w:hAnsi="Times New Roman" w:cs="Times New Roman"/>
                <w:noProof/>
                <w:sz w:val="16"/>
                <w:szCs w:val="16"/>
              </w:rPr>
              <w:t>ț</w:t>
            </w:r>
            <w:r w:rsidRPr="008C5F1C">
              <w:rPr>
                <w:rFonts w:ascii="Times New Roman" w:hAnsi="Times New Roman" w:cs="Times New Roman"/>
                <w:noProof/>
                <w:sz w:val="16"/>
                <w:szCs w:val="16"/>
              </w:rPr>
              <w:t>in dezvoltate</w:t>
            </w:r>
          </w:p>
        </w:tc>
        <w:tc>
          <w:tcPr>
            <w:tcW w:w="275" w:type="pct"/>
            <w:tcBorders>
              <w:top w:val="single" w:sz="4" w:space="0" w:color="auto"/>
              <w:left w:val="single" w:sz="4" w:space="0" w:color="auto"/>
              <w:bottom w:val="single" w:sz="4" w:space="0" w:color="auto"/>
              <w:right w:val="single" w:sz="4" w:space="0" w:color="auto"/>
            </w:tcBorders>
          </w:tcPr>
          <w:p w14:paraId="1447C607" w14:textId="77777777" w:rsidR="00653571" w:rsidRPr="008C5F1C" w:rsidRDefault="00DB023F" w:rsidP="00EE349D">
            <w:pPr>
              <w:spacing w:after="120"/>
              <w:rPr>
                <w:rFonts w:ascii="Times New Roman" w:hAnsi="Times New Roman" w:cs="Times New Roman"/>
                <w:noProof/>
                <w:sz w:val="16"/>
                <w:szCs w:val="16"/>
              </w:rPr>
            </w:pPr>
            <w:r w:rsidRPr="008C5F1C">
              <w:rPr>
                <w:rFonts w:ascii="Times New Roman" w:hAnsi="Times New Roman" w:cs="Times New Roman"/>
                <w:noProof/>
                <w:sz w:val="16"/>
                <w:szCs w:val="16"/>
              </w:rPr>
              <w:t xml:space="preserve">RCO 01 </w:t>
            </w:r>
          </w:p>
        </w:tc>
        <w:tc>
          <w:tcPr>
            <w:tcW w:w="1075" w:type="pct"/>
            <w:tcBorders>
              <w:top w:val="single" w:sz="4" w:space="0" w:color="auto"/>
              <w:left w:val="single" w:sz="4" w:space="0" w:color="auto"/>
              <w:bottom w:val="single" w:sz="4" w:space="0" w:color="auto"/>
              <w:right w:val="single" w:sz="4" w:space="0" w:color="auto"/>
            </w:tcBorders>
          </w:tcPr>
          <w:p w14:paraId="2084C5FF" w14:textId="77777777" w:rsidR="00653571" w:rsidRPr="008C5F1C" w:rsidRDefault="00653571" w:rsidP="00EE349D">
            <w:pPr>
              <w:spacing w:after="120"/>
              <w:rPr>
                <w:rFonts w:ascii="Times New Roman" w:hAnsi="Times New Roman" w:cs="Times New Roman"/>
                <w:noProof/>
                <w:sz w:val="16"/>
                <w:szCs w:val="16"/>
              </w:rPr>
            </w:pPr>
            <w:r w:rsidRPr="008C5F1C">
              <w:rPr>
                <w:rFonts w:ascii="Times New Roman" w:hAnsi="Times New Roman" w:cs="Times New Roman"/>
                <w:noProof/>
                <w:sz w:val="16"/>
                <w:szCs w:val="16"/>
              </w:rPr>
              <w:t>RCO 01 - Întreprinderi care beneficiaz</w:t>
            </w:r>
            <w:r w:rsidR="00BA7827" w:rsidRPr="008C5F1C">
              <w:rPr>
                <w:rFonts w:ascii="Times New Roman" w:hAnsi="Times New Roman" w:cs="Times New Roman"/>
                <w:noProof/>
                <w:sz w:val="16"/>
                <w:szCs w:val="16"/>
              </w:rPr>
              <w:t>ă</w:t>
            </w:r>
            <w:r w:rsidRPr="008C5F1C">
              <w:rPr>
                <w:rFonts w:ascii="Times New Roman" w:hAnsi="Times New Roman" w:cs="Times New Roman"/>
                <w:noProof/>
                <w:sz w:val="16"/>
                <w:szCs w:val="16"/>
              </w:rPr>
              <w:t xml:space="preserve"> de sprijin (din</w:t>
            </w:r>
            <w:r w:rsidR="00DB023F" w:rsidRPr="008C5F1C">
              <w:rPr>
                <w:rFonts w:ascii="Times New Roman" w:hAnsi="Times New Roman" w:cs="Times New Roman"/>
                <w:noProof/>
                <w:sz w:val="16"/>
                <w:szCs w:val="16"/>
              </w:rPr>
              <w:t xml:space="preserve"> care: micro, mici, medii, mari)</w:t>
            </w:r>
          </w:p>
        </w:tc>
        <w:tc>
          <w:tcPr>
            <w:tcW w:w="585" w:type="pct"/>
            <w:tcBorders>
              <w:top w:val="single" w:sz="4" w:space="0" w:color="auto"/>
              <w:left w:val="single" w:sz="4" w:space="0" w:color="auto"/>
              <w:bottom w:val="single" w:sz="4" w:space="0" w:color="auto"/>
              <w:right w:val="single" w:sz="4" w:space="0" w:color="auto"/>
            </w:tcBorders>
          </w:tcPr>
          <w:p w14:paraId="20AC9E1B" w14:textId="77777777" w:rsidR="00653571" w:rsidRPr="008C5F1C" w:rsidRDefault="001E2025" w:rsidP="00EE349D">
            <w:pPr>
              <w:spacing w:after="120"/>
              <w:rPr>
                <w:rFonts w:ascii="Times New Roman" w:hAnsi="Times New Roman" w:cs="Times New Roman"/>
                <w:bCs/>
                <w:iCs/>
                <w:sz w:val="16"/>
                <w:szCs w:val="16"/>
              </w:rPr>
            </w:pPr>
            <w:proofErr w:type="spellStart"/>
            <w:r w:rsidRPr="008C5F1C">
              <w:rPr>
                <w:rFonts w:ascii="Times New Roman" w:hAnsi="Times New Roman" w:cs="Times New Roman"/>
                <w:bCs/>
                <w:iCs/>
                <w:sz w:val="16"/>
                <w:szCs w:val="16"/>
              </w:rPr>
              <w:t>Intreprinderi</w:t>
            </w:r>
            <w:proofErr w:type="spellEnd"/>
            <w:r w:rsidRPr="008C5F1C">
              <w:rPr>
                <w:rFonts w:ascii="Times New Roman" w:hAnsi="Times New Roman" w:cs="Times New Roman"/>
                <w:bCs/>
                <w:iCs/>
                <w:sz w:val="16"/>
                <w:szCs w:val="16"/>
              </w:rPr>
              <w:t xml:space="preserve"> </w:t>
            </w:r>
          </w:p>
        </w:tc>
        <w:tc>
          <w:tcPr>
            <w:tcW w:w="515" w:type="pct"/>
            <w:tcBorders>
              <w:top w:val="single" w:sz="4" w:space="0" w:color="auto"/>
              <w:left w:val="single" w:sz="4" w:space="0" w:color="auto"/>
              <w:bottom w:val="single" w:sz="4" w:space="0" w:color="auto"/>
              <w:right w:val="single" w:sz="4" w:space="0" w:color="auto"/>
            </w:tcBorders>
          </w:tcPr>
          <w:p w14:paraId="193A3CD1" w14:textId="112AD17A" w:rsidR="00653571" w:rsidRPr="008C5F1C" w:rsidRDefault="00F67F4B" w:rsidP="00EE349D">
            <w:pPr>
              <w:spacing w:after="120"/>
              <w:rPr>
                <w:rFonts w:ascii="Times New Roman" w:hAnsi="Times New Roman" w:cs="Times New Roman"/>
                <w:bCs/>
                <w:iCs/>
                <w:sz w:val="16"/>
                <w:szCs w:val="16"/>
              </w:rPr>
            </w:pPr>
            <w:r w:rsidRPr="008C5F1C">
              <w:rPr>
                <w:rFonts w:ascii="Times New Roman" w:hAnsi="Times New Roman" w:cs="Times New Roman"/>
                <w:bCs/>
                <w:iCs/>
                <w:sz w:val="16"/>
                <w:szCs w:val="16"/>
              </w:rPr>
              <w:t>70</w:t>
            </w:r>
          </w:p>
        </w:tc>
        <w:tc>
          <w:tcPr>
            <w:tcW w:w="650" w:type="pct"/>
            <w:tcBorders>
              <w:top w:val="single" w:sz="4" w:space="0" w:color="auto"/>
              <w:left w:val="single" w:sz="4" w:space="0" w:color="auto"/>
              <w:bottom w:val="single" w:sz="4" w:space="0" w:color="auto"/>
              <w:right w:val="single" w:sz="4" w:space="0" w:color="auto"/>
            </w:tcBorders>
          </w:tcPr>
          <w:p w14:paraId="6A3BCA95" w14:textId="13CF16D3" w:rsidR="00653571" w:rsidRPr="008C5F1C" w:rsidRDefault="00F67F4B" w:rsidP="00EE349D">
            <w:pPr>
              <w:spacing w:after="120"/>
              <w:rPr>
                <w:rFonts w:ascii="Times New Roman" w:hAnsi="Times New Roman" w:cs="Times New Roman"/>
                <w:bCs/>
                <w:iCs/>
                <w:sz w:val="16"/>
                <w:szCs w:val="16"/>
              </w:rPr>
            </w:pPr>
            <w:r w:rsidRPr="008C5F1C">
              <w:rPr>
                <w:rFonts w:ascii="Times New Roman" w:hAnsi="Times New Roman" w:cs="Times New Roman"/>
                <w:bCs/>
                <w:iCs/>
                <w:sz w:val="16"/>
                <w:szCs w:val="16"/>
              </w:rPr>
              <w:t>250</w:t>
            </w:r>
          </w:p>
        </w:tc>
      </w:tr>
      <w:tr w:rsidR="00AA3A94" w:rsidRPr="008C5F1C" w14:paraId="113F0C2D" w14:textId="77777777" w:rsidTr="00395330">
        <w:trPr>
          <w:trHeight w:val="340"/>
        </w:trPr>
        <w:tc>
          <w:tcPr>
            <w:tcW w:w="383" w:type="pct"/>
            <w:tcBorders>
              <w:top w:val="single" w:sz="4" w:space="0" w:color="auto"/>
              <w:left w:val="single" w:sz="4" w:space="0" w:color="auto"/>
              <w:bottom w:val="single" w:sz="4" w:space="0" w:color="auto"/>
              <w:right w:val="single" w:sz="4" w:space="0" w:color="auto"/>
            </w:tcBorders>
          </w:tcPr>
          <w:p w14:paraId="2C7D9582" w14:textId="77777777" w:rsidR="00AA3A94" w:rsidRPr="008C5F1C" w:rsidRDefault="00AA3A94" w:rsidP="00EE349D">
            <w:pPr>
              <w:spacing w:after="120"/>
              <w:rPr>
                <w:rFonts w:ascii="Times New Roman" w:hAnsi="Times New Roman" w:cs="Times New Roman"/>
                <w:b/>
                <w:i/>
                <w:sz w:val="16"/>
                <w:szCs w:val="16"/>
              </w:rPr>
            </w:pPr>
            <w:r w:rsidRPr="008C5F1C">
              <w:rPr>
                <w:rFonts w:ascii="Times New Roman" w:hAnsi="Times New Roman" w:cs="Times New Roman"/>
                <w:b/>
                <w:i/>
                <w:sz w:val="16"/>
                <w:szCs w:val="16"/>
              </w:rPr>
              <w:t>1</w:t>
            </w:r>
          </w:p>
        </w:tc>
        <w:tc>
          <w:tcPr>
            <w:tcW w:w="759" w:type="pct"/>
            <w:tcBorders>
              <w:top w:val="single" w:sz="4" w:space="0" w:color="auto"/>
              <w:left w:val="single" w:sz="4" w:space="0" w:color="auto"/>
              <w:bottom w:val="single" w:sz="4" w:space="0" w:color="auto"/>
              <w:right w:val="single" w:sz="4" w:space="0" w:color="auto"/>
            </w:tcBorders>
          </w:tcPr>
          <w:p w14:paraId="68DD7264" w14:textId="77777777" w:rsidR="00AA3A94" w:rsidRPr="008C5F1C" w:rsidRDefault="00AA3A94" w:rsidP="00EE349D">
            <w:pPr>
              <w:spacing w:after="120"/>
              <w:rPr>
                <w:rFonts w:ascii="Times New Roman" w:hAnsi="Times New Roman" w:cs="Times New Roman"/>
                <w:noProof/>
                <w:sz w:val="16"/>
                <w:szCs w:val="16"/>
              </w:rPr>
            </w:pPr>
            <w:r w:rsidRPr="008C5F1C">
              <w:rPr>
                <w:rFonts w:ascii="Times New Roman" w:hAnsi="Times New Roman" w:cs="Times New Roman"/>
                <w:noProof/>
                <w:sz w:val="16"/>
                <w:szCs w:val="16"/>
              </w:rPr>
              <w:t>a (iii) Impulsionarea cre</w:t>
            </w:r>
            <w:r w:rsidR="00106240" w:rsidRPr="008C5F1C">
              <w:rPr>
                <w:rFonts w:ascii="Times New Roman" w:hAnsi="Times New Roman" w:cs="Times New Roman"/>
                <w:noProof/>
                <w:sz w:val="16"/>
                <w:szCs w:val="16"/>
              </w:rPr>
              <w:t>ș</w:t>
            </w:r>
            <w:r w:rsidRPr="008C5F1C">
              <w:rPr>
                <w:rFonts w:ascii="Times New Roman" w:hAnsi="Times New Roman" w:cs="Times New Roman"/>
                <w:noProof/>
                <w:sz w:val="16"/>
                <w:szCs w:val="16"/>
              </w:rPr>
              <w:t xml:space="preserve">terii </w:t>
            </w:r>
            <w:r w:rsidR="00106240" w:rsidRPr="008C5F1C">
              <w:rPr>
                <w:rFonts w:ascii="Times New Roman" w:hAnsi="Times New Roman" w:cs="Times New Roman"/>
                <w:noProof/>
                <w:sz w:val="16"/>
                <w:szCs w:val="16"/>
              </w:rPr>
              <w:t>ș</w:t>
            </w:r>
            <w:r w:rsidRPr="008C5F1C">
              <w:rPr>
                <w:rFonts w:ascii="Times New Roman" w:hAnsi="Times New Roman" w:cs="Times New Roman"/>
                <w:noProof/>
                <w:sz w:val="16"/>
                <w:szCs w:val="16"/>
              </w:rPr>
              <w:t>i competitivită</w:t>
            </w:r>
            <w:r w:rsidR="00E22FF2" w:rsidRPr="008C5F1C">
              <w:rPr>
                <w:rFonts w:ascii="Times New Roman" w:hAnsi="Times New Roman" w:cs="Times New Roman"/>
                <w:noProof/>
                <w:sz w:val="16"/>
                <w:szCs w:val="16"/>
              </w:rPr>
              <w:t>ț</w:t>
            </w:r>
            <w:r w:rsidRPr="008C5F1C">
              <w:rPr>
                <w:rFonts w:ascii="Times New Roman" w:hAnsi="Times New Roman" w:cs="Times New Roman"/>
                <w:noProof/>
                <w:sz w:val="16"/>
                <w:szCs w:val="16"/>
              </w:rPr>
              <w:t>ii IMM-urilor</w:t>
            </w:r>
          </w:p>
        </w:tc>
        <w:tc>
          <w:tcPr>
            <w:tcW w:w="316" w:type="pct"/>
            <w:tcBorders>
              <w:top w:val="single" w:sz="4" w:space="0" w:color="auto"/>
              <w:left w:val="single" w:sz="4" w:space="0" w:color="auto"/>
              <w:bottom w:val="single" w:sz="4" w:space="0" w:color="auto"/>
              <w:right w:val="single" w:sz="4" w:space="0" w:color="auto"/>
            </w:tcBorders>
          </w:tcPr>
          <w:p w14:paraId="127A6230" w14:textId="77777777" w:rsidR="00AA3A94" w:rsidRPr="008C5F1C" w:rsidRDefault="00AA3A94" w:rsidP="00EE349D">
            <w:pPr>
              <w:spacing w:after="120"/>
              <w:rPr>
                <w:rFonts w:ascii="Times New Roman" w:hAnsi="Times New Roman" w:cs="Times New Roman"/>
                <w:noProof/>
                <w:sz w:val="16"/>
                <w:szCs w:val="16"/>
              </w:rPr>
            </w:pPr>
            <w:r w:rsidRPr="008C5F1C">
              <w:rPr>
                <w:rFonts w:ascii="Times New Roman" w:hAnsi="Times New Roman" w:cs="Times New Roman"/>
                <w:noProof/>
                <w:sz w:val="16"/>
                <w:szCs w:val="16"/>
              </w:rPr>
              <w:t>FEDR</w:t>
            </w:r>
          </w:p>
        </w:tc>
        <w:tc>
          <w:tcPr>
            <w:tcW w:w="442" w:type="pct"/>
            <w:tcBorders>
              <w:top w:val="single" w:sz="4" w:space="0" w:color="auto"/>
              <w:left w:val="single" w:sz="4" w:space="0" w:color="auto"/>
              <w:bottom w:val="single" w:sz="4" w:space="0" w:color="auto"/>
              <w:right w:val="single" w:sz="4" w:space="0" w:color="auto"/>
            </w:tcBorders>
          </w:tcPr>
          <w:p w14:paraId="7C158893" w14:textId="77777777" w:rsidR="00AA3A94" w:rsidRPr="008C5F1C" w:rsidRDefault="00AA3A94" w:rsidP="00EE349D">
            <w:pPr>
              <w:spacing w:after="120"/>
              <w:rPr>
                <w:rFonts w:ascii="Times New Roman" w:hAnsi="Times New Roman" w:cs="Times New Roman"/>
                <w:noProof/>
                <w:sz w:val="16"/>
                <w:szCs w:val="16"/>
              </w:rPr>
            </w:pPr>
            <w:r w:rsidRPr="008C5F1C">
              <w:rPr>
                <w:rFonts w:ascii="Times New Roman" w:hAnsi="Times New Roman" w:cs="Times New Roman"/>
                <w:noProof/>
                <w:sz w:val="16"/>
                <w:szCs w:val="16"/>
              </w:rPr>
              <w:t>Mai pu</w:t>
            </w:r>
            <w:r w:rsidR="00E22FF2" w:rsidRPr="008C5F1C">
              <w:rPr>
                <w:rFonts w:ascii="Times New Roman" w:hAnsi="Times New Roman" w:cs="Times New Roman"/>
                <w:noProof/>
                <w:sz w:val="16"/>
                <w:szCs w:val="16"/>
              </w:rPr>
              <w:t>ț</w:t>
            </w:r>
            <w:r w:rsidRPr="008C5F1C">
              <w:rPr>
                <w:rFonts w:ascii="Times New Roman" w:hAnsi="Times New Roman" w:cs="Times New Roman"/>
                <w:noProof/>
                <w:sz w:val="16"/>
                <w:szCs w:val="16"/>
              </w:rPr>
              <w:t>in dezvoltate</w:t>
            </w:r>
          </w:p>
        </w:tc>
        <w:tc>
          <w:tcPr>
            <w:tcW w:w="275" w:type="pct"/>
            <w:tcBorders>
              <w:top w:val="single" w:sz="4" w:space="0" w:color="auto"/>
              <w:left w:val="single" w:sz="4" w:space="0" w:color="auto"/>
              <w:bottom w:val="single" w:sz="4" w:space="0" w:color="auto"/>
              <w:right w:val="single" w:sz="4" w:space="0" w:color="auto"/>
            </w:tcBorders>
          </w:tcPr>
          <w:p w14:paraId="612577FF" w14:textId="77777777" w:rsidR="00AA3A94" w:rsidRPr="008C5F1C" w:rsidRDefault="00DC66DB" w:rsidP="00EE349D">
            <w:pPr>
              <w:spacing w:after="120"/>
              <w:rPr>
                <w:rFonts w:ascii="Times New Roman" w:hAnsi="Times New Roman" w:cs="Times New Roman"/>
                <w:noProof/>
                <w:sz w:val="16"/>
                <w:szCs w:val="16"/>
              </w:rPr>
            </w:pPr>
            <w:r w:rsidRPr="008C5F1C">
              <w:rPr>
                <w:rFonts w:ascii="Times New Roman" w:hAnsi="Times New Roman" w:cs="Times New Roman"/>
                <w:noProof/>
                <w:sz w:val="16"/>
                <w:szCs w:val="16"/>
              </w:rPr>
              <w:t>RCO 15</w:t>
            </w:r>
          </w:p>
        </w:tc>
        <w:tc>
          <w:tcPr>
            <w:tcW w:w="1075" w:type="pct"/>
            <w:tcBorders>
              <w:top w:val="single" w:sz="4" w:space="0" w:color="auto"/>
              <w:left w:val="single" w:sz="4" w:space="0" w:color="auto"/>
              <w:bottom w:val="single" w:sz="4" w:space="0" w:color="auto"/>
              <w:right w:val="single" w:sz="4" w:space="0" w:color="auto"/>
            </w:tcBorders>
          </w:tcPr>
          <w:p w14:paraId="75795091" w14:textId="77777777" w:rsidR="00AA3A94" w:rsidRPr="008C5F1C" w:rsidRDefault="00DC66DB" w:rsidP="00EE349D">
            <w:pPr>
              <w:spacing w:after="120"/>
              <w:rPr>
                <w:rFonts w:ascii="Times New Roman" w:hAnsi="Times New Roman" w:cs="Times New Roman"/>
                <w:noProof/>
                <w:sz w:val="16"/>
                <w:szCs w:val="16"/>
              </w:rPr>
            </w:pPr>
            <w:r w:rsidRPr="008C5F1C">
              <w:rPr>
                <w:rFonts w:ascii="Times New Roman" w:hAnsi="Times New Roman" w:cs="Times New Roman"/>
                <w:noProof/>
                <w:sz w:val="16"/>
                <w:szCs w:val="16"/>
              </w:rPr>
              <w:t>RCO 15 - Capacity of incubation created</w:t>
            </w:r>
          </w:p>
        </w:tc>
        <w:tc>
          <w:tcPr>
            <w:tcW w:w="585" w:type="pct"/>
            <w:tcBorders>
              <w:top w:val="single" w:sz="4" w:space="0" w:color="auto"/>
              <w:left w:val="single" w:sz="4" w:space="0" w:color="auto"/>
              <w:bottom w:val="single" w:sz="4" w:space="0" w:color="auto"/>
              <w:right w:val="single" w:sz="4" w:space="0" w:color="auto"/>
            </w:tcBorders>
          </w:tcPr>
          <w:p w14:paraId="4A14D033" w14:textId="77777777" w:rsidR="00AA3A94" w:rsidRPr="008C5F1C" w:rsidRDefault="00DC66DB" w:rsidP="00EE349D">
            <w:pPr>
              <w:spacing w:after="120"/>
              <w:rPr>
                <w:rFonts w:ascii="Times New Roman" w:hAnsi="Times New Roman" w:cs="Times New Roman"/>
                <w:bCs/>
                <w:iCs/>
                <w:sz w:val="16"/>
                <w:szCs w:val="16"/>
              </w:rPr>
            </w:pPr>
            <w:proofErr w:type="spellStart"/>
            <w:r w:rsidRPr="008C5F1C">
              <w:rPr>
                <w:rFonts w:ascii="Times New Roman" w:hAnsi="Times New Roman" w:cs="Times New Roman"/>
                <w:bCs/>
                <w:iCs/>
                <w:sz w:val="16"/>
                <w:szCs w:val="16"/>
              </w:rPr>
              <w:t>Intreprinderi</w:t>
            </w:r>
            <w:proofErr w:type="spellEnd"/>
          </w:p>
        </w:tc>
        <w:tc>
          <w:tcPr>
            <w:tcW w:w="515" w:type="pct"/>
            <w:tcBorders>
              <w:top w:val="single" w:sz="4" w:space="0" w:color="auto"/>
              <w:left w:val="single" w:sz="4" w:space="0" w:color="auto"/>
              <w:bottom w:val="single" w:sz="4" w:space="0" w:color="auto"/>
              <w:right w:val="single" w:sz="4" w:space="0" w:color="auto"/>
            </w:tcBorders>
          </w:tcPr>
          <w:p w14:paraId="1B840261" w14:textId="1CE66568" w:rsidR="00AA3A94" w:rsidRPr="008C5F1C" w:rsidRDefault="00761529" w:rsidP="00EE349D">
            <w:pPr>
              <w:spacing w:after="120"/>
              <w:rPr>
                <w:rFonts w:ascii="Times New Roman" w:hAnsi="Times New Roman" w:cs="Times New Roman"/>
                <w:bCs/>
                <w:iCs/>
                <w:sz w:val="16"/>
                <w:szCs w:val="16"/>
              </w:rPr>
            </w:pPr>
            <w:r w:rsidRPr="008C5F1C">
              <w:rPr>
                <w:rFonts w:ascii="Times New Roman" w:hAnsi="Times New Roman" w:cs="Times New Roman"/>
                <w:bCs/>
                <w:iCs/>
                <w:sz w:val="16"/>
                <w:szCs w:val="16"/>
              </w:rPr>
              <w:t>0</w:t>
            </w:r>
          </w:p>
        </w:tc>
        <w:tc>
          <w:tcPr>
            <w:tcW w:w="650" w:type="pct"/>
            <w:tcBorders>
              <w:top w:val="single" w:sz="4" w:space="0" w:color="auto"/>
              <w:left w:val="single" w:sz="4" w:space="0" w:color="auto"/>
              <w:bottom w:val="single" w:sz="4" w:space="0" w:color="auto"/>
              <w:right w:val="single" w:sz="4" w:space="0" w:color="auto"/>
            </w:tcBorders>
          </w:tcPr>
          <w:p w14:paraId="325C1283" w14:textId="71E974A2" w:rsidR="00AA3A94" w:rsidRPr="008C5F1C" w:rsidRDefault="009B746B" w:rsidP="00EE349D">
            <w:pPr>
              <w:spacing w:after="120"/>
              <w:rPr>
                <w:rFonts w:ascii="Times New Roman" w:hAnsi="Times New Roman" w:cs="Times New Roman"/>
                <w:bCs/>
                <w:iCs/>
                <w:sz w:val="16"/>
                <w:szCs w:val="16"/>
              </w:rPr>
            </w:pPr>
            <w:r w:rsidRPr="008C5F1C">
              <w:rPr>
                <w:rFonts w:ascii="Times New Roman" w:hAnsi="Times New Roman" w:cs="Times New Roman"/>
                <w:bCs/>
                <w:iCs/>
                <w:sz w:val="16"/>
                <w:szCs w:val="16"/>
              </w:rPr>
              <w:t>156</w:t>
            </w:r>
          </w:p>
        </w:tc>
      </w:tr>
    </w:tbl>
    <w:p w14:paraId="3AC2D2FE" w14:textId="77777777" w:rsidR="00653571" w:rsidRPr="008C5F1C" w:rsidRDefault="00653571" w:rsidP="00653571">
      <w:pPr>
        <w:rPr>
          <w:rFonts w:ascii="Times New Roman" w:hAnsi="Times New Roman" w:cs="Times New Roman"/>
          <w:sz w:val="14"/>
        </w:rPr>
      </w:pPr>
    </w:p>
    <w:tbl>
      <w:tblPr>
        <w:tblW w:w="53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8"/>
        <w:gridCol w:w="1194"/>
        <w:gridCol w:w="625"/>
        <w:gridCol w:w="874"/>
        <w:gridCol w:w="537"/>
        <w:gridCol w:w="1110"/>
        <w:gridCol w:w="1158"/>
        <w:gridCol w:w="856"/>
        <w:gridCol w:w="900"/>
        <w:gridCol w:w="679"/>
        <w:gridCol w:w="812"/>
        <w:gridCol w:w="1159"/>
      </w:tblGrid>
      <w:tr w:rsidR="00653571" w:rsidRPr="008C5F1C" w14:paraId="33247900" w14:textId="77777777" w:rsidTr="00E453CE">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14:paraId="5F254066" w14:textId="77777777" w:rsidR="00653571" w:rsidRPr="008C5F1C" w:rsidRDefault="00653571" w:rsidP="00534127">
            <w:pPr>
              <w:rPr>
                <w:rFonts w:ascii="Times New Roman" w:hAnsi="Times New Roman" w:cs="Times New Roman"/>
                <w:b/>
              </w:rPr>
            </w:pPr>
            <w:r w:rsidRPr="008C5F1C">
              <w:rPr>
                <w:rFonts w:ascii="Times New Roman" w:hAnsi="Times New Roman" w:cs="Times New Roman"/>
                <w:b/>
                <w:iCs/>
              </w:rPr>
              <w:t xml:space="preserve">Table 3: </w:t>
            </w:r>
            <w:proofErr w:type="spellStart"/>
            <w:r w:rsidRPr="008C5F1C">
              <w:rPr>
                <w:rFonts w:ascii="Times New Roman" w:hAnsi="Times New Roman" w:cs="Times New Roman"/>
                <w:b/>
                <w:iCs/>
              </w:rPr>
              <w:t>Result</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indicators</w:t>
            </w:r>
            <w:proofErr w:type="spellEnd"/>
          </w:p>
        </w:tc>
      </w:tr>
      <w:tr w:rsidR="00653571" w:rsidRPr="008C5F1C" w14:paraId="6F359875" w14:textId="77777777" w:rsidTr="00EE349D">
        <w:trPr>
          <w:trHeight w:val="1124"/>
        </w:trPr>
        <w:tc>
          <w:tcPr>
            <w:tcW w:w="368" w:type="pct"/>
            <w:tcBorders>
              <w:top w:val="single" w:sz="4" w:space="0" w:color="auto"/>
              <w:left w:val="single" w:sz="4" w:space="0" w:color="auto"/>
              <w:bottom w:val="single" w:sz="4" w:space="0" w:color="auto"/>
              <w:right w:val="single" w:sz="4" w:space="0" w:color="auto"/>
            </w:tcBorders>
            <w:hideMark/>
          </w:tcPr>
          <w:p w14:paraId="1942B6B7" w14:textId="77777777" w:rsidR="00653571" w:rsidRPr="008C5F1C" w:rsidRDefault="00653571" w:rsidP="00EE349D">
            <w:pPr>
              <w:spacing w:after="0"/>
              <w:rPr>
                <w:rFonts w:ascii="Times New Roman" w:hAnsi="Times New Roman" w:cs="Times New Roman"/>
                <w:b/>
                <w:sz w:val="16"/>
                <w:szCs w:val="16"/>
              </w:rPr>
            </w:pPr>
            <w:proofErr w:type="spellStart"/>
            <w:r w:rsidRPr="008C5F1C">
              <w:rPr>
                <w:rFonts w:ascii="Times New Roman" w:hAnsi="Times New Roman" w:cs="Times New Roman"/>
                <w:b/>
                <w:sz w:val="16"/>
                <w:szCs w:val="16"/>
              </w:rPr>
              <w:lastRenderedPageBreak/>
              <w:t>Priority</w:t>
            </w:r>
            <w:proofErr w:type="spellEnd"/>
            <w:r w:rsidRPr="008C5F1C">
              <w:rPr>
                <w:rFonts w:ascii="Times New Roman" w:hAnsi="Times New Roman" w:cs="Times New Roman"/>
                <w:b/>
                <w:sz w:val="16"/>
                <w:szCs w:val="16"/>
              </w:rPr>
              <w:t xml:space="preserve"> </w:t>
            </w:r>
          </w:p>
        </w:tc>
        <w:tc>
          <w:tcPr>
            <w:tcW w:w="387" w:type="pct"/>
            <w:tcBorders>
              <w:top w:val="single" w:sz="4" w:space="0" w:color="auto"/>
              <w:left w:val="single" w:sz="4" w:space="0" w:color="auto"/>
              <w:bottom w:val="single" w:sz="4" w:space="0" w:color="auto"/>
              <w:right w:val="single" w:sz="4" w:space="0" w:color="auto"/>
            </w:tcBorders>
            <w:hideMark/>
          </w:tcPr>
          <w:p w14:paraId="2F68496C" w14:textId="77777777" w:rsidR="00653571" w:rsidRPr="008C5F1C" w:rsidRDefault="00653571" w:rsidP="00EE349D">
            <w:pPr>
              <w:spacing w:after="0"/>
              <w:rPr>
                <w:rFonts w:ascii="Times New Roman" w:hAnsi="Times New Roman" w:cs="Times New Roman"/>
                <w:b/>
                <w:sz w:val="16"/>
                <w:szCs w:val="16"/>
              </w:rPr>
            </w:pPr>
            <w:r w:rsidRPr="008C5F1C">
              <w:rPr>
                <w:rFonts w:ascii="Times New Roman" w:hAnsi="Times New Roman" w:cs="Times New Roman"/>
                <w:b/>
                <w:sz w:val="16"/>
                <w:szCs w:val="16"/>
              </w:rPr>
              <w:t xml:space="preserve">Specific </w:t>
            </w:r>
            <w:proofErr w:type="spellStart"/>
            <w:r w:rsidRPr="008C5F1C">
              <w:rPr>
                <w:rFonts w:ascii="Times New Roman" w:hAnsi="Times New Roman" w:cs="Times New Roman"/>
                <w:b/>
                <w:sz w:val="16"/>
                <w:szCs w:val="16"/>
              </w:rPr>
              <w:t>objective</w:t>
            </w:r>
            <w:proofErr w:type="spellEnd"/>
            <w:r w:rsidRPr="008C5F1C">
              <w:rPr>
                <w:rFonts w:ascii="Times New Roman" w:hAnsi="Times New Roman" w:cs="Times New Roman"/>
                <w:b/>
                <w:sz w:val="16"/>
                <w:szCs w:val="16"/>
              </w:rPr>
              <w:t xml:space="preserve"> (Investment for </w:t>
            </w:r>
            <w:proofErr w:type="spellStart"/>
            <w:r w:rsidRPr="008C5F1C">
              <w:rPr>
                <w:rFonts w:ascii="Times New Roman" w:hAnsi="Times New Roman" w:cs="Times New Roman"/>
                <w:b/>
                <w:sz w:val="16"/>
                <w:szCs w:val="16"/>
              </w:rPr>
              <w:t>Jobs</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and</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Growth</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goal</w:t>
            </w:r>
            <w:proofErr w:type="spellEnd"/>
            <w:r w:rsidRPr="008C5F1C">
              <w:rPr>
                <w:rFonts w:ascii="Times New Roman" w:hAnsi="Times New Roman" w:cs="Times New Roman"/>
                <w:b/>
                <w:sz w:val="16"/>
                <w:szCs w:val="16"/>
              </w:rPr>
              <w:t xml:space="preserve"> or EMFF)</w:t>
            </w:r>
          </w:p>
        </w:tc>
        <w:tc>
          <w:tcPr>
            <w:tcW w:w="303" w:type="pct"/>
            <w:tcBorders>
              <w:top w:val="single" w:sz="4" w:space="0" w:color="auto"/>
              <w:left w:val="single" w:sz="4" w:space="0" w:color="auto"/>
              <w:bottom w:val="single" w:sz="4" w:space="0" w:color="auto"/>
              <w:right w:val="single" w:sz="4" w:space="0" w:color="auto"/>
            </w:tcBorders>
            <w:hideMark/>
          </w:tcPr>
          <w:p w14:paraId="4ED57DE3" w14:textId="77777777" w:rsidR="00653571" w:rsidRPr="008C5F1C" w:rsidRDefault="00653571" w:rsidP="00EE349D">
            <w:pPr>
              <w:spacing w:after="0"/>
              <w:rPr>
                <w:rFonts w:ascii="Times New Roman" w:hAnsi="Times New Roman" w:cs="Times New Roman"/>
                <w:b/>
                <w:sz w:val="16"/>
                <w:szCs w:val="16"/>
              </w:rPr>
            </w:pPr>
            <w:r w:rsidRPr="008C5F1C">
              <w:rPr>
                <w:rFonts w:ascii="Times New Roman" w:hAnsi="Times New Roman" w:cs="Times New Roman"/>
                <w:b/>
                <w:sz w:val="16"/>
                <w:szCs w:val="16"/>
              </w:rPr>
              <w:t>Fund</w:t>
            </w:r>
          </w:p>
        </w:tc>
        <w:tc>
          <w:tcPr>
            <w:tcW w:w="424" w:type="pct"/>
            <w:tcBorders>
              <w:top w:val="single" w:sz="4" w:space="0" w:color="auto"/>
              <w:left w:val="single" w:sz="4" w:space="0" w:color="auto"/>
              <w:bottom w:val="single" w:sz="4" w:space="0" w:color="auto"/>
              <w:right w:val="single" w:sz="4" w:space="0" w:color="auto"/>
            </w:tcBorders>
            <w:hideMark/>
          </w:tcPr>
          <w:p w14:paraId="6F4B5C82" w14:textId="77777777" w:rsidR="00653571" w:rsidRPr="008C5F1C" w:rsidRDefault="00653571" w:rsidP="00EE349D">
            <w:pPr>
              <w:spacing w:after="0"/>
              <w:rPr>
                <w:rFonts w:ascii="Times New Roman" w:hAnsi="Times New Roman" w:cs="Times New Roman"/>
                <w:b/>
                <w:sz w:val="16"/>
                <w:szCs w:val="16"/>
              </w:rPr>
            </w:pPr>
            <w:proofErr w:type="spellStart"/>
            <w:r w:rsidRPr="008C5F1C">
              <w:rPr>
                <w:rFonts w:ascii="Times New Roman" w:hAnsi="Times New Roman" w:cs="Times New Roman"/>
                <w:b/>
                <w:sz w:val="16"/>
                <w:szCs w:val="16"/>
              </w:rPr>
              <w:t>Category</w:t>
            </w:r>
            <w:proofErr w:type="spellEnd"/>
            <w:r w:rsidRPr="008C5F1C">
              <w:rPr>
                <w:rFonts w:ascii="Times New Roman" w:hAnsi="Times New Roman" w:cs="Times New Roman"/>
                <w:b/>
                <w:sz w:val="16"/>
                <w:szCs w:val="16"/>
              </w:rPr>
              <w:t xml:space="preserve"> of </w:t>
            </w:r>
            <w:proofErr w:type="spellStart"/>
            <w:r w:rsidRPr="008C5F1C">
              <w:rPr>
                <w:rFonts w:ascii="Times New Roman" w:hAnsi="Times New Roman" w:cs="Times New Roman"/>
                <w:b/>
                <w:sz w:val="16"/>
                <w:szCs w:val="16"/>
              </w:rPr>
              <w:t>region</w:t>
            </w:r>
            <w:proofErr w:type="spellEnd"/>
            <w:r w:rsidRPr="008C5F1C">
              <w:rPr>
                <w:rFonts w:ascii="Times New Roman" w:hAnsi="Times New Roman" w:cs="Times New Roman"/>
                <w:sz w:val="16"/>
                <w:szCs w:val="16"/>
              </w:rPr>
              <w:t xml:space="preserve"> </w:t>
            </w:r>
          </w:p>
        </w:tc>
        <w:tc>
          <w:tcPr>
            <w:tcW w:w="261" w:type="pct"/>
            <w:tcBorders>
              <w:top w:val="single" w:sz="4" w:space="0" w:color="auto"/>
              <w:left w:val="single" w:sz="4" w:space="0" w:color="auto"/>
              <w:bottom w:val="single" w:sz="4" w:space="0" w:color="auto"/>
              <w:right w:val="single" w:sz="4" w:space="0" w:color="auto"/>
            </w:tcBorders>
            <w:hideMark/>
          </w:tcPr>
          <w:p w14:paraId="3928C869" w14:textId="77777777" w:rsidR="00653571" w:rsidRPr="008C5F1C" w:rsidRDefault="00653571" w:rsidP="00EE349D">
            <w:pPr>
              <w:spacing w:after="0"/>
              <w:rPr>
                <w:rFonts w:ascii="Times New Roman" w:hAnsi="Times New Roman" w:cs="Times New Roman"/>
                <w:b/>
                <w:sz w:val="16"/>
                <w:szCs w:val="16"/>
              </w:rPr>
            </w:pPr>
            <w:r w:rsidRPr="008C5F1C">
              <w:rPr>
                <w:rFonts w:ascii="Times New Roman" w:hAnsi="Times New Roman" w:cs="Times New Roman"/>
                <w:b/>
                <w:sz w:val="16"/>
                <w:szCs w:val="16"/>
              </w:rPr>
              <w:t>ID [5]</w:t>
            </w:r>
          </w:p>
        </w:tc>
        <w:tc>
          <w:tcPr>
            <w:tcW w:w="539" w:type="pct"/>
            <w:tcBorders>
              <w:top w:val="single" w:sz="4" w:space="0" w:color="auto"/>
              <w:left w:val="single" w:sz="4" w:space="0" w:color="auto"/>
              <w:bottom w:val="single" w:sz="4" w:space="0" w:color="auto"/>
              <w:right w:val="single" w:sz="4" w:space="0" w:color="auto"/>
            </w:tcBorders>
            <w:hideMark/>
          </w:tcPr>
          <w:p w14:paraId="6C9D2E3F" w14:textId="77777777" w:rsidR="00653571" w:rsidRPr="008C5F1C" w:rsidRDefault="00653571" w:rsidP="00EE349D">
            <w:pPr>
              <w:spacing w:after="0"/>
              <w:rPr>
                <w:rFonts w:ascii="Times New Roman" w:hAnsi="Times New Roman" w:cs="Times New Roman"/>
                <w:b/>
                <w:sz w:val="16"/>
                <w:szCs w:val="16"/>
              </w:rPr>
            </w:pPr>
            <w:r w:rsidRPr="008C5F1C">
              <w:rPr>
                <w:rFonts w:ascii="Times New Roman" w:hAnsi="Times New Roman" w:cs="Times New Roman"/>
                <w:b/>
                <w:sz w:val="16"/>
                <w:szCs w:val="16"/>
              </w:rPr>
              <w:t>Indicator [255]</w:t>
            </w:r>
          </w:p>
        </w:tc>
        <w:tc>
          <w:tcPr>
            <w:tcW w:w="562" w:type="pct"/>
            <w:tcBorders>
              <w:top w:val="single" w:sz="4" w:space="0" w:color="auto"/>
              <w:left w:val="single" w:sz="4" w:space="0" w:color="auto"/>
              <w:bottom w:val="single" w:sz="4" w:space="0" w:color="auto"/>
              <w:right w:val="single" w:sz="4" w:space="0" w:color="auto"/>
            </w:tcBorders>
            <w:hideMark/>
          </w:tcPr>
          <w:p w14:paraId="65041960" w14:textId="77777777" w:rsidR="00653571" w:rsidRPr="008C5F1C" w:rsidRDefault="00653571" w:rsidP="00EE349D">
            <w:pPr>
              <w:spacing w:after="0"/>
              <w:rPr>
                <w:rFonts w:ascii="Times New Roman" w:hAnsi="Times New Roman" w:cs="Times New Roman"/>
                <w:b/>
                <w:sz w:val="16"/>
                <w:szCs w:val="16"/>
              </w:rPr>
            </w:pPr>
            <w:proofErr w:type="spellStart"/>
            <w:r w:rsidRPr="008C5F1C">
              <w:rPr>
                <w:rFonts w:ascii="Times New Roman" w:hAnsi="Times New Roman" w:cs="Times New Roman"/>
                <w:b/>
                <w:sz w:val="16"/>
                <w:szCs w:val="16"/>
              </w:rPr>
              <w:t>Measurement</w:t>
            </w:r>
            <w:proofErr w:type="spellEnd"/>
            <w:r w:rsidRPr="008C5F1C">
              <w:rPr>
                <w:rFonts w:ascii="Times New Roman" w:hAnsi="Times New Roman" w:cs="Times New Roman"/>
                <w:b/>
                <w:sz w:val="16"/>
                <w:szCs w:val="16"/>
              </w:rPr>
              <w:t xml:space="preserve"> unit</w:t>
            </w:r>
          </w:p>
        </w:tc>
        <w:tc>
          <w:tcPr>
            <w:tcW w:w="415" w:type="pct"/>
            <w:tcBorders>
              <w:top w:val="single" w:sz="4" w:space="0" w:color="auto"/>
              <w:left w:val="single" w:sz="4" w:space="0" w:color="auto"/>
              <w:bottom w:val="single" w:sz="4" w:space="0" w:color="auto"/>
              <w:right w:val="single" w:sz="4" w:space="0" w:color="auto"/>
            </w:tcBorders>
            <w:hideMark/>
          </w:tcPr>
          <w:p w14:paraId="694E66B1" w14:textId="77777777" w:rsidR="00653571" w:rsidRPr="008C5F1C" w:rsidRDefault="00653571" w:rsidP="00EE349D">
            <w:pPr>
              <w:spacing w:after="0"/>
              <w:rPr>
                <w:rFonts w:ascii="Times New Roman" w:hAnsi="Times New Roman" w:cs="Times New Roman"/>
                <w:b/>
                <w:sz w:val="16"/>
                <w:szCs w:val="16"/>
              </w:rPr>
            </w:pPr>
            <w:proofErr w:type="spellStart"/>
            <w:r w:rsidRPr="008C5F1C">
              <w:rPr>
                <w:rFonts w:ascii="Times New Roman" w:hAnsi="Times New Roman" w:cs="Times New Roman"/>
                <w:b/>
                <w:sz w:val="16"/>
                <w:szCs w:val="16"/>
              </w:rPr>
              <w:t>Baseline</w:t>
            </w:r>
            <w:proofErr w:type="spellEnd"/>
            <w:r w:rsidRPr="008C5F1C">
              <w:rPr>
                <w:rFonts w:ascii="Times New Roman" w:hAnsi="Times New Roman" w:cs="Times New Roman"/>
                <w:b/>
                <w:sz w:val="16"/>
                <w:szCs w:val="16"/>
              </w:rPr>
              <w:t xml:space="preserve"> or </w:t>
            </w:r>
            <w:proofErr w:type="spellStart"/>
            <w:r w:rsidRPr="008C5F1C">
              <w:rPr>
                <w:rFonts w:ascii="Times New Roman" w:hAnsi="Times New Roman" w:cs="Times New Roman"/>
                <w:b/>
                <w:sz w:val="16"/>
                <w:szCs w:val="16"/>
              </w:rPr>
              <w:t>reference</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value</w:t>
            </w:r>
            <w:proofErr w:type="spellEnd"/>
          </w:p>
        </w:tc>
        <w:tc>
          <w:tcPr>
            <w:tcW w:w="437" w:type="pct"/>
            <w:tcBorders>
              <w:top w:val="single" w:sz="4" w:space="0" w:color="auto"/>
              <w:left w:val="single" w:sz="4" w:space="0" w:color="auto"/>
              <w:bottom w:val="single" w:sz="4" w:space="0" w:color="auto"/>
              <w:right w:val="single" w:sz="4" w:space="0" w:color="auto"/>
            </w:tcBorders>
            <w:hideMark/>
          </w:tcPr>
          <w:p w14:paraId="7FC686F0" w14:textId="77777777" w:rsidR="00653571" w:rsidRPr="008C5F1C" w:rsidRDefault="00653571" w:rsidP="00EE349D">
            <w:pPr>
              <w:spacing w:after="0"/>
              <w:rPr>
                <w:rFonts w:ascii="Times New Roman" w:hAnsi="Times New Roman" w:cs="Times New Roman"/>
                <w:b/>
                <w:sz w:val="16"/>
                <w:szCs w:val="16"/>
              </w:rPr>
            </w:pPr>
            <w:proofErr w:type="spellStart"/>
            <w:r w:rsidRPr="008C5F1C">
              <w:rPr>
                <w:rFonts w:ascii="Times New Roman" w:hAnsi="Times New Roman" w:cs="Times New Roman"/>
                <w:b/>
                <w:sz w:val="16"/>
                <w:szCs w:val="16"/>
              </w:rPr>
              <w:t>Reference</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year</w:t>
            </w:r>
            <w:proofErr w:type="spellEnd"/>
          </w:p>
        </w:tc>
        <w:tc>
          <w:tcPr>
            <w:tcW w:w="330" w:type="pct"/>
            <w:tcBorders>
              <w:top w:val="single" w:sz="4" w:space="0" w:color="auto"/>
              <w:left w:val="single" w:sz="4" w:space="0" w:color="auto"/>
              <w:bottom w:val="single" w:sz="4" w:space="0" w:color="auto"/>
              <w:right w:val="single" w:sz="4" w:space="0" w:color="auto"/>
            </w:tcBorders>
          </w:tcPr>
          <w:p w14:paraId="7E33A1F1" w14:textId="77777777" w:rsidR="00653571" w:rsidRPr="008C5F1C" w:rsidRDefault="00653571" w:rsidP="00EE349D">
            <w:pPr>
              <w:spacing w:after="0"/>
              <w:rPr>
                <w:rFonts w:ascii="Times New Roman" w:hAnsi="Times New Roman" w:cs="Times New Roman"/>
                <w:b/>
                <w:sz w:val="16"/>
                <w:szCs w:val="16"/>
              </w:rPr>
            </w:pPr>
            <w:r w:rsidRPr="008C5F1C">
              <w:rPr>
                <w:rFonts w:ascii="Times New Roman" w:hAnsi="Times New Roman" w:cs="Times New Roman"/>
                <w:b/>
                <w:sz w:val="16"/>
                <w:szCs w:val="16"/>
              </w:rPr>
              <w:t>Target (2029)</w:t>
            </w:r>
          </w:p>
          <w:p w14:paraId="1DD88507" w14:textId="77777777" w:rsidR="00653571" w:rsidRPr="008C5F1C" w:rsidRDefault="00653571" w:rsidP="00EE349D">
            <w:pPr>
              <w:spacing w:after="0"/>
              <w:rPr>
                <w:rFonts w:ascii="Times New Roman" w:hAnsi="Times New Roman" w:cs="Times New Roman"/>
                <w:b/>
                <w:sz w:val="16"/>
                <w:szCs w:val="16"/>
              </w:rPr>
            </w:pPr>
          </w:p>
        </w:tc>
        <w:tc>
          <w:tcPr>
            <w:tcW w:w="407" w:type="pct"/>
            <w:tcBorders>
              <w:top w:val="single" w:sz="4" w:space="0" w:color="auto"/>
              <w:left w:val="single" w:sz="4" w:space="0" w:color="auto"/>
              <w:bottom w:val="single" w:sz="4" w:space="0" w:color="auto"/>
              <w:right w:val="single" w:sz="4" w:space="0" w:color="auto"/>
            </w:tcBorders>
            <w:hideMark/>
          </w:tcPr>
          <w:p w14:paraId="1674155E" w14:textId="77777777" w:rsidR="00653571" w:rsidRPr="008C5F1C" w:rsidRDefault="00653571" w:rsidP="00EE349D">
            <w:pPr>
              <w:spacing w:after="0"/>
              <w:rPr>
                <w:rFonts w:ascii="Times New Roman" w:hAnsi="Times New Roman" w:cs="Times New Roman"/>
                <w:b/>
                <w:sz w:val="16"/>
                <w:szCs w:val="16"/>
              </w:rPr>
            </w:pPr>
            <w:proofErr w:type="spellStart"/>
            <w:r w:rsidRPr="008C5F1C">
              <w:rPr>
                <w:rFonts w:ascii="Times New Roman" w:hAnsi="Times New Roman" w:cs="Times New Roman"/>
                <w:b/>
                <w:sz w:val="16"/>
                <w:szCs w:val="16"/>
              </w:rPr>
              <w:t>Source</w:t>
            </w:r>
            <w:proofErr w:type="spellEnd"/>
            <w:r w:rsidRPr="008C5F1C">
              <w:rPr>
                <w:rFonts w:ascii="Times New Roman" w:hAnsi="Times New Roman" w:cs="Times New Roman"/>
                <w:b/>
                <w:sz w:val="16"/>
                <w:szCs w:val="16"/>
              </w:rPr>
              <w:t xml:space="preserve"> of data [200]</w:t>
            </w:r>
          </w:p>
        </w:tc>
        <w:tc>
          <w:tcPr>
            <w:tcW w:w="562" w:type="pct"/>
            <w:tcBorders>
              <w:top w:val="single" w:sz="4" w:space="0" w:color="auto"/>
              <w:left w:val="single" w:sz="4" w:space="0" w:color="auto"/>
              <w:bottom w:val="single" w:sz="4" w:space="0" w:color="auto"/>
              <w:right w:val="single" w:sz="4" w:space="0" w:color="auto"/>
            </w:tcBorders>
            <w:hideMark/>
          </w:tcPr>
          <w:p w14:paraId="7E6476FC" w14:textId="77777777" w:rsidR="00653571" w:rsidRPr="008C5F1C" w:rsidRDefault="00653571" w:rsidP="00EE349D">
            <w:pPr>
              <w:spacing w:after="0"/>
              <w:rPr>
                <w:rFonts w:ascii="Times New Roman" w:hAnsi="Times New Roman" w:cs="Times New Roman"/>
                <w:b/>
                <w:sz w:val="16"/>
                <w:szCs w:val="16"/>
              </w:rPr>
            </w:pPr>
            <w:proofErr w:type="spellStart"/>
            <w:r w:rsidRPr="008C5F1C">
              <w:rPr>
                <w:rFonts w:ascii="Times New Roman" w:hAnsi="Times New Roman" w:cs="Times New Roman"/>
                <w:b/>
                <w:sz w:val="16"/>
                <w:szCs w:val="16"/>
              </w:rPr>
              <w:t>Comments</w:t>
            </w:r>
            <w:proofErr w:type="spellEnd"/>
            <w:r w:rsidRPr="008C5F1C">
              <w:rPr>
                <w:rFonts w:ascii="Times New Roman" w:hAnsi="Times New Roman" w:cs="Times New Roman"/>
                <w:b/>
                <w:sz w:val="16"/>
                <w:szCs w:val="16"/>
              </w:rPr>
              <w:t xml:space="preserve"> [200]</w:t>
            </w:r>
          </w:p>
        </w:tc>
      </w:tr>
      <w:tr w:rsidR="00812F6A" w:rsidRPr="008C5F1C" w14:paraId="1515D25D" w14:textId="77777777" w:rsidTr="00E453CE">
        <w:trPr>
          <w:trHeight w:val="1768"/>
        </w:trPr>
        <w:tc>
          <w:tcPr>
            <w:tcW w:w="368" w:type="pct"/>
            <w:tcBorders>
              <w:top w:val="single" w:sz="4" w:space="0" w:color="auto"/>
              <w:left w:val="single" w:sz="4" w:space="0" w:color="auto"/>
              <w:bottom w:val="single" w:sz="4" w:space="0" w:color="auto"/>
              <w:right w:val="single" w:sz="4" w:space="0" w:color="auto"/>
            </w:tcBorders>
          </w:tcPr>
          <w:p w14:paraId="3BBA6AB4" w14:textId="465FDBC2" w:rsidR="00812F6A" w:rsidRPr="008C5F1C" w:rsidRDefault="00812F6A" w:rsidP="00EE349D">
            <w:pPr>
              <w:spacing w:after="0"/>
              <w:rPr>
                <w:rFonts w:ascii="Times New Roman" w:hAnsi="Times New Roman" w:cs="Times New Roman"/>
                <w:b/>
                <w:sz w:val="16"/>
                <w:szCs w:val="16"/>
              </w:rPr>
            </w:pPr>
            <w:r w:rsidRPr="008C5F1C">
              <w:rPr>
                <w:rFonts w:ascii="Times New Roman" w:hAnsi="Times New Roman" w:cs="Times New Roman"/>
                <w:bCs/>
                <w:i/>
                <w:sz w:val="16"/>
                <w:szCs w:val="16"/>
              </w:rPr>
              <w:t>1</w:t>
            </w:r>
          </w:p>
        </w:tc>
        <w:tc>
          <w:tcPr>
            <w:tcW w:w="387" w:type="pct"/>
            <w:tcBorders>
              <w:top w:val="single" w:sz="4" w:space="0" w:color="auto"/>
              <w:left w:val="single" w:sz="4" w:space="0" w:color="auto"/>
              <w:bottom w:val="single" w:sz="4" w:space="0" w:color="auto"/>
              <w:right w:val="single" w:sz="4" w:space="0" w:color="auto"/>
            </w:tcBorders>
          </w:tcPr>
          <w:p w14:paraId="799C427F" w14:textId="667E84FB" w:rsidR="00812F6A" w:rsidRPr="008C5F1C" w:rsidRDefault="00812F6A" w:rsidP="00EE349D">
            <w:pPr>
              <w:spacing w:after="0"/>
              <w:rPr>
                <w:rFonts w:ascii="Times New Roman" w:hAnsi="Times New Roman" w:cs="Times New Roman"/>
                <w:b/>
                <w:sz w:val="16"/>
                <w:szCs w:val="16"/>
              </w:rPr>
            </w:pPr>
            <w:r w:rsidRPr="008C5F1C">
              <w:rPr>
                <w:rFonts w:ascii="Times New Roman" w:hAnsi="Times New Roman" w:cs="Times New Roman"/>
                <w:noProof/>
                <w:sz w:val="16"/>
                <w:szCs w:val="16"/>
              </w:rPr>
              <w:t>a (i) Dezvoltarea capacităților de cercetare și inovare și adoptarea tehnologiilor avansate</w:t>
            </w:r>
          </w:p>
        </w:tc>
        <w:tc>
          <w:tcPr>
            <w:tcW w:w="303" w:type="pct"/>
            <w:tcBorders>
              <w:top w:val="single" w:sz="4" w:space="0" w:color="auto"/>
              <w:left w:val="single" w:sz="4" w:space="0" w:color="auto"/>
              <w:bottom w:val="single" w:sz="4" w:space="0" w:color="auto"/>
              <w:right w:val="single" w:sz="4" w:space="0" w:color="auto"/>
            </w:tcBorders>
          </w:tcPr>
          <w:p w14:paraId="7AAFEA6F" w14:textId="1EC0736B" w:rsidR="00812F6A" w:rsidRPr="008C5F1C" w:rsidRDefault="00812F6A" w:rsidP="00EE349D">
            <w:pPr>
              <w:spacing w:after="0"/>
              <w:rPr>
                <w:rFonts w:ascii="Times New Roman" w:hAnsi="Times New Roman" w:cs="Times New Roman"/>
                <w:b/>
                <w:sz w:val="16"/>
                <w:szCs w:val="16"/>
              </w:rPr>
            </w:pPr>
            <w:r w:rsidRPr="008C5F1C">
              <w:rPr>
                <w:rFonts w:ascii="Times New Roman" w:hAnsi="Times New Roman" w:cs="Times New Roman"/>
                <w:noProof/>
                <w:sz w:val="16"/>
                <w:szCs w:val="16"/>
              </w:rPr>
              <w:t>FEDR</w:t>
            </w:r>
          </w:p>
        </w:tc>
        <w:tc>
          <w:tcPr>
            <w:tcW w:w="424" w:type="pct"/>
            <w:tcBorders>
              <w:top w:val="single" w:sz="4" w:space="0" w:color="auto"/>
              <w:left w:val="single" w:sz="4" w:space="0" w:color="auto"/>
              <w:bottom w:val="single" w:sz="4" w:space="0" w:color="auto"/>
              <w:right w:val="single" w:sz="4" w:space="0" w:color="auto"/>
            </w:tcBorders>
          </w:tcPr>
          <w:p w14:paraId="49C19E88" w14:textId="5818885E" w:rsidR="00812F6A" w:rsidRPr="008C5F1C" w:rsidRDefault="00812F6A" w:rsidP="00EE349D">
            <w:pPr>
              <w:spacing w:after="0"/>
              <w:rPr>
                <w:rFonts w:ascii="Times New Roman" w:hAnsi="Times New Roman" w:cs="Times New Roman"/>
                <w:b/>
                <w:sz w:val="16"/>
                <w:szCs w:val="16"/>
              </w:rPr>
            </w:pPr>
            <w:r w:rsidRPr="008C5F1C">
              <w:rPr>
                <w:rFonts w:ascii="Times New Roman" w:hAnsi="Times New Roman" w:cs="Times New Roman"/>
                <w:noProof/>
                <w:sz w:val="16"/>
                <w:szCs w:val="16"/>
              </w:rPr>
              <w:t>Mai puțin dezvoltate</w:t>
            </w:r>
          </w:p>
        </w:tc>
        <w:tc>
          <w:tcPr>
            <w:tcW w:w="261" w:type="pct"/>
            <w:tcBorders>
              <w:top w:val="single" w:sz="4" w:space="0" w:color="auto"/>
              <w:left w:val="single" w:sz="4" w:space="0" w:color="auto"/>
              <w:bottom w:val="single" w:sz="4" w:space="0" w:color="auto"/>
              <w:right w:val="single" w:sz="4" w:space="0" w:color="auto"/>
            </w:tcBorders>
          </w:tcPr>
          <w:p w14:paraId="23EBAB23" w14:textId="40345657" w:rsidR="00812F6A" w:rsidRPr="008C5F1C" w:rsidRDefault="00812F6A" w:rsidP="00EE349D">
            <w:pPr>
              <w:spacing w:after="0"/>
              <w:rPr>
                <w:rFonts w:ascii="Times New Roman" w:hAnsi="Times New Roman" w:cs="Times New Roman"/>
                <w:b/>
                <w:sz w:val="16"/>
                <w:szCs w:val="16"/>
              </w:rPr>
            </w:pPr>
            <w:r w:rsidRPr="008C5F1C">
              <w:rPr>
                <w:rFonts w:ascii="Times New Roman" w:hAnsi="Times New Roman" w:cs="Times New Roman"/>
                <w:noProof/>
                <w:sz w:val="16"/>
                <w:szCs w:val="16"/>
              </w:rPr>
              <w:t>RCR 01</w:t>
            </w:r>
          </w:p>
        </w:tc>
        <w:tc>
          <w:tcPr>
            <w:tcW w:w="539" w:type="pct"/>
            <w:tcBorders>
              <w:top w:val="single" w:sz="4" w:space="0" w:color="auto"/>
              <w:left w:val="single" w:sz="4" w:space="0" w:color="auto"/>
              <w:bottom w:val="single" w:sz="4" w:space="0" w:color="auto"/>
              <w:right w:val="single" w:sz="4" w:space="0" w:color="auto"/>
            </w:tcBorders>
          </w:tcPr>
          <w:p w14:paraId="23112E7D" w14:textId="32E1196E" w:rsidR="00812F6A" w:rsidRPr="008C5F1C" w:rsidRDefault="00812F6A" w:rsidP="00EE349D">
            <w:pPr>
              <w:spacing w:after="0"/>
              <w:rPr>
                <w:rFonts w:ascii="Times New Roman" w:hAnsi="Times New Roman" w:cs="Times New Roman"/>
                <w:b/>
                <w:sz w:val="16"/>
                <w:szCs w:val="16"/>
              </w:rPr>
            </w:pPr>
            <w:r w:rsidRPr="008C5F1C">
              <w:rPr>
                <w:rFonts w:ascii="Times New Roman" w:hAnsi="Times New Roman" w:cs="Times New Roman"/>
                <w:noProof/>
                <w:sz w:val="16"/>
                <w:szCs w:val="16"/>
              </w:rPr>
              <w:t>RCR 01 - Locuri de muncă create în entitățile care beneficiază de sprijin</w:t>
            </w:r>
          </w:p>
        </w:tc>
        <w:tc>
          <w:tcPr>
            <w:tcW w:w="562" w:type="pct"/>
            <w:tcBorders>
              <w:top w:val="single" w:sz="4" w:space="0" w:color="auto"/>
              <w:left w:val="single" w:sz="4" w:space="0" w:color="auto"/>
              <w:bottom w:val="single" w:sz="4" w:space="0" w:color="auto"/>
              <w:right w:val="single" w:sz="4" w:space="0" w:color="auto"/>
            </w:tcBorders>
          </w:tcPr>
          <w:p w14:paraId="653143E7" w14:textId="009951EE" w:rsidR="00812F6A" w:rsidRPr="008C5F1C" w:rsidRDefault="00812F6A" w:rsidP="00EE349D">
            <w:pPr>
              <w:spacing w:after="0"/>
              <w:rPr>
                <w:rFonts w:ascii="Times New Roman" w:hAnsi="Times New Roman" w:cs="Times New Roman"/>
                <w:b/>
                <w:sz w:val="16"/>
                <w:szCs w:val="16"/>
              </w:rPr>
            </w:pPr>
            <w:proofErr w:type="spellStart"/>
            <w:r w:rsidRPr="008C5F1C">
              <w:rPr>
                <w:rFonts w:ascii="Times New Roman" w:hAnsi="Times New Roman" w:cs="Times New Roman"/>
                <w:bCs/>
                <w:i/>
                <w:sz w:val="16"/>
                <w:szCs w:val="16"/>
              </w:rPr>
              <w:t>annual</w:t>
            </w:r>
            <w:proofErr w:type="spellEnd"/>
            <w:r w:rsidRPr="008C5F1C">
              <w:rPr>
                <w:rFonts w:ascii="Times New Roman" w:hAnsi="Times New Roman" w:cs="Times New Roman"/>
                <w:bCs/>
                <w:i/>
                <w:sz w:val="16"/>
                <w:szCs w:val="16"/>
              </w:rPr>
              <w:t xml:space="preserve"> </w:t>
            </w:r>
            <w:proofErr w:type="spellStart"/>
            <w:r w:rsidRPr="008C5F1C">
              <w:rPr>
                <w:rFonts w:ascii="Times New Roman" w:hAnsi="Times New Roman" w:cs="Times New Roman"/>
                <w:bCs/>
                <w:i/>
                <w:sz w:val="16"/>
                <w:szCs w:val="16"/>
              </w:rPr>
              <w:t>FTEs</w:t>
            </w:r>
            <w:proofErr w:type="spellEnd"/>
          </w:p>
        </w:tc>
        <w:tc>
          <w:tcPr>
            <w:tcW w:w="415" w:type="pct"/>
            <w:tcBorders>
              <w:top w:val="single" w:sz="4" w:space="0" w:color="auto"/>
              <w:left w:val="single" w:sz="4" w:space="0" w:color="auto"/>
              <w:bottom w:val="single" w:sz="4" w:space="0" w:color="auto"/>
              <w:right w:val="single" w:sz="4" w:space="0" w:color="auto"/>
            </w:tcBorders>
          </w:tcPr>
          <w:p w14:paraId="2E06F499" w14:textId="14E8B715" w:rsidR="00812F6A" w:rsidRPr="008C5F1C" w:rsidRDefault="00812F6A" w:rsidP="00EE349D">
            <w:pPr>
              <w:spacing w:after="0"/>
              <w:rPr>
                <w:rFonts w:ascii="Times New Roman" w:hAnsi="Times New Roman" w:cs="Times New Roman"/>
                <w:b/>
                <w:sz w:val="16"/>
                <w:szCs w:val="16"/>
              </w:rPr>
            </w:pPr>
            <w:r w:rsidRPr="008C5F1C">
              <w:rPr>
                <w:rFonts w:ascii="Times New Roman" w:hAnsi="Times New Roman" w:cs="Times New Roman"/>
                <w:bCs/>
                <w:i/>
                <w:sz w:val="16"/>
                <w:szCs w:val="16"/>
              </w:rPr>
              <w:t>0</w:t>
            </w:r>
          </w:p>
        </w:tc>
        <w:tc>
          <w:tcPr>
            <w:tcW w:w="437" w:type="pct"/>
            <w:tcBorders>
              <w:top w:val="single" w:sz="4" w:space="0" w:color="auto"/>
              <w:left w:val="single" w:sz="4" w:space="0" w:color="auto"/>
              <w:bottom w:val="single" w:sz="4" w:space="0" w:color="auto"/>
              <w:right w:val="single" w:sz="4" w:space="0" w:color="auto"/>
            </w:tcBorders>
          </w:tcPr>
          <w:p w14:paraId="5BE258D6" w14:textId="49BE7236" w:rsidR="00812F6A" w:rsidRPr="008C5F1C" w:rsidRDefault="00812F6A" w:rsidP="00EE349D">
            <w:pPr>
              <w:spacing w:after="0"/>
              <w:rPr>
                <w:rFonts w:ascii="Times New Roman" w:hAnsi="Times New Roman" w:cs="Times New Roman"/>
                <w:b/>
                <w:sz w:val="16"/>
                <w:szCs w:val="16"/>
              </w:rPr>
            </w:pPr>
            <w:r w:rsidRPr="008C5F1C">
              <w:rPr>
                <w:rFonts w:ascii="Times New Roman" w:hAnsi="Times New Roman" w:cs="Times New Roman"/>
                <w:bCs/>
                <w:sz w:val="16"/>
                <w:szCs w:val="16"/>
              </w:rPr>
              <w:t>202</w:t>
            </w:r>
            <w:r w:rsidR="00F67F4B" w:rsidRPr="008C5F1C">
              <w:rPr>
                <w:rFonts w:ascii="Times New Roman" w:hAnsi="Times New Roman" w:cs="Times New Roman"/>
                <w:bCs/>
                <w:sz w:val="16"/>
                <w:szCs w:val="16"/>
              </w:rPr>
              <w:t>1</w:t>
            </w:r>
          </w:p>
        </w:tc>
        <w:tc>
          <w:tcPr>
            <w:tcW w:w="330" w:type="pct"/>
            <w:tcBorders>
              <w:top w:val="single" w:sz="4" w:space="0" w:color="auto"/>
              <w:left w:val="single" w:sz="4" w:space="0" w:color="auto"/>
              <w:bottom w:val="single" w:sz="4" w:space="0" w:color="auto"/>
              <w:right w:val="single" w:sz="4" w:space="0" w:color="auto"/>
            </w:tcBorders>
          </w:tcPr>
          <w:p w14:paraId="1576FFFB" w14:textId="277E248C" w:rsidR="00812F6A" w:rsidRPr="00AB2458" w:rsidRDefault="009B746B" w:rsidP="00EE349D">
            <w:pPr>
              <w:spacing w:after="0"/>
              <w:rPr>
                <w:rFonts w:ascii="Times New Roman" w:hAnsi="Times New Roman" w:cs="Times New Roman"/>
                <w:bCs/>
                <w:sz w:val="16"/>
                <w:szCs w:val="16"/>
              </w:rPr>
            </w:pPr>
            <w:r w:rsidRPr="00AB2458">
              <w:rPr>
                <w:rFonts w:ascii="Times New Roman" w:hAnsi="Times New Roman" w:cs="Times New Roman"/>
                <w:bCs/>
                <w:sz w:val="16"/>
                <w:szCs w:val="16"/>
              </w:rPr>
              <w:t>750</w:t>
            </w:r>
          </w:p>
        </w:tc>
        <w:tc>
          <w:tcPr>
            <w:tcW w:w="407" w:type="pct"/>
            <w:tcBorders>
              <w:top w:val="single" w:sz="4" w:space="0" w:color="auto"/>
              <w:left w:val="single" w:sz="4" w:space="0" w:color="auto"/>
              <w:bottom w:val="single" w:sz="4" w:space="0" w:color="auto"/>
              <w:right w:val="single" w:sz="4" w:space="0" w:color="auto"/>
            </w:tcBorders>
          </w:tcPr>
          <w:p w14:paraId="7862463D" w14:textId="77777777" w:rsidR="00812F6A" w:rsidRPr="00AB2458" w:rsidRDefault="00761529" w:rsidP="00EE349D">
            <w:pPr>
              <w:spacing w:after="0"/>
              <w:rPr>
                <w:rFonts w:ascii="Times New Roman" w:hAnsi="Times New Roman" w:cs="Times New Roman"/>
                <w:bCs/>
                <w:sz w:val="16"/>
                <w:szCs w:val="16"/>
              </w:rPr>
            </w:pPr>
            <w:r w:rsidRPr="00AB2458">
              <w:rPr>
                <w:rFonts w:ascii="Times New Roman" w:hAnsi="Times New Roman" w:cs="Times New Roman"/>
                <w:bCs/>
                <w:sz w:val="16"/>
                <w:szCs w:val="16"/>
              </w:rPr>
              <w:t>RAI</w:t>
            </w:r>
          </w:p>
          <w:p w14:paraId="11470BCA" w14:textId="385B99BA" w:rsidR="00761529" w:rsidRPr="00AB2458" w:rsidRDefault="00761529" w:rsidP="00EE349D">
            <w:pPr>
              <w:spacing w:after="0"/>
              <w:rPr>
                <w:rFonts w:ascii="Times New Roman" w:hAnsi="Times New Roman" w:cs="Times New Roman"/>
                <w:bCs/>
                <w:sz w:val="16"/>
                <w:szCs w:val="16"/>
              </w:rPr>
            </w:pPr>
            <w:proofErr w:type="spellStart"/>
            <w:r w:rsidRPr="00AB2458">
              <w:rPr>
                <w:rFonts w:ascii="Times New Roman" w:hAnsi="Times New Roman" w:cs="Times New Roman"/>
                <w:bCs/>
                <w:sz w:val="16"/>
                <w:szCs w:val="16"/>
              </w:rPr>
              <w:t>MySMIS</w:t>
            </w:r>
            <w:proofErr w:type="spellEnd"/>
          </w:p>
        </w:tc>
        <w:tc>
          <w:tcPr>
            <w:tcW w:w="562" w:type="pct"/>
            <w:tcBorders>
              <w:top w:val="single" w:sz="4" w:space="0" w:color="auto"/>
              <w:left w:val="single" w:sz="4" w:space="0" w:color="auto"/>
              <w:bottom w:val="single" w:sz="4" w:space="0" w:color="auto"/>
              <w:right w:val="single" w:sz="4" w:space="0" w:color="auto"/>
            </w:tcBorders>
          </w:tcPr>
          <w:p w14:paraId="6D9C026C" w14:textId="6BF4ED50" w:rsidR="00812F6A" w:rsidRPr="008C5F1C" w:rsidRDefault="00FA5677" w:rsidP="00EE349D">
            <w:pPr>
              <w:spacing w:after="0"/>
              <w:rPr>
                <w:rFonts w:ascii="Times New Roman" w:hAnsi="Times New Roman" w:cs="Times New Roman"/>
                <w:bCs/>
                <w:i/>
                <w:iCs/>
                <w:sz w:val="16"/>
                <w:szCs w:val="16"/>
              </w:rPr>
            </w:pPr>
            <w:r w:rsidRPr="008C5F1C">
              <w:rPr>
                <w:rFonts w:ascii="Times New Roman" w:hAnsi="Times New Roman" w:cs="Times New Roman"/>
                <w:bCs/>
                <w:i/>
                <w:iCs/>
                <w:sz w:val="16"/>
                <w:szCs w:val="16"/>
              </w:rPr>
              <w:t xml:space="preserve">In medie 4 locuri de munca / IMM sprijinit si 3 locuri de munca / micro </w:t>
            </w:r>
            <w:proofErr w:type="spellStart"/>
            <w:r w:rsidRPr="008C5F1C">
              <w:rPr>
                <w:rFonts w:ascii="Times New Roman" w:hAnsi="Times New Roman" w:cs="Times New Roman"/>
                <w:bCs/>
                <w:i/>
                <w:iCs/>
                <w:sz w:val="16"/>
                <w:szCs w:val="16"/>
              </w:rPr>
              <w:t>intreprindere</w:t>
            </w:r>
            <w:proofErr w:type="spellEnd"/>
          </w:p>
        </w:tc>
      </w:tr>
      <w:tr w:rsidR="00812F6A" w:rsidRPr="008C5F1C" w14:paraId="0EECE96B" w14:textId="77777777" w:rsidTr="00E453CE">
        <w:trPr>
          <w:trHeight w:val="434"/>
        </w:trPr>
        <w:tc>
          <w:tcPr>
            <w:tcW w:w="368" w:type="pct"/>
            <w:tcBorders>
              <w:top w:val="single" w:sz="4" w:space="0" w:color="auto"/>
              <w:left w:val="single" w:sz="4" w:space="0" w:color="auto"/>
              <w:bottom w:val="single" w:sz="4" w:space="0" w:color="auto"/>
              <w:right w:val="single" w:sz="4" w:space="0" w:color="auto"/>
            </w:tcBorders>
          </w:tcPr>
          <w:p w14:paraId="7626A488" w14:textId="77777777" w:rsidR="00812F6A" w:rsidRPr="008C5F1C" w:rsidRDefault="00812F6A" w:rsidP="00EE349D">
            <w:pPr>
              <w:spacing w:after="0"/>
              <w:rPr>
                <w:rFonts w:ascii="Times New Roman" w:hAnsi="Times New Roman" w:cs="Times New Roman"/>
                <w:i/>
                <w:sz w:val="16"/>
                <w:szCs w:val="16"/>
              </w:rPr>
            </w:pPr>
            <w:r w:rsidRPr="008C5F1C">
              <w:rPr>
                <w:rFonts w:ascii="Times New Roman" w:hAnsi="Times New Roman" w:cs="Times New Roman"/>
                <w:i/>
                <w:sz w:val="16"/>
                <w:szCs w:val="16"/>
              </w:rPr>
              <w:t>1</w:t>
            </w:r>
          </w:p>
        </w:tc>
        <w:tc>
          <w:tcPr>
            <w:tcW w:w="387" w:type="pct"/>
            <w:tcBorders>
              <w:top w:val="single" w:sz="4" w:space="0" w:color="auto"/>
              <w:left w:val="single" w:sz="4" w:space="0" w:color="auto"/>
              <w:bottom w:val="single" w:sz="4" w:space="0" w:color="auto"/>
              <w:right w:val="single" w:sz="4" w:space="0" w:color="auto"/>
            </w:tcBorders>
          </w:tcPr>
          <w:p w14:paraId="4382E221" w14:textId="77777777" w:rsidR="00812F6A" w:rsidRPr="008C5F1C" w:rsidRDefault="00812F6A" w:rsidP="00EE349D">
            <w:pPr>
              <w:spacing w:after="0"/>
              <w:rPr>
                <w:rFonts w:ascii="Times New Roman" w:hAnsi="Times New Roman" w:cs="Times New Roman"/>
                <w:noProof/>
                <w:sz w:val="16"/>
                <w:szCs w:val="16"/>
              </w:rPr>
            </w:pPr>
            <w:r w:rsidRPr="008C5F1C">
              <w:rPr>
                <w:rFonts w:ascii="Times New Roman" w:hAnsi="Times New Roman" w:cs="Times New Roman"/>
                <w:noProof/>
                <w:sz w:val="16"/>
                <w:szCs w:val="16"/>
              </w:rPr>
              <w:t>a (iii) Impulsionarea creșterii și competitivității IMM-urilor</w:t>
            </w:r>
          </w:p>
        </w:tc>
        <w:tc>
          <w:tcPr>
            <w:tcW w:w="303" w:type="pct"/>
            <w:tcBorders>
              <w:top w:val="single" w:sz="4" w:space="0" w:color="auto"/>
              <w:left w:val="single" w:sz="4" w:space="0" w:color="auto"/>
              <w:bottom w:val="single" w:sz="4" w:space="0" w:color="auto"/>
              <w:right w:val="single" w:sz="4" w:space="0" w:color="auto"/>
            </w:tcBorders>
          </w:tcPr>
          <w:p w14:paraId="0F29D50C" w14:textId="77777777" w:rsidR="00812F6A" w:rsidRPr="008C5F1C" w:rsidRDefault="00812F6A" w:rsidP="00EE349D">
            <w:pPr>
              <w:spacing w:after="0"/>
              <w:rPr>
                <w:rFonts w:ascii="Times New Roman" w:hAnsi="Times New Roman" w:cs="Times New Roman"/>
                <w:noProof/>
                <w:sz w:val="16"/>
                <w:szCs w:val="16"/>
              </w:rPr>
            </w:pPr>
            <w:r w:rsidRPr="008C5F1C">
              <w:rPr>
                <w:rFonts w:ascii="Times New Roman" w:hAnsi="Times New Roman" w:cs="Times New Roman"/>
                <w:noProof/>
                <w:sz w:val="16"/>
                <w:szCs w:val="16"/>
              </w:rPr>
              <w:t>FEDR</w:t>
            </w:r>
          </w:p>
        </w:tc>
        <w:tc>
          <w:tcPr>
            <w:tcW w:w="424" w:type="pct"/>
            <w:tcBorders>
              <w:top w:val="single" w:sz="4" w:space="0" w:color="auto"/>
              <w:left w:val="single" w:sz="4" w:space="0" w:color="auto"/>
              <w:bottom w:val="single" w:sz="4" w:space="0" w:color="auto"/>
              <w:right w:val="single" w:sz="4" w:space="0" w:color="auto"/>
            </w:tcBorders>
          </w:tcPr>
          <w:p w14:paraId="52DEE4A8" w14:textId="77777777" w:rsidR="00812F6A" w:rsidRPr="008C5F1C" w:rsidRDefault="00812F6A" w:rsidP="00EE349D">
            <w:pPr>
              <w:spacing w:after="0"/>
              <w:rPr>
                <w:rFonts w:ascii="Times New Roman" w:hAnsi="Times New Roman" w:cs="Times New Roman"/>
                <w:noProof/>
                <w:sz w:val="16"/>
                <w:szCs w:val="16"/>
              </w:rPr>
            </w:pPr>
            <w:r w:rsidRPr="008C5F1C">
              <w:rPr>
                <w:rFonts w:ascii="Times New Roman" w:hAnsi="Times New Roman" w:cs="Times New Roman"/>
                <w:noProof/>
                <w:sz w:val="16"/>
                <w:szCs w:val="16"/>
              </w:rPr>
              <w:t>Mai puțin dezvoltate</w:t>
            </w:r>
          </w:p>
        </w:tc>
        <w:tc>
          <w:tcPr>
            <w:tcW w:w="261" w:type="pct"/>
            <w:tcBorders>
              <w:top w:val="single" w:sz="4" w:space="0" w:color="auto"/>
              <w:left w:val="single" w:sz="4" w:space="0" w:color="auto"/>
              <w:bottom w:val="single" w:sz="4" w:space="0" w:color="auto"/>
              <w:right w:val="single" w:sz="4" w:space="0" w:color="auto"/>
            </w:tcBorders>
          </w:tcPr>
          <w:p w14:paraId="4BF6DCD1" w14:textId="77777777" w:rsidR="00812F6A" w:rsidRPr="008C5F1C" w:rsidRDefault="00812F6A" w:rsidP="00EE349D">
            <w:pPr>
              <w:spacing w:after="0"/>
              <w:rPr>
                <w:rFonts w:ascii="Times New Roman" w:hAnsi="Times New Roman" w:cs="Times New Roman"/>
                <w:noProof/>
                <w:sz w:val="16"/>
                <w:szCs w:val="16"/>
              </w:rPr>
            </w:pPr>
            <w:r w:rsidRPr="008C5F1C">
              <w:rPr>
                <w:rFonts w:ascii="Times New Roman" w:hAnsi="Times New Roman" w:cs="Times New Roman"/>
                <w:noProof/>
                <w:sz w:val="16"/>
                <w:szCs w:val="16"/>
              </w:rPr>
              <w:t>RCR 17</w:t>
            </w:r>
          </w:p>
        </w:tc>
        <w:tc>
          <w:tcPr>
            <w:tcW w:w="539" w:type="pct"/>
            <w:tcBorders>
              <w:top w:val="single" w:sz="4" w:space="0" w:color="auto"/>
              <w:left w:val="single" w:sz="4" w:space="0" w:color="auto"/>
              <w:bottom w:val="single" w:sz="4" w:space="0" w:color="auto"/>
              <w:right w:val="single" w:sz="4" w:space="0" w:color="auto"/>
            </w:tcBorders>
          </w:tcPr>
          <w:p w14:paraId="58822B52" w14:textId="77777777" w:rsidR="00812F6A" w:rsidRPr="008C5F1C" w:rsidRDefault="00812F6A" w:rsidP="00EE349D">
            <w:pPr>
              <w:spacing w:after="0"/>
              <w:rPr>
                <w:rFonts w:ascii="Times New Roman" w:hAnsi="Times New Roman" w:cs="Times New Roman"/>
                <w:noProof/>
                <w:sz w:val="16"/>
                <w:szCs w:val="16"/>
              </w:rPr>
            </w:pPr>
            <w:r w:rsidRPr="008C5F1C">
              <w:rPr>
                <w:rFonts w:ascii="Times New Roman" w:hAnsi="Times New Roman" w:cs="Times New Roman"/>
                <w:noProof/>
                <w:sz w:val="16"/>
                <w:szCs w:val="16"/>
              </w:rPr>
              <w:t>RCR 17 – New enterprises surviving in the market</w:t>
            </w:r>
          </w:p>
        </w:tc>
        <w:tc>
          <w:tcPr>
            <w:tcW w:w="562" w:type="pct"/>
            <w:tcBorders>
              <w:top w:val="single" w:sz="4" w:space="0" w:color="auto"/>
              <w:left w:val="single" w:sz="4" w:space="0" w:color="auto"/>
              <w:bottom w:val="single" w:sz="4" w:space="0" w:color="auto"/>
              <w:right w:val="single" w:sz="4" w:space="0" w:color="auto"/>
            </w:tcBorders>
          </w:tcPr>
          <w:p w14:paraId="14C4CA20" w14:textId="77777777" w:rsidR="00812F6A" w:rsidRPr="008C5F1C" w:rsidRDefault="00812F6A" w:rsidP="00EE349D">
            <w:pPr>
              <w:spacing w:after="0"/>
              <w:rPr>
                <w:rFonts w:ascii="Times New Roman" w:hAnsi="Times New Roman" w:cs="Times New Roman"/>
                <w:i/>
                <w:sz w:val="16"/>
                <w:szCs w:val="16"/>
              </w:rPr>
            </w:pPr>
            <w:proofErr w:type="spellStart"/>
            <w:r w:rsidRPr="008C5F1C">
              <w:rPr>
                <w:rFonts w:ascii="Times New Roman" w:hAnsi="Times New Roman" w:cs="Times New Roman"/>
                <w:bCs/>
                <w:iCs/>
                <w:sz w:val="16"/>
                <w:szCs w:val="16"/>
              </w:rPr>
              <w:t>Intreprinderi</w:t>
            </w:r>
            <w:proofErr w:type="spellEnd"/>
          </w:p>
        </w:tc>
        <w:tc>
          <w:tcPr>
            <w:tcW w:w="415" w:type="pct"/>
            <w:tcBorders>
              <w:top w:val="single" w:sz="4" w:space="0" w:color="auto"/>
              <w:left w:val="single" w:sz="4" w:space="0" w:color="auto"/>
              <w:bottom w:val="single" w:sz="4" w:space="0" w:color="auto"/>
              <w:right w:val="single" w:sz="4" w:space="0" w:color="auto"/>
            </w:tcBorders>
          </w:tcPr>
          <w:p w14:paraId="5C8ADF3A" w14:textId="77777777" w:rsidR="00812F6A" w:rsidRPr="008C5F1C" w:rsidRDefault="00812F6A" w:rsidP="00EE349D">
            <w:pPr>
              <w:spacing w:after="0"/>
              <w:rPr>
                <w:rFonts w:ascii="Times New Roman" w:hAnsi="Times New Roman" w:cs="Times New Roman"/>
                <w:i/>
                <w:sz w:val="16"/>
                <w:szCs w:val="16"/>
              </w:rPr>
            </w:pPr>
            <w:r w:rsidRPr="008C5F1C">
              <w:rPr>
                <w:rFonts w:ascii="Times New Roman" w:hAnsi="Times New Roman" w:cs="Times New Roman"/>
                <w:i/>
                <w:sz w:val="16"/>
                <w:szCs w:val="16"/>
              </w:rPr>
              <w:t>0</w:t>
            </w:r>
          </w:p>
        </w:tc>
        <w:tc>
          <w:tcPr>
            <w:tcW w:w="437" w:type="pct"/>
            <w:tcBorders>
              <w:top w:val="single" w:sz="4" w:space="0" w:color="auto"/>
              <w:left w:val="single" w:sz="4" w:space="0" w:color="auto"/>
              <w:bottom w:val="single" w:sz="4" w:space="0" w:color="auto"/>
              <w:right w:val="single" w:sz="4" w:space="0" w:color="auto"/>
            </w:tcBorders>
          </w:tcPr>
          <w:p w14:paraId="56A29759" w14:textId="7725C5DF" w:rsidR="00812F6A" w:rsidRPr="008C5F1C" w:rsidRDefault="00812F6A" w:rsidP="00EE349D">
            <w:pPr>
              <w:spacing w:after="0"/>
              <w:rPr>
                <w:rFonts w:ascii="Times New Roman" w:hAnsi="Times New Roman" w:cs="Times New Roman"/>
                <w:b/>
                <w:sz w:val="16"/>
                <w:szCs w:val="16"/>
              </w:rPr>
            </w:pPr>
            <w:r w:rsidRPr="008C5F1C">
              <w:rPr>
                <w:rFonts w:ascii="Times New Roman" w:hAnsi="Times New Roman" w:cs="Times New Roman"/>
                <w:b/>
                <w:sz w:val="16"/>
                <w:szCs w:val="16"/>
              </w:rPr>
              <w:t>202</w:t>
            </w:r>
            <w:r w:rsidR="00F67F4B" w:rsidRPr="008C5F1C">
              <w:rPr>
                <w:rFonts w:ascii="Times New Roman" w:hAnsi="Times New Roman" w:cs="Times New Roman"/>
                <w:b/>
                <w:sz w:val="16"/>
                <w:szCs w:val="16"/>
              </w:rPr>
              <w:t>1</w:t>
            </w:r>
          </w:p>
        </w:tc>
        <w:tc>
          <w:tcPr>
            <w:tcW w:w="330" w:type="pct"/>
            <w:tcBorders>
              <w:top w:val="single" w:sz="4" w:space="0" w:color="auto"/>
              <w:left w:val="single" w:sz="4" w:space="0" w:color="auto"/>
              <w:bottom w:val="single" w:sz="4" w:space="0" w:color="auto"/>
              <w:right w:val="single" w:sz="4" w:space="0" w:color="auto"/>
            </w:tcBorders>
          </w:tcPr>
          <w:p w14:paraId="36952506" w14:textId="1F7AFC43" w:rsidR="00812F6A" w:rsidRPr="00AB2458" w:rsidRDefault="00F67F4B" w:rsidP="00EE349D">
            <w:pPr>
              <w:spacing w:after="0"/>
              <w:rPr>
                <w:rFonts w:ascii="Times New Roman" w:hAnsi="Times New Roman" w:cs="Times New Roman"/>
                <w:bCs/>
                <w:sz w:val="16"/>
                <w:szCs w:val="16"/>
              </w:rPr>
            </w:pPr>
            <w:r w:rsidRPr="00AB2458">
              <w:rPr>
                <w:rFonts w:ascii="Times New Roman" w:hAnsi="Times New Roman" w:cs="Times New Roman"/>
                <w:bCs/>
                <w:sz w:val="16"/>
                <w:szCs w:val="16"/>
              </w:rPr>
              <w:t>9</w:t>
            </w:r>
          </w:p>
        </w:tc>
        <w:tc>
          <w:tcPr>
            <w:tcW w:w="407" w:type="pct"/>
            <w:tcBorders>
              <w:top w:val="single" w:sz="4" w:space="0" w:color="auto"/>
              <w:left w:val="single" w:sz="4" w:space="0" w:color="auto"/>
              <w:bottom w:val="single" w:sz="4" w:space="0" w:color="auto"/>
              <w:right w:val="single" w:sz="4" w:space="0" w:color="auto"/>
            </w:tcBorders>
          </w:tcPr>
          <w:p w14:paraId="53A69D42" w14:textId="77777777" w:rsidR="00761529" w:rsidRPr="00AB2458" w:rsidRDefault="00761529" w:rsidP="00EE349D">
            <w:pPr>
              <w:spacing w:after="0"/>
              <w:rPr>
                <w:rFonts w:ascii="Times New Roman" w:hAnsi="Times New Roman" w:cs="Times New Roman"/>
                <w:bCs/>
                <w:sz w:val="16"/>
                <w:szCs w:val="16"/>
              </w:rPr>
            </w:pPr>
            <w:r w:rsidRPr="00AB2458">
              <w:rPr>
                <w:rFonts w:ascii="Times New Roman" w:hAnsi="Times New Roman" w:cs="Times New Roman"/>
                <w:bCs/>
                <w:sz w:val="16"/>
                <w:szCs w:val="16"/>
              </w:rPr>
              <w:t>RAI</w:t>
            </w:r>
          </w:p>
          <w:p w14:paraId="12BA1C0B" w14:textId="39EBC937" w:rsidR="00812F6A" w:rsidRPr="00AB2458" w:rsidRDefault="00761529" w:rsidP="00EE349D">
            <w:pPr>
              <w:spacing w:after="0"/>
              <w:rPr>
                <w:rFonts w:ascii="Times New Roman" w:hAnsi="Times New Roman" w:cs="Times New Roman"/>
                <w:bCs/>
                <w:i/>
                <w:sz w:val="16"/>
                <w:szCs w:val="16"/>
              </w:rPr>
            </w:pPr>
            <w:proofErr w:type="spellStart"/>
            <w:r w:rsidRPr="00AB2458">
              <w:rPr>
                <w:rFonts w:ascii="Times New Roman" w:hAnsi="Times New Roman" w:cs="Times New Roman"/>
                <w:bCs/>
                <w:sz w:val="16"/>
                <w:szCs w:val="16"/>
              </w:rPr>
              <w:t>MySMIS</w:t>
            </w:r>
            <w:proofErr w:type="spellEnd"/>
          </w:p>
        </w:tc>
        <w:tc>
          <w:tcPr>
            <w:tcW w:w="562" w:type="pct"/>
            <w:tcBorders>
              <w:top w:val="single" w:sz="4" w:space="0" w:color="auto"/>
              <w:left w:val="single" w:sz="4" w:space="0" w:color="auto"/>
              <w:bottom w:val="single" w:sz="4" w:space="0" w:color="auto"/>
              <w:right w:val="single" w:sz="4" w:space="0" w:color="auto"/>
            </w:tcBorders>
          </w:tcPr>
          <w:p w14:paraId="08D282B4" w14:textId="6019E9C5" w:rsidR="00812F6A" w:rsidRPr="008C5F1C" w:rsidRDefault="00FA5677" w:rsidP="00EE349D">
            <w:pPr>
              <w:spacing w:after="0"/>
              <w:rPr>
                <w:rFonts w:ascii="Times New Roman" w:hAnsi="Times New Roman" w:cs="Times New Roman"/>
                <w:i/>
                <w:sz w:val="16"/>
                <w:szCs w:val="16"/>
              </w:rPr>
            </w:pPr>
            <w:r w:rsidRPr="008C5F1C">
              <w:rPr>
                <w:rFonts w:ascii="Times New Roman" w:hAnsi="Times New Roman" w:cs="Times New Roman"/>
                <w:i/>
                <w:sz w:val="16"/>
                <w:szCs w:val="16"/>
              </w:rPr>
              <w:t xml:space="preserve">70% din </w:t>
            </w:r>
            <w:proofErr w:type="spellStart"/>
            <w:r w:rsidRPr="008C5F1C">
              <w:rPr>
                <w:rFonts w:ascii="Times New Roman" w:hAnsi="Times New Roman" w:cs="Times New Roman"/>
                <w:i/>
                <w:sz w:val="16"/>
                <w:szCs w:val="16"/>
              </w:rPr>
              <w:t>intreprinderile</w:t>
            </w:r>
            <w:proofErr w:type="spellEnd"/>
            <w:r w:rsidRPr="008C5F1C">
              <w:rPr>
                <w:rFonts w:ascii="Times New Roman" w:hAnsi="Times New Roman" w:cs="Times New Roman"/>
                <w:i/>
                <w:sz w:val="16"/>
                <w:szCs w:val="16"/>
              </w:rPr>
              <w:t xml:space="preserve"> </w:t>
            </w:r>
            <w:proofErr w:type="spellStart"/>
            <w:r w:rsidRPr="008C5F1C">
              <w:rPr>
                <w:rFonts w:ascii="Times New Roman" w:hAnsi="Times New Roman" w:cs="Times New Roman"/>
                <w:i/>
                <w:sz w:val="16"/>
                <w:szCs w:val="16"/>
              </w:rPr>
              <w:t>infiintate</w:t>
            </w:r>
            <w:proofErr w:type="spellEnd"/>
            <w:r w:rsidRPr="008C5F1C">
              <w:rPr>
                <w:rFonts w:ascii="Times New Roman" w:hAnsi="Times New Roman" w:cs="Times New Roman"/>
                <w:i/>
                <w:sz w:val="16"/>
                <w:szCs w:val="16"/>
              </w:rPr>
              <w:t xml:space="preserve"> </w:t>
            </w:r>
            <w:proofErr w:type="spellStart"/>
            <w:r w:rsidRPr="008C5F1C">
              <w:rPr>
                <w:rFonts w:ascii="Times New Roman" w:hAnsi="Times New Roman" w:cs="Times New Roman"/>
                <w:i/>
                <w:sz w:val="16"/>
                <w:szCs w:val="16"/>
              </w:rPr>
              <w:t>supravietuiesc</w:t>
            </w:r>
            <w:proofErr w:type="spellEnd"/>
            <w:r w:rsidRPr="008C5F1C">
              <w:rPr>
                <w:rFonts w:ascii="Times New Roman" w:hAnsi="Times New Roman" w:cs="Times New Roman"/>
                <w:i/>
                <w:sz w:val="16"/>
                <w:szCs w:val="16"/>
              </w:rPr>
              <w:t xml:space="preserve"> in primul an</w:t>
            </w:r>
          </w:p>
        </w:tc>
      </w:tr>
      <w:tr w:rsidR="00812F6A" w:rsidRPr="008C5F1C" w14:paraId="5088262B" w14:textId="77777777" w:rsidTr="00E453CE">
        <w:trPr>
          <w:trHeight w:val="434"/>
        </w:trPr>
        <w:tc>
          <w:tcPr>
            <w:tcW w:w="368" w:type="pct"/>
            <w:tcBorders>
              <w:top w:val="single" w:sz="4" w:space="0" w:color="auto"/>
              <w:left w:val="single" w:sz="4" w:space="0" w:color="auto"/>
              <w:bottom w:val="single" w:sz="4" w:space="0" w:color="auto"/>
              <w:right w:val="single" w:sz="4" w:space="0" w:color="auto"/>
            </w:tcBorders>
          </w:tcPr>
          <w:p w14:paraId="31C35FED" w14:textId="77777777" w:rsidR="00812F6A" w:rsidRPr="008C5F1C" w:rsidRDefault="00812F6A" w:rsidP="00EE349D">
            <w:pPr>
              <w:spacing w:after="0"/>
              <w:rPr>
                <w:rFonts w:ascii="Times New Roman" w:hAnsi="Times New Roman" w:cs="Times New Roman"/>
                <w:i/>
                <w:sz w:val="16"/>
                <w:szCs w:val="16"/>
              </w:rPr>
            </w:pPr>
            <w:r w:rsidRPr="008C5F1C">
              <w:rPr>
                <w:rFonts w:ascii="Times New Roman" w:hAnsi="Times New Roman" w:cs="Times New Roman"/>
                <w:i/>
                <w:sz w:val="16"/>
                <w:szCs w:val="16"/>
              </w:rPr>
              <w:t>1</w:t>
            </w:r>
          </w:p>
        </w:tc>
        <w:tc>
          <w:tcPr>
            <w:tcW w:w="387" w:type="pct"/>
            <w:tcBorders>
              <w:top w:val="single" w:sz="4" w:space="0" w:color="auto"/>
              <w:left w:val="single" w:sz="4" w:space="0" w:color="auto"/>
              <w:bottom w:val="single" w:sz="4" w:space="0" w:color="auto"/>
              <w:right w:val="single" w:sz="4" w:space="0" w:color="auto"/>
            </w:tcBorders>
          </w:tcPr>
          <w:p w14:paraId="2F43C776" w14:textId="77777777" w:rsidR="00812F6A" w:rsidRPr="008C5F1C" w:rsidRDefault="00812F6A" w:rsidP="00EE349D">
            <w:pPr>
              <w:spacing w:after="0"/>
              <w:rPr>
                <w:rFonts w:ascii="Times New Roman" w:hAnsi="Times New Roman" w:cs="Times New Roman"/>
                <w:noProof/>
                <w:sz w:val="16"/>
                <w:szCs w:val="16"/>
              </w:rPr>
            </w:pPr>
            <w:r w:rsidRPr="008C5F1C">
              <w:rPr>
                <w:rFonts w:ascii="Times New Roman" w:hAnsi="Times New Roman" w:cs="Times New Roman"/>
                <w:noProof/>
                <w:sz w:val="16"/>
                <w:szCs w:val="16"/>
              </w:rPr>
              <w:t>a (iii) Impulsionarea creșterii și competitivității IMM-urilor</w:t>
            </w:r>
          </w:p>
        </w:tc>
        <w:tc>
          <w:tcPr>
            <w:tcW w:w="303" w:type="pct"/>
            <w:tcBorders>
              <w:top w:val="single" w:sz="4" w:space="0" w:color="auto"/>
              <w:left w:val="single" w:sz="4" w:space="0" w:color="auto"/>
              <w:bottom w:val="single" w:sz="4" w:space="0" w:color="auto"/>
              <w:right w:val="single" w:sz="4" w:space="0" w:color="auto"/>
            </w:tcBorders>
          </w:tcPr>
          <w:p w14:paraId="5647D4D4" w14:textId="77777777" w:rsidR="00812F6A" w:rsidRPr="008C5F1C" w:rsidRDefault="00812F6A" w:rsidP="00EE349D">
            <w:pPr>
              <w:spacing w:after="0"/>
              <w:rPr>
                <w:rFonts w:ascii="Times New Roman" w:hAnsi="Times New Roman" w:cs="Times New Roman"/>
                <w:noProof/>
                <w:sz w:val="16"/>
                <w:szCs w:val="16"/>
              </w:rPr>
            </w:pPr>
            <w:r w:rsidRPr="008C5F1C">
              <w:rPr>
                <w:rFonts w:ascii="Times New Roman" w:hAnsi="Times New Roman" w:cs="Times New Roman"/>
                <w:noProof/>
                <w:sz w:val="16"/>
                <w:szCs w:val="16"/>
              </w:rPr>
              <w:t>FEDR</w:t>
            </w:r>
          </w:p>
        </w:tc>
        <w:tc>
          <w:tcPr>
            <w:tcW w:w="424" w:type="pct"/>
            <w:tcBorders>
              <w:top w:val="single" w:sz="4" w:space="0" w:color="auto"/>
              <w:left w:val="single" w:sz="4" w:space="0" w:color="auto"/>
              <w:bottom w:val="single" w:sz="4" w:space="0" w:color="auto"/>
              <w:right w:val="single" w:sz="4" w:space="0" w:color="auto"/>
            </w:tcBorders>
          </w:tcPr>
          <w:p w14:paraId="1CBCB67D" w14:textId="77777777" w:rsidR="00812F6A" w:rsidRPr="008C5F1C" w:rsidRDefault="00812F6A" w:rsidP="00EE349D">
            <w:pPr>
              <w:spacing w:after="0"/>
              <w:rPr>
                <w:rFonts w:ascii="Times New Roman" w:hAnsi="Times New Roman" w:cs="Times New Roman"/>
                <w:noProof/>
                <w:sz w:val="16"/>
                <w:szCs w:val="16"/>
              </w:rPr>
            </w:pPr>
            <w:r w:rsidRPr="008C5F1C">
              <w:rPr>
                <w:rFonts w:ascii="Times New Roman" w:hAnsi="Times New Roman" w:cs="Times New Roman"/>
                <w:noProof/>
                <w:sz w:val="16"/>
                <w:szCs w:val="16"/>
              </w:rPr>
              <w:t>Mai puțin dezvoltate</w:t>
            </w:r>
          </w:p>
        </w:tc>
        <w:tc>
          <w:tcPr>
            <w:tcW w:w="261" w:type="pct"/>
            <w:tcBorders>
              <w:top w:val="single" w:sz="4" w:space="0" w:color="auto"/>
              <w:left w:val="single" w:sz="4" w:space="0" w:color="auto"/>
              <w:bottom w:val="single" w:sz="4" w:space="0" w:color="auto"/>
              <w:right w:val="single" w:sz="4" w:space="0" w:color="auto"/>
            </w:tcBorders>
          </w:tcPr>
          <w:p w14:paraId="0EB19B5A" w14:textId="77777777" w:rsidR="00812F6A" w:rsidRPr="008C5F1C" w:rsidRDefault="00812F6A" w:rsidP="00EE349D">
            <w:pPr>
              <w:spacing w:after="0"/>
              <w:rPr>
                <w:rFonts w:ascii="Times New Roman" w:hAnsi="Times New Roman" w:cs="Times New Roman"/>
                <w:noProof/>
                <w:sz w:val="16"/>
                <w:szCs w:val="16"/>
              </w:rPr>
            </w:pPr>
            <w:r w:rsidRPr="008C5F1C">
              <w:rPr>
                <w:rFonts w:ascii="Times New Roman" w:hAnsi="Times New Roman" w:cs="Times New Roman"/>
                <w:noProof/>
                <w:sz w:val="16"/>
                <w:szCs w:val="16"/>
              </w:rPr>
              <w:t xml:space="preserve">RCR 18 </w:t>
            </w:r>
          </w:p>
        </w:tc>
        <w:tc>
          <w:tcPr>
            <w:tcW w:w="539" w:type="pct"/>
            <w:tcBorders>
              <w:top w:val="single" w:sz="4" w:space="0" w:color="auto"/>
              <w:left w:val="single" w:sz="4" w:space="0" w:color="auto"/>
              <w:bottom w:val="single" w:sz="4" w:space="0" w:color="auto"/>
              <w:right w:val="single" w:sz="4" w:space="0" w:color="auto"/>
            </w:tcBorders>
          </w:tcPr>
          <w:p w14:paraId="4EA1792D" w14:textId="77777777" w:rsidR="00812F6A" w:rsidRPr="008C5F1C" w:rsidRDefault="00812F6A" w:rsidP="00EE349D">
            <w:pPr>
              <w:spacing w:after="0"/>
              <w:rPr>
                <w:rFonts w:ascii="Times New Roman" w:hAnsi="Times New Roman" w:cs="Times New Roman"/>
                <w:noProof/>
                <w:sz w:val="16"/>
                <w:szCs w:val="16"/>
              </w:rPr>
            </w:pPr>
            <w:r w:rsidRPr="008C5F1C">
              <w:rPr>
                <w:rFonts w:ascii="Times New Roman" w:hAnsi="Times New Roman" w:cs="Times New Roman"/>
                <w:noProof/>
                <w:sz w:val="16"/>
                <w:szCs w:val="16"/>
              </w:rPr>
              <w:t>RCR 18 - IMM-uri care utilizează serviciile de incubare dupa inființarea incubatorului.</w:t>
            </w:r>
          </w:p>
        </w:tc>
        <w:tc>
          <w:tcPr>
            <w:tcW w:w="562" w:type="pct"/>
            <w:tcBorders>
              <w:top w:val="single" w:sz="4" w:space="0" w:color="auto"/>
              <w:left w:val="single" w:sz="4" w:space="0" w:color="auto"/>
              <w:bottom w:val="single" w:sz="4" w:space="0" w:color="auto"/>
              <w:right w:val="single" w:sz="4" w:space="0" w:color="auto"/>
            </w:tcBorders>
          </w:tcPr>
          <w:p w14:paraId="23B29701" w14:textId="77777777" w:rsidR="00812F6A" w:rsidRPr="008C5F1C" w:rsidRDefault="00812F6A" w:rsidP="00EE349D">
            <w:pPr>
              <w:spacing w:after="0"/>
              <w:rPr>
                <w:rFonts w:ascii="Times New Roman" w:hAnsi="Times New Roman" w:cs="Times New Roman"/>
                <w:i/>
                <w:sz w:val="16"/>
                <w:szCs w:val="16"/>
              </w:rPr>
            </w:pPr>
            <w:proofErr w:type="spellStart"/>
            <w:r w:rsidRPr="008C5F1C">
              <w:rPr>
                <w:rFonts w:ascii="Times New Roman" w:hAnsi="Times New Roman" w:cs="Times New Roman"/>
                <w:i/>
                <w:sz w:val="16"/>
                <w:szCs w:val="16"/>
              </w:rPr>
              <w:t>Intreprinderi</w:t>
            </w:r>
            <w:proofErr w:type="spellEnd"/>
            <w:r w:rsidRPr="008C5F1C">
              <w:rPr>
                <w:rFonts w:ascii="Times New Roman" w:hAnsi="Times New Roman" w:cs="Times New Roman"/>
                <w:i/>
                <w:sz w:val="16"/>
                <w:szCs w:val="16"/>
              </w:rPr>
              <w:t xml:space="preserve"> </w:t>
            </w:r>
          </w:p>
        </w:tc>
        <w:tc>
          <w:tcPr>
            <w:tcW w:w="415" w:type="pct"/>
            <w:tcBorders>
              <w:top w:val="single" w:sz="4" w:space="0" w:color="auto"/>
              <w:left w:val="single" w:sz="4" w:space="0" w:color="auto"/>
              <w:bottom w:val="single" w:sz="4" w:space="0" w:color="auto"/>
              <w:right w:val="single" w:sz="4" w:space="0" w:color="auto"/>
            </w:tcBorders>
          </w:tcPr>
          <w:p w14:paraId="1557CB2C" w14:textId="77777777" w:rsidR="00812F6A" w:rsidRPr="008C5F1C" w:rsidRDefault="00812F6A" w:rsidP="00EE349D">
            <w:pPr>
              <w:spacing w:after="0"/>
              <w:rPr>
                <w:rFonts w:ascii="Times New Roman" w:hAnsi="Times New Roman" w:cs="Times New Roman"/>
                <w:i/>
                <w:sz w:val="16"/>
                <w:szCs w:val="16"/>
              </w:rPr>
            </w:pPr>
            <w:r w:rsidRPr="008C5F1C">
              <w:rPr>
                <w:rFonts w:ascii="Times New Roman" w:hAnsi="Times New Roman" w:cs="Times New Roman"/>
                <w:i/>
                <w:sz w:val="16"/>
                <w:szCs w:val="16"/>
              </w:rPr>
              <w:t>0</w:t>
            </w:r>
          </w:p>
        </w:tc>
        <w:tc>
          <w:tcPr>
            <w:tcW w:w="437" w:type="pct"/>
            <w:tcBorders>
              <w:top w:val="single" w:sz="4" w:space="0" w:color="auto"/>
              <w:left w:val="single" w:sz="4" w:space="0" w:color="auto"/>
              <w:bottom w:val="single" w:sz="4" w:space="0" w:color="auto"/>
              <w:right w:val="single" w:sz="4" w:space="0" w:color="auto"/>
            </w:tcBorders>
          </w:tcPr>
          <w:p w14:paraId="641A073C" w14:textId="77777777" w:rsidR="00812F6A" w:rsidRPr="008C5F1C" w:rsidRDefault="00812F6A" w:rsidP="00EE349D">
            <w:pPr>
              <w:spacing w:after="0"/>
              <w:rPr>
                <w:rFonts w:ascii="Times New Roman" w:hAnsi="Times New Roman" w:cs="Times New Roman"/>
                <w:b/>
                <w:sz w:val="16"/>
                <w:szCs w:val="16"/>
              </w:rPr>
            </w:pPr>
            <w:r w:rsidRPr="008C5F1C">
              <w:rPr>
                <w:rFonts w:ascii="Times New Roman" w:hAnsi="Times New Roman" w:cs="Times New Roman"/>
                <w:b/>
                <w:sz w:val="16"/>
                <w:szCs w:val="16"/>
              </w:rPr>
              <w:t>2021</w:t>
            </w:r>
          </w:p>
        </w:tc>
        <w:tc>
          <w:tcPr>
            <w:tcW w:w="330" w:type="pct"/>
            <w:tcBorders>
              <w:top w:val="single" w:sz="4" w:space="0" w:color="auto"/>
              <w:left w:val="single" w:sz="4" w:space="0" w:color="auto"/>
              <w:bottom w:val="single" w:sz="4" w:space="0" w:color="auto"/>
              <w:right w:val="single" w:sz="4" w:space="0" w:color="auto"/>
            </w:tcBorders>
          </w:tcPr>
          <w:p w14:paraId="55948819" w14:textId="2D4CD6DE" w:rsidR="00812F6A" w:rsidRPr="00AB2458" w:rsidRDefault="009B746B" w:rsidP="00EE349D">
            <w:pPr>
              <w:spacing w:after="0"/>
              <w:rPr>
                <w:rFonts w:ascii="Times New Roman" w:hAnsi="Times New Roman" w:cs="Times New Roman"/>
                <w:bCs/>
                <w:sz w:val="16"/>
                <w:szCs w:val="16"/>
              </w:rPr>
            </w:pPr>
            <w:r w:rsidRPr="00AB2458">
              <w:rPr>
                <w:rFonts w:ascii="Times New Roman" w:hAnsi="Times New Roman" w:cs="Times New Roman"/>
                <w:bCs/>
                <w:sz w:val="16"/>
                <w:szCs w:val="16"/>
              </w:rPr>
              <w:t>93</w:t>
            </w:r>
          </w:p>
        </w:tc>
        <w:tc>
          <w:tcPr>
            <w:tcW w:w="407" w:type="pct"/>
            <w:tcBorders>
              <w:top w:val="single" w:sz="4" w:space="0" w:color="auto"/>
              <w:left w:val="single" w:sz="4" w:space="0" w:color="auto"/>
              <w:bottom w:val="single" w:sz="4" w:space="0" w:color="auto"/>
              <w:right w:val="single" w:sz="4" w:space="0" w:color="auto"/>
            </w:tcBorders>
          </w:tcPr>
          <w:p w14:paraId="25930D76" w14:textId="77777777" w:rsidR="00761529" w:rsidRPr="00AB2458" w:rsidRDefault="00761529" w:rsidP="00EE349D">
            <w:pPr>
              <w:spacing w:after="0"/>
              <w:rPr>
                <w:rFonts w:ascii="Times New Roman" w:hAnsi="Times New Roman" w:cs="Times New Roman"/>
                <w:bCs/>
                <w:sz w:val="16"/>
                <w:szCs w:val="16"/>
              </w:rPr>
            </w:pPr>
            <w:r w:rsidRPr="00AB2458">
              <w:rPr>
                <w:rFonts w:ascii="Times New Roman" w:hAnsi="Times New Roman" w:cs="Times New Roman"/>
                <w:bCs/>
                <w:sz w:val="16"/>
                <w:szCs w:val="16"/>
              </w:rPr>
              <w:t>RAI</w:t>
            </w:r>
          </w:p>
          <w:p w14:paraId="3E361839" w14:textId="1578307A" w:rsidR="00812F6A" w:rsidRPr="00AB2458" w:rsidRDefault="00761529" w:rsidP="00EE349D">
            <w:pPr>
              <w:spacing w:after="0"/>
              <w:rPr>
                <w:rFonts w:ascii="Times New Roman" w:hAnsi="Times New Roman" w:cs="Times New Roman"/>
                <w:bCs/>
                <w:i/>
                <w:sz w:val="16"/>
                <w:szCs w:val="16"/>
              </w:rPr>
            </w:pPr>
            <w:proofErr w:type="spellStart"/>
            <w:r w:rsidRPr="00AB2458">
              <w:rPr>
                <w:rFonts w:ascii="Times New Roman" w:hAnsi="Times New Roman" w:cs="Times New Roman"/>
                <w:bCs/>
                <w:sz w:val="16"/>
                <w:szCs w:val="16"/>
              </w:rPr>
              <w:t>MySMIS</w:t>
            </w:r>
            <w:proofErr w:type="spellEnd"/>
          </w:p>
        </w:tc>
        <w:tc>
          <w:tcPr>
            <w:tcW w:w="562" w:type="pct"/>
            <w:tcBorders>
              <w:top w:val="single" w:sz="4" w:space="0" w:color="auto"/>
              <w:left w:val="single" w:sz="4" w:space="0" w:color="auto"/>
              <w:bottom w:val="single" w:sz="4" w:space="0" w:color="auto"/>
              <w:right w:val="single" w:sz="4" w:space="0" w:color="auto"/>
            </w:tcBorders>
          </w:tcPr>
          <w:p w14:paraId="3C4C2730" w14:textId="79B27223" w:rsidR="00812F6A" w:rsidRPr="008C5F1C" w:rsidRDefault="00FA5677" w:rsidP="00EE349D">
            <w:pPr>
              <w:spacing w:after="0"/>
              <w:rPr>
                <w:rFonts w:ascii="Times New Roman" w:hAnsi="Times New Roman" w:cs="Times New Roman"/>
                <w:i/>
                <w:sz w:val="16"/>
                <w:szCs w:val="16"/>
              </w:rPr>
            </w:pPr>
            <w:r w:rsidRPr="008C5F1C">
              <w:rPr>
                <w:rFonts w:ascii="Times New Roman" w:hAnsi="Times New Roman" w:cs="Times New Roman"/>
                <w:i/>
                <w:sz w:val="16"/>
                <w:szCs w:val="16"/>
              </w:rPr>
              <w:t xml:space="preserve">60% din capacitatea de incubare creata e ocupata in primul </w:t>
            </w:r>
            <w:proofErr w:type="spellStart"/>
            <w:r w:rsidRPr="008C5F1C">
              <w:rPr>
                <w:rFonts w:ascii="Times New Roman" w:hAnsi="Times New Roman" w:cs="Times New Roman"/>
                <w:i/>
                <w:sz w:val="16"/>
                <w:szCs w:val="16"/>
              </w:rPr>
              <w:t>dupa</w:t>
            </w:r>
            <w:proofErr w:type="spellEnd"/>
            <w:r w:rsidRPr="008C5F1C">
              <w:rPr>
                <w:rFonts w:ascii="Times New Roman" w:hAnsi="Times New Roman" w:cs="Times New Roman"/>
                <w:i/>
                <w:sz w:val="16"/>
                <w:szCs w:val="16"/>
              </w:rPr>
              <w:t xml:space="preserve"> </w:t>
            </w:r>
            <w:proofErr w:type="spellStart"/>
            <w:r w:rsidRPr="008C5F1C">
              <w:rPr>
                <w:rFonts w:ascii="Times New Roman" w:hAnsi="Times New Roman" w:cs="Times New Roman"/>
                <w:i/>
                <w:sz w:val="16"/>
                <w:szCs w:val="16"/>
              </w:rPr>
              <w:t>infiintare</w:t>
            </w:r>
            <w:proofErr w:type="spellEnd"/>
          </w:p>
        </w:tc>
      </w:tr>
      <w:tr w:rsidR="00812F6A" w:rsidRPr="008C5F1C" w14:paraId="7FC1A0F4" w14:textId="77777777" w:rsidTr="00E453CE">
        <w:trPr>
          <w:trHeight w:val="434"/>
        </w:trPr>
        <w:tc>
          <w:tcPr>
            <w:tcW w:w="368" w:type="pct"/>
            <w:tcBorders>
              <w:top w:val="single" w:sz="4" w:space="0" w:color="auto"/>
              <w:left w:val="single" w:sz="4" w:space="0" w:color="auto"/>
              <w:bottom w:val="single" w:sz="4" w:space="0" w:color="auto"/>
              <w:right w:val="single" w:sz="4" w:space="0" w:color="auto"/>
            </w:tcBorders>
          </w:tcPr>
          <w:p w14:paraId="122D0F46" w14:textId="77777777" w:rsidR="00812F6A" w:rsidRPr="008C5F1C" w:rsidRDefault="00812F6A" w:rsidP="00EE349D">
            <w:pPr>
              <w:spacing w:after="0"/>
              <w:rPr>
                <w:rFonts w:ascii="Times New Roman" w:hAnsi="Times New Roman" w:cs="Times New Roman"/>
                <w:i/>
                <w:sz w:val="16"/>
                <w:szCs w:val="16"/>
              </w:rPr>
            </w:pPr>
            <w:r w:rsidRPr="008C5F1C">
              <w:rPr>
                <w:rFonts w:ascii="Times New Roman" w:hAnsi="Times New Roman" w:cs="Times New Roman"/>
                <w:i/>
                <w:sz w:val="16"/>
                <w:szCs w:val="16"/>
              </w:rPr>
              <w:t>1</w:t>
            </w:r>
          </w:p>
        </w:tc>
        <w:tc>
          <w:tcPr>
            <w:tcW w:w="387" w:type="pct"/>
            <w:tcBorders>
              <w:top w:val="single" w:sz="4" w:space="0" w:color="auto"/>
              <w:left w:val="single" w:sz="4" w:space="0" w:color="auto"/>
              <w:bottom w:val="single" w:sz="4" w:space="0" w:color="auto"/>
              <w:right w:val="single" w:sz="4" w:space="0" w:color="auto"/>
            </w:tcBorders>
          </w:tcPr>
          <w:p w14:paraId="65AFA720" w14:textId="77777777" w:rsidR="00812F6A" w:rsidRPr="008C5F1C" w:rsidRDefault="00812F6A" w:rsidP="00EE349D">
            <w:pPr>
              <w:spacing w:after="0"/>
              <w:rPr>
                <w:rFonts w:ascii="Times New Roman" w:hAnsi="Times New Roman" w:cs="Times New Roman"/>
                <w:noProof/>
                <w:sz w:val="16"/>
                <w:szCs w:val="16"/>
              </w:rPr>
            </w:pPr>
            <w:r w:rsidRPr="008C5F1C">
              <w:rPr>
                <w:rFonts w:ascii="Times New Roman" w:hAnsi="Times New Roman" w:cs="Times New Roman"/>
                <w:noProof/>
                <w:sz w:val="16"/>
                <w:szCs w:val="16"/>
              </w:rPr>
              <w:t>a (iii) Impulsionarea creșterii și competitivității IMM-urilor</w:t>
            </w:r>
          </w:p>
        </w:tc>
        <w:tc>
          <w:tcPr>
            <w:tcW w:w="303" w:type="pct"/>
            <w:tcBorders>
              <w:top w:val="single" w:sz="4" w:space="0" w:color="auto"/>
              <w:left w:val="single" w:sz="4" w:space="0" w:color="auto"/>
              <w:bottom w:val="single" w:sz="4" w:space="0" w:color="auto"/>
              <w:right w:val="single" w:sz="4" w:space="0" w:color="auto"/>
            </w:tcBorders>
          </w:tcPr>
          <w:p w14:paraId="1EAB6765" w14:textId="77777777" w:rsidR="00812F6A" w:rsidRPr="008C5F1C" w:rsidRDefault="00812F6A" w:rsidP="00EE349D">
            <w:pPr>
              <w:spacing w:after="0"/>
              <w:rPr>
                <w:rFonts w:ascii="Times New Roman" w:hAnsi="Times New Roman" w:cs="Times New Roman"/>
                <w:noProof/>
                <w:sz w:val="16"/>
                <w:szCs w:val="16"/>
              </w:rPr>
            </w:pPr>
            <w:r w:rsidRPr="008C5F1C">
              <w:rPr>
                <w:rFonts w:ascii="Times New Roman" w:hAnsi="Times New Roman" w:cs="Times New Roman"/>
                <w:noProof/>
                <w:sz w:val="16"/>
                <w:szCs w:val="16"/>
              </w:rPr>
              <w:t>FEDR</w:t>
            </w:r>
          </w:p>
        </w:tc>
        <w:tc>
          <w:tcPr>
            <w:tcW w:w="424" w:type="pct"/>
            <w:tcBorders>
              <w:top w:val="single" w:sz="4" w:space="0" w:color="auto"/>
              <w:left w:val="single" w:sz="4" w:space="0" w:color="auto"/>
              <w:bottom w:val="single" w:sz="4" w:space="0" w:color="auto"/>
              <w:right w:val="single" w:sz="4" w:space="0" w:color="auto"/>
            </w:tcBorders>
          </w:tcPr>
          <w:p w14:paraId="30AA4F54" w14:textId="77777777" w:rsidR="00812F6A" w:rsidRPr="008C5F1C" w:rsidRDefault="00812F6A" w:rsidP="00EE349D">
            <w:pPr>
              <w:spacing w:after="0"/>
              <w:rPr>
                <w:rFonts w:ascii="Times New Roman" w:hAnsi="Times New Roman" w:cs="Times New Roman"/>
                <w:noProof/>
                <w:sz w:val="16"/>
                <w:szCs w:val="16"/>
              </w:rPr>
            </w:pPr>
            <w:r w:rsidRPr="008C5F1C">
              <w:rPr>
                <w:rFonts w:ascii="Times New Roman" w:hAnsi="Times New Roman" w:cs="Times New Roman"/>
                <w:noProof/>
                <w:sz w:val="16"/>
                <w:szCs w:val="16"/>
              </w:rPr>
              <w:t>Mai puțin dezvoltate</w:t>
            </w:r>
          </w:p>
        </w:tc>
        <w:tc>
          <w:tcPr>
            <w:tcW w:w="261" w:type="pct"/>
            <w:tcBorders>
              <w:top w:val="single" w:sz="4" w:space="0" w:color="auto"/>
              <w:left w:val="single" w:sz="4" w:space="0" w:color="auto"/>
              <w:bottom w:val="single" w:sz="4" w:space="0" w:color="auto"/>
              <w:right w:val="single" w:sz="4" w:space="0" w:color="auto"/>
            </w:tcBorders>
          </w:tcPr>
          <w:p w14:paraId="10B227DB" w14:textId="77777777" w:rsidR="00812F6A" w:rsidRPr="008C5F1C" w:rsidRDefault="00812F6A" w:rsidP="00EE349D">
            <w:pPr>
              <w:spacing w:after="0"/>
              <w:rPr>
                <w:rFonts w:ascii="Times New Roman" w:hAnsi="Times New Roman" w:cs="Times New Roman"/>
                <w:noProof/>
                <w:sz w:val="16"/>
                <w:szCs w:val="16"/>
              </w:rPr>
            </w:pPr>
            <w:r w:rsidRPr="008C5F1C">
              <w:rPr>
                <w:rFonts w:ascii="Times New Roman" w:hAnsi="Times New Roman" w:cs="Times New Roman"/>
                <w:noProof/>
                <w:sz w:val="16"/>
                <w:szCs w:val="16"/>
              </w:rPr>
              <w:t xml:space="preserve">RCR 19 </w:t>
            </w:r>
          </w:p>
        </w:tc>
        <w:tc>
          <w:tcPr>
            <w:tcW w:w="539" w:type="pct"/>
            <w:tcBorders>
              <w:top w:val="single" w:sz="4" w:space="0" w:color="auto"/>
              <w:left w:val="single" w:sz="4" w:space="0" w:color="auto"/>
              <w:bottom w:val="single" w:sz="4" w:space="0" w:color="auto"/>
              <w:right w:val="single" w:sz="4" w:space="0" w:color="auto"/>
            </w:tcBorders>
          </w:tcPr>
          <w:p w14:paraId="1DAFA3F9" w14:textId="77777777" w:rsidR="00812F6A" w:rsidRPr="008C5F1C" w:rsidRDefault="00812F6A" w:rsidP="00EE349D">
            <w:pPr>
              <w:spacing w:after="0"/>
              <w:rPr>
                <w:rFonts w:ascii="Times New Roman" w:hAnsi="Times New Roman" w:cs="Times New Roman"/>
                <w:noProof/>
                <w:sz w:val="16"/>
                <w:szCs w:val="16"/>
              </w:rPr>
            </w:pPr>
            <w:r w:rsidRPr="008C5F1C">
              <w:rPr>
                <w:rFonts w:ascii="Times New Roman" w:hAnsi="Times New Roman" w:cs="Times New Roman"/>
                <w:noProof/>
                <w:sz w:val="16"/>
                <w:szCs w:val="16"/>
              </w:rPr>
              <w:t>RCR 19 - Întreprinderi cu cifră de afaceri mare</w:t>
            </w:r>
          </w:p>
        </w:tc>
        <w:tc>
          <w:tcPr>
            <w:tcW w:w="562" w:type="pct"/>
            <w:tcBorders>
              <w:top w:val="single" w:sz="4" w:space="0" w:color="auto"/>
              <w:left w:val="single" w:sz="4" w:space="0" w:color="auto"/>
              <w:bottom w:val="single" w:sz="4" w:space="0" w:color="auto"/>
              <w:right w:val="single" w:sz="4" w:space="0" w:color="auto"/>
            </w:tcBorders>
          </w:tcPr>
          <w:p w14:paraId="76324FC3" w14:textId="77777777" w:rsidR="00812F6A" w:rsidRPr="008C5F1C" w:rsidRDefault="00812F6A" w:rsidP="00EE349D">
            <w:pPr>
              <w:spacing w:after="0"/>
              <w:rPr>
                <w:rFonts w:ascii="Times New Roman" w:hAnsi="Times New Roman" w:cs="Times New Roman"/>
                <w:i/>
                <w:sz w:val="16"/>
                <w:szCs w:val="16"/>
              </w:rPr>
            </w:pPr>
            <w:proofErr w:type="spellStart"/>
            <w:r w:rsidRPr="008C5F1C">
              <w:rPr>
                <w:rFonts w:ascii="Times New Roman" w:hAnsi="Times New Roman" w:cs="Times New Roman"/>
                <w:i/>
                <w:sz w:val="16"/>
                <w:szCs w:val="16"/>
              </w:rPr>
              <w:t>Intreprinderi</w:t>
            </w:r>
            <w:proofErr w:type="spellEnd"/>
            <w:r w:rsidRPr="008C5F1C">
              <w:rPr>
                <w:rFonts w:ascii="Times New Roman" w:hAnsi="Times New Roman" w:cs="Times New Roman"/>
                <w:i/>
                <w:sz w:val="16"/>
                <w:szCs w:val="16"/>
              </w:rPr>
              <w:t xml:space="preserve"> </w:t>
            </w:r>
          </w:p>
        </w:tc>
        <w:tc>
          <w:tcPr>
            <w:tcW w:w="415" w:type="pct"/>
            <w:tcBorders>
              <w:top w:val="single" w:sz="4" w:space="0" w:color="auto"/>
              <w:left w:val="single" w:sz="4" w:space="0" w:color="auto"/>
              <w:bottom w:val="single" w:sz="4" w:space="0" w:color="auto"/>
              <w:right w:val="single" w:sz="4" w:space="0" w:color="auto"/>
            </w:tcBorders>
          </w:tcPr>
          <w:p w14:paraId="032AD08C" w14:textId="77777777" w:rsidR="00812F6A" w:rsidRPr="008C5F1C" w:rsidRDefault="00812F6A" w:rsidP="00EE349D">
            <w:pPr>
              <w:spacing w:after="0"/>
              <w:rPr>
                <w:rFonts w:ascii="Times New Roman" w:hAnsi="Times New Roman" w:cs="Times New Roman"/>
                <w:i/>
                <w:sz w:val="16"/>
                <w:szCs w:val="16"/>
              </w:rPr>
            </w:pPr>
            <w:r w:rsidRPr="008C5F1C">
              <w:rPr>
                <w:rFonts w:ascii="Times New Roman" w:hAnsi="Times New Roman" w:cs="Times New Roman"/>
                <w:i/>
                <w:sz w:val="16"/>
                <w:szCs w:val="16"/>
              </w:rPr>
              <w:t>0</w:t>
            </w:r>
          </w:p>
        </w:tc>
        <w:tc>
          <w:tcPr>
            <w:tcW w:w="437" w:type="pct"/>
            <w:tcBorders>
              <w:top w:val="single" w:sz="4" w:space="0" w:color="auto"/>
              <w:left w:val="single" w:sz="4" w:space="0" w:color="auto"/>
              <w:bottom w:val="single" w:sz="4" w:space="0" w:color="auto"/>
              <w:right w:val="single" w:sz="4" w:space="0" w:color="auto"/>
            </w:tcBorders>
          </w:tcPr>
          <w:p w14:paraId="1C8F4322" w14:textId="77777777" w:rsidR="00812F6A" w:rsidRPr="008C5F1C" w:rsidRDefault="00812F6A" w:rsidP="00EE349D">
            <w:pPr>
              <w:spacing w:after="0"/>
              <w:rPr>
                <w:rFonts w:ascii="Times New Roman" w:hAnsi="Times New Roman" w:cs="Times New Roman"/>
                <w:b/>
                <w:sz w:val="16"/>
                <w:szCs w:val="16"/>
              </w:rPr>
            </w:pPr>
            <w:r w:rsidRPr="008C5F1C">
              <w:rPr>
                <w:rFonts w:ascii="Times New Roman" w:hAnsi="Times New Roman" w:cs="Times New Roman"/>
                <w:b/>
                <w:sz w:val="16"/>
                <w:szCs w:val="16"/>
              </w:rPr>
              <w:t>2021</w:t>
            </w:r>
          </w:p>
        </w:tc>
        <w:tc>
          <w:tcPr>
            <w:tcW w:w="330" w:type="pct"/>
            <w:tcBorders>
              <w:top w:val="single" w:sz="4" w:space="0" w:color="auto"/>
              <w:left w:val="single" w:sz="4" w:space="0" w:color="auto"/>
              <w:bottom w:val="single" w:sz="4" w:space="0" w:color="auto"/>
              <w:right w:val="single" w:sz="4" w:space="0" w:color="auto"/>
            </w:tcBorders>
          </w:tcPr>
          <w:p w14:paraId="3F0F32A4" w14:textId="77DBCB7A" w:rsidR="00812F6A" w:rsidRPr="00AB2458" w:rsidRDefault="009B746B" w:rsidP="00EE349D">
            <w:pPr>
              <w:spacing w:after="0"/>
              <w:rPr>
                <w:rFonts w:ascii="Times New Roman" w:hAnsi="Times New Roman" w:cs="Times New Roman"/>
                <w:bCs/>
                <w:sz w:val="16"/>
                <w:szCs w:val="16"/>
              </w:rPr>
            </w:pPr>
            <w:r w:rsidRPr="00AB2458">
              <w:rPr>
                <w:rFonts w:ascii="Times New Roman" w:hAnsi="Times New Roman" w:cs="Times New Roman"/>
                <w:bCs/>
                <w:sz w:val="16"/>
                <w:szCs w:val="16"/>
              </w:rPr>
              <w:t>25</w:t>
            </w:r>
          </w:p>
        </w:tc>
        <w:tc>
          <w:tcPr>
            <w:tcW w:w="407" w:type="pct"/>
            <w:tcBorders>
              <w:top w:val="single" w:sz="4" w:space="0" w:color="auto"/>
              <w:left w:val="single" w:sz="4" w:space="0" w:color="auto"/>
              <w:bottom w:val="single" w:sz="4" w:space="0" w:color="auto"/>
              <w:right w:val="single" w:sz="4" w:space="0" w:color="auto"/>
            </w:tcBorders>
          </w:tcPr>
          <w:p w14:paraId="3EE86C2C" w14:textId="77777777" w:rsidR="00761529" w:rsidRPr="00AB2458" w:rsidRDefault="00761529" w:rsidP="00EE349D">
            <w:pPr>
              <w:spacing w:after="0"/>
              <w:rPr>
                <w:rFonts w:ascii="Times New Roman" w:hAnsi="Times New Roman" w:cs="Times New Roman"/>
                <w:bCs/>
                <w:sz w:val="16"/>
                <w:szCs w:val="16"/>
              </w:rPr>
            </w:pPr>
            <w:r w:rsidRPr="00AB2458">
              <w:rPr>
                <w:rFonts w:ascii="Times New Roman" w:hAnsi="Times New Roman" w:cs="Times New Roman"/>
                <w:bCs/>
                <w:sz w:val="16"/>
                <w:szCs w:val="16"/>
              </w:rPr>
              <w:t>RAI</w:t>
            </w:r>
          </w:p>
          <w:p w14:paraId="45168C67" w14:textId="758AA222" w:rsidR="00812F6A" w:rsidRPr="00AB2458" w:rsidRDefault="00761529" w:rsidP="00EE349D">
            <w:pPr>
              <w:spacing w:after="0"/>
              <w:rPr>
                <w:rFonts w:ascii="Times New Roman" w:hAnsi="Times New Roman" w:cs="Times New Roman"/>
                <w:bCs/>
                <w:i/>
                <w:sz w:val="16"/>
                <w:szCs w:val="16"/>
              </w:rPr>
            </w:pPr>
            <w:proofErr w:type="spellStart"/>
            <w:r w:rsidRPr="00AB2458">
              <w:rPr>
                <w:rFonts w:ascii="Times New Roman" w:hAnsi="Times New Roman" w:cs="Times New Roman"/>
                <w:bCs/>
                <w:sz w:val="16"/>
                <w:szCs w:val="16"/>
              </w:rPr>
              <w:t>MySMIS</w:t>
            </w:r>
            <w:proofErr w:type="spellEnd"/>
          </w:p>
        </w:tc>
        <w:tc>
          <w:tcPr>
            <w:tcW w:w="562" w:type="pct"/>
            <w:tcBorders>
              <w:top w:val="single" w:sz="4" w:space="0" w:color="auto"/>
              <w:left w:val="single" w:sz="4" w:space="0" w:color="auto"/>
              <w:bottom w:val="single" w:sz="4" w:space="0" w:color="auto"/>
              <w:right w:val="single" w:sz="4" w:space="0" w:color="auto"/>
            </w:tcBorders>
          </w:tcPr>
          <w:p w14:paraId="0D15288F" w14:textId="4619F670" w:rsidR="00812F6A" w:rsidRPr="008C5F1C" w:rsidRDefault="009B746B" w:rsidP="00EE349D">
            <w:pPr>
              <w:spacing w:after="0"/>
              <w:rPr>
                <w:rFonts w:ascii="Times New Roman" w:hAnsi="Times New Roman" w:cs="Times New Roman"/>
                <w:i/>
                <w:sz w:val="16"/>
                <w:szCs w:val="16"/>
              </w:rPr>
            </w:pPr>
            <w:r w:rsidRPr="008C5F1C">
              <w:rPr>
                <w:rFonts w:ascii="Times New Roman" w:hAnsi="Times New Roman" w:cs="Times New Roman"/>
                <w:i/>
                <w:sz w:val="16"/>
                <w:szCs w:val="16"/>
              </w:rPr>
              <w:t>10</w:t>
            </w:r>
            <w:r w:rsidR="00FA5677" w:rsidRPr="008C5F1C">
              <w:rPr>
                <w:rFonts w:ascii="Times New Roman" w:hAnsi="Times New Roman" w:cs="Times New Roman"/>
                <w:i/>
                <w:sz w:val="16"/>
                <w:szCs w:val="16"/>
              </w:rPr>
              <w:t>% din IMM sprijinite vor avea cifra de afaceri mare</w:t>
            </w:r>
          </w:p>
        </w:tc>
      </w:tr>
    </w:tbl>
    <w:p w14:paraId="4248BAE2" w14:textId="77777777" w:rsidR="00653571" w:rsidRPr="008C5F1C" w:rsidRDefault="00653571" w:rsidP="00653571">
      <w:pPr>
        <w:rPr>
          <w:rFonts w:ascii="Times New Roman" w:hAnsi="Times New Roman" w:cs="Times New Roman"/>
          <w:b/>
          <w:iCs/>
        </w:rPr>
      </w:pPr>
      <w:r w:rsidRPr="008C5F1C">
        <w:rPr>
          <w:rFonts w:ascii="Times New Roman" w:hAnsi="Times New Roman" w:cs="Times New Roman"/>
          <w:i/>
        </w:rPr>
        <w:t xml:space="preserve">[Point 2.1.1.3 in </w:t>
      </w:r>
      <w:proofErr w:type="spellStart"/>
      <w:r w:rsidRPr="008C5F1C">
        <w:rPr>
          <w:rFonts w:ascii="Times New Roman" w:hAnsi="Times New Roman" w:cs="Times New Roman"/>
          <w:i/>
        </w:rPr>
        <w:t>the</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Commission</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proposal</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has</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been</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moved</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up</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following</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changes</w:t>
      </w:r>
      <w:proofErr w:type="spellEnd"/>
      <w:r w:rsidRPr="008C5F1C">
        <w:rPr>
          <w:rFonts w:ascii="Times New Roman" w:hAnsi="Times New Roman" w:cs="Times New Roman"/>
          <w:i/>
        </w:rPr>
        <w:t xml:space="preserve"> in </w:t>
      </w:r>
      <w:proofErr w:type="spellStart"/>
      <w:r w:rsidRPr="008C5F1C">
        <w:rPr>
          <w:rFonts w:ascii="Times New Roman" w:hAnsi="Times New Roman" w:cs="Times New Roman"/>
          <w:i/>
        </w:rPr>
        <w:t>Article</w:t>
      </w:r>
      <w:proofErr w:type="spellEnd"/>
      <w:r w:rsidRPr="008C5F1C">
        <w:rPr>
          <w:rFonts w:ascii="Times New Roman" w:hAnsi="Times New Roman" w:cs="Times New Roman"/>
          <w:i/>
        </w:rPr>
        <w:t xml:space="preserve"> 17(3)(c) CPR </w:t>
      </w:r>
      <w:proofErr w:type="spellStart"/>
      <w:r w:rsidRPr="008C5F1C">
        <w:rPr>
          <w:rFonts w:ascii="Times New Roman" w:hAnsi="Times New Roman" w:cs="Times New Roman"/>
          <w:i/>
        </w:rPr>
        <w:t>and</w:t>
      </w:r>
      <w:proofErr w:type="spellEnd"/>
      <w:r w:rsidRPr="008C5F1C">
        <w:rPr>
          <w:rFonts w:ascii="Times New Roman" w:hAnsi="Times New Roman" w:cs="Times New Roman"/>
          <w:i/>
        </w:rPr>
        <w:t xml:space="preserve"> it </w:t>
      </w:r>
      <w:proofErr w:type="spellStart"/>
      <w:r w:rsidRPr="008C5F1C">
        <w:rPr>
          <w:rFonts w:ascii="Times New Roman" w:hAnsi="Times New Roman" w:cs="Times New Roman"/>
          <w:i/>
        </w:rPr>
        <w:t>is</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now</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point</w:t>
      </w:r>
      <w:proofErr w:type="spellEnd"/>
      <w:r w:rsidRPr="008C5F1C">
        <w:rPr>
          <w:rFonts w:ascii="Times New Roman" w:hAnsi="Times New Roman" w:cs="Times New Roman"/>
          <w:i/>
        </w:rPr>
        <w:t xml:space="preserve"> 2.1.1.bis]</w:t>
      </w:r>
    </w:p>
    <w:p w14:paraId="7B364EE2" w14:textId="77777777" w:rsidR="00653571" w:rsidRPr="008C5F1C" w:rsidRDefault="00653571" w:rsidP="00653571">
      <w:pPr>
        <w:rPr>
          <w:rFonts w:ascii="Times New Roman" w:hAnsi="Times New Roman" w:cs="Times New Roman"/>
          <w:b/>
        </w:rPr>
      </w:pPr>
      <w:r w:rsidRPr="008C5F1C">
        <w:rPr>
          <w:rFonts w:ascii="Times New Roman" w:hAnsi="Times New Roman" w:cs="Times New Roman"/>
          <w:b/>
        </w:rPr>
        <w:t>2.B.1.2.Indicators</w:t>
      </w:r>
    </w:p>
    <w:p w14:paraId="6D7D2BAF" w14:textId="77777777" w:rsidR="00653571" w:rsidRPr="008C5F1C" w:rsidRDefault="00653571" w:rsidP="00653571">
      <w:pPr>
        <w:rPr>
          <w:rFonts w:ascii="Times New Roman" w:hAnsi="Times New Roman" w:cs="Times New Roman"/>
          <w:b/>
          <w:bCs/>
        </w:rPr>
      </w:pPr>
      <w:r w:rsidRPr="008C5F1C">
        <w:rPr>
          <w:rFonts w:ascii="Times New Roman" w:hAnsi="Times New Roman" w:cs="Times New Roman"/>
          <w:b/>
        </w:rPr>
        <w:t xml:space="preserve">Output </w:t>
      </w:r>
      <w:proofErr w:type="spellStart"/>
      <w:r w:rsidRPr="008C5F1C">
        <w:rPr>
          <w:rFonts w:ascii="Times New Roman" w:hAnsi="Times New Roman" w:cs="Times New Roman"/>
          <w:b/>
        </w:rPr>
        <w:t>indicators</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with</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the</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corresponding</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milestones</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and</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targets</w:t>
      </w:r>
      <w:proofErr w:type="spellEnd"/>
      <w:r w:rsidRPr="008C5F1C">
        <w:rPr>
          <w:rFonts w:ascii="Times New Roman" w:hAnsi="Times New Roman" w:cs="Times New Roman"/>
          <w:b/>
        </w:rPr>
        <w:t xml:space="preserve"> – </w:t>
      </w:r>
      <w:proofErr w:type="spellStart"/>
      <w:r w:rsidRPr="008C5F1C">
        <w:rPr>
          <w:rFonts w:ascii="Times New Roman" w:hAnsi="Times New Roman" w:cs="Times New Roman"/>
          <w:b/>
        </w:rPr>
        <w:t>Article</w:t>
      </w:r>
      <w:proofErr w:type="spellEnd"/>
      <w:r w:rsidRPr="008C5F1C">
        <w:rPr>
          <w:rFonts w:ascii="Times New Roman" w:hAnsi="Times New Roman" w:cs="Times New Roman"/>
          <w:b/>
        </w:rPr>
        <w:t xml:space="preserve"> 17(3)(e)bis(ii)</w:t>
      </w:r>
    </w:p>
    <w:tbl>
      <w:tblPr>
        <w:tblW w:w="51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8"/>
        <w:gridCol w:w="1504"/>
        <w:gridCol w:w="581"/>
        <w:gridCol w:w="886"/>
        <w:gridCol w:w="463"/>
        <w:gridCol w:w="2221"/>
        <w:gridCol w:w="1159"/>
        <w:gridCol w:w="1066"/>
        <w:gridCol w:w="1302"/>
      </w:tblGrid>
      <w:tr w:rsidR="00653571" w:rsidRPr="008C5F1C" w14:paraId="3F50A2C4" w14:textId="77777777" w:rsidTr="00534127">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7601D4E1" w14:textId="77777777" w:rsidR="00653571" w:rsidRPr="008C5F1C" w:rsidRDefault="00653571" w:rsidP="00534127">
            <w:pPr>
              <w:rPr>
                <w:rFonts w:ascii="Times New Roman" w:hAnsi="Times New Roman" w:cs="Times New Roman"/>
                <w:b/>
              </w:rPr>
            </w:pPr>
            <w:r w:rsidRPr="008C5F1C">
              <w:rPr>
                <w:rFonts w:ascii="Times New Roman" w:hAnsi="Times New Roman" w:cs="Times New Roman"/>
                <w:b/>
                <w:iCs/>
              </w:rPr>
              <w:t xml:space="preserve">Table 2: Output </w:t>
            </w:r>
            <w:proofErr w:type="spellStart"/>
            <w:r w:rsidRPr="008C5F1C">
              <w:rPr>
                <w:rFonts w:ascii="Times New Roman" w:hAnsi="Times New Roman" w:cs="Times New Roman"/>
                <w:b/>
                <w:iCs/>
              </w:rPr>
              <w:t>indicators</w:t>
            </w:r>
            <w:proofErr w:type="spellEnd"/>
          </w:p>
        </w:tc>
      </w:tr>
      <w:tr w:rsidR="00653571" w:rsidRPr="008C5F1C" w14:paraId="78AF5199" w14:textId="77777777" w:rsidTr="00534127">
        <w:trPr>
          <w:trHeight w:val="1026"/>
        </w:trPr>
        <w:tc>
          <w:tcPr>
            <w:tcW w:w="381" w:type="pct"/>
            <w:tcBorders>
              <w:top w:val="single" w:sz="4" w:space="0" w:color="auto"/>
              <w:left w:val="single" w:sz="4" w:space="0" w:color="auto"/>
              <w:bottom w:val="single" w:sz="4" w:space="0" w:color="auto"/>
              <w:right w:val="single" w:sz="4" w:space="0" w:color="auto"/>
            </w:tcBorders>
            <w:hideMark/>
          </w:tcPr>
          <w:p w14:paraId="138109C1"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Priority</w:t>
            </w:r>
            <w:proofErr w:type="spellEnd"/>
            <w:r w:rsidRPr="008C5F1C">
              <w:rPr>
                <w:rFonts w:ascii="Times New Roman" w:hAnsi="Times New Roman" w:cs="Times New Roman"/>
                <w:b/>
                <w:sz w:val="16"/>
                <w:szCs w:val="16"/>
              </w:rPr>
              <w:t xml:space="preserve"> </w:t>
            </w:r>
          </w:p>
        </w:tc>
        <w:tc>
          <w:tcPr>
            <w:tcW w:w="757" w:type="pct"/>
            <w:tcBorders>
              <w:top w:val="single" w:sz="4" w:space="0" w:color="auto"/>
              <w:left w:val="single" w:sz="4" w:space="0" w:color="auto"/>
              <w:bottom w:val="single" w:sz="4" w:space="0" w:color="auto"/>
              <w:right w:val="single" w:sz="4" w:space="0" w:color="auto"/>
            </w:tcBorders>
            <w:hideMark/>
          </w:tcPr>
          <w:p w14:paraId="585FEEB4"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 xml:space="preserve">Specific </w:t>
            </w:r>
            <w:proofErr w:type="spellStart"/>
            <w:r w:rsidRPr="008C5F1C">
              <w:rPr>
                <w:rFonts w:ascii="Times New Roman" w:hAnsi="Times New Roman" w:cs="Times New Roman"/>
                <w:b/>
                <w:sz w:val="16"/>
                <w:szCs w:val="16"/>
              </w:rPr>
              <w:t>objective</w:t>
            </w:r>
            <w:proofErr w:type="spellEnd"/>
            <w:r w:rsidRPr="008C5F1C">
              <w:rPr>
                <w:rFonts w:ascii="Times New Roman" w:hAnsi="Times New Roman" w:cs="Times New Roman"/>
                <w:b/>
                <w:sz w:val="16"/>
                <w:szCs w:val="16"/>
              </w:rPr>
              <w:t xml:space="preserve"> (Investment for </w:t>
            </w:r>
            <w:proofErr w:type="spellStart"/>
            <w:r w:rsidRPr="008C5F1C">
              <w:rPr>
                <w:rFonts w:ascii="Times New Roman" w:hAnsi="Times New Roman" w:cs="Times New Roman"/>
                <w:b/>
                <w:sz w:val="16"/>
                <w:szCs w:val="16"/>
              </w:rPr>
              <w:t>Jobs</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and</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Growth</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goal</w:t>
            </w:r>
            <w:proofErr w:type="spellEnd"/>
            <w:r w:rsidRPr="008C5F1C">
              <w:rPr>
                <w:rFonts w:ascii="Times New Roman" w:hAnsi="Times New Roman" w:cs="Times New Roman"/>
                <w:b/>
                <w:sz w:val="16"/>
                <w:szCs w:val="16"/>
              </w:rPr>
              <w:t xml:space="preserve"> EMFF)</w:t>
            </w:r>
          </w:p>
        </w:tc>
        <w:tc>
          <w:tcPr>
            <w:tcW w:w="292" w:type="pct"/>
            <w:tcBorders>
              <w:top w:val="single" w:sz="4" w:space="0" w:color="auto"/>
              <w:left w:val="single" w:sz="4" w:space="0" w:color="auto"/>
              <w:bottom w:val="single" w:sz="4" w:space="0" w:color="auto"/>
              <w:right w:val="single" w:sz="4" w:space="0" w:color="auto"/>
            </w:tcBorders>
            <w:hideMark/>
          </w:tcPr>
          <w:p w14:paraId="73555511"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Fund</w:t>
            </w:r>
          </w:p>
        </w:tc>
        <w:tc>
          <w:tcPr>
            <w:tcW w:w="446" w:type="pct"/>
            <w:tcBorders>
              <w:top w:val="single" w:sz="4" w:space="0" w:color="auto"/>
              <w:left w:val="single" w:sz="4" w:space="0" w:color="auto"/>
              <w:bottom w:val="single" w:sz="4" w:space="0" w:color="auto"/>
              <w:right w:val="single" w:sz="4" w:space="0" w:color="auto"/>
            </w:tcBorders>
            <w:hideMark/>
          </w:tcPr>
          <w:p w14:paraId="2BAD59AC"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Category</w:t>
            </w:r>
            <w:proofErr w:type="spellEnd"/>
            <w:r w:rsidRPr="008C5F1C">
              <w:rPr>
                <w:rFonts w:ascii="Times New Roman" w:hAnsi="Times New Roman" w:cs="Times New Roman"/>
                <w:b/>
                <w:sz w:val="16"/>
                <w:szCs w:val="16"/>
              </w:rPr>
              <w:t xml:space="preserve"> of </w:t>
            </w:r>
            <w:proofErr w:type="spellStart"/>
            <w:r w:rsidRPr="008C5F1C">
              <w:rPr>
                <w:rFonts w:ascii="Times New Roman" w:hAnsi="Times New Roman" w:cs="Times New Roman"/>
                <w:b/>
                <w:sz w:val="16"/>
                <w:szCs w:val="16"/>
              </w:rPr>
              <w:t>region</w:t>
            </w:r>
            <w:proofErr w:type="spellEnd"/>
          </w:p>
        </w:tc>
        <w:tc>
          <w:tcPr>
            <w:tcW w:w="233" w:type="pct"/>
            <w:tcBorders>
              <w:top w:val="single" w:sz="4" w:space="0" w:color="auto"/>
              <w:left w:val="single" w:sz="4" w:space="0" w:color="auto"/>
              <w:bottom w:val="single" w:sz="4" w:space="0" w:color="auto"/>
              <w:right w:val="single" w:sz="4" w:space="0" w:color="auto"/>
            </w:tcBorders>
            <w:hideMark/>
          </w:tcPr>
          <w:p w14:paraId="3455F5ED"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ID [5]</w:t>
            </w:r>
          </w:p>
        </w:tc>
        <w:tc>
          <w:tcPr>
            <w:tcW w:w="1117" w:type="pct"/>
            <w:tcBorders>
              <w:top w:val="single" w:sz="4" w:space="0" w:color="auto"/>
              <w:left w:val="single" w:sz="4" w:space="0" w:color="auto"/>
              <w:bottom w:val="single" w:sz="4" w:space="0" w:color="auto"/>
              <w:right w:val="single" w:sz="4" w:space="0" w:color="auto"/>
            </w:tcBorders>
            <w:hideMark/>
          </w:tcPr>
          <w:p w14:paraId="60C841CA"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 xml:space="preserve">Indicator [255] </w:t>
            </w:r>
          </w:p>
        </w:tc>
        <w:tc>
          <w:tcPr>
            <w:tcW w:w="583" w:type="pct"/>
            <w:tcBorders>
              <w:top w:val="single" w:sz="4" w:space="0" w:color="auto"/>
              <w:left w:val="single" w:sz="4" w:space="0" w:color="auto"/>
              <w:bottom w:val="single" w:sz="4" w:space="0" w:color="auto"/>
              <w:right w:val="single" w:sz="4" w:space="0" w:color="auto"/>
            </w:tcBorders>
            <w:hideMark/>
          </w:tcPr>
          <w:p w14:paraId="7D90C12A"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Measurement</w:t>
            </w:r>
            <w:proofErr w:type="spellEnd"/>
            <w:r w:rsidRPr="008C5F1C">
              <w:rPr>
                <w:rFonts w:ascii="Times New Roman" w:hAnsi="Times New Roman" w:cs="Times New Roman"/>
                <w:b/>
                <w:sz w:val="16"/>
                <w:szCs w:val="16"/>
              </w:rPr>
              <w:t xml:space="preserve"> unit</w:t>
            </w:r>
          </w:p>
        </w:tc>
        <w:tc>
          <w:tcPr>
            <w:tcW w:w="536" w:type="pct"/>
            <w:tcBorders>
              <w:top w:val="single" w:sz="4" w:space="0" w:color="auto"/>
              <w:left w:val="single" w:sz="4" w:space="0" w:color="auto"/>
              <w:bottom w:val="single" w:sz="4" w:space="0" w:color="auto"/>
              <w:right w:val="single" w:sz="4" w:space="0" w:color="auto"/>
            </w:tcBorders>
          </w:tcPr>
          <w:p w14:paraId="354F5FD8"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Milestone</w:t>
            </w:r>
            <w:proofErr w:type="spellEnd"/>
            <w:r w:rsidRPr="008C5F1C">
              <w:rPr>
                <w:rFonts w:ascii="Times New Roman" w:hAnsi="Times New Roman" w:cs="Times New Roman"/>
                <w:b/>
                <w:sz w:val="16"/>
                <w:szCs w:val="16"/>
              </w:rPr>
              <w:t xml:space="preserve"> (2024)</w:t>
            </w:r>
          </w:p>
          <w:p w14:paraId="411CB769" w14:textId="77777777" w:rsidR="00653571" w:rsidRPr="008C5F1C" w:rsidRDefault="00653571" w:rsidP="00534127">
            <w:pPr>
              <w:rPr>
                <w:rFonts w:ascii="Times New Roman" w:hAnsi="Times New Roman" w:cs="Times New Roman"/>
                <w:b/>
                <w:sz w:val="16"/>
                <w:szCs w:val="16"/>
              </w:rPr>
            </w:pPr>
          </w:p>
        </w:tc>
        <w:tc>
          <w:tcPr>
            <w:tcW w:w="654" w:type="pct"/>
            <w:tcBorders>
              <w:top w:val="single" w:sz="4" w:space="0" w:color="auto"/>
              <w:left w:val="single" w:sz="4" w:space="0" w:color="auto"/>
              <w:bottom w:val="single" w:sz="4" w:space="0" w:color="auto"/>
              <w:right w:val="single" w:sz="4" w:space="0" w:color="auto"/>
            </w:tcBorders>
          </w:tcPr>
          <w:p w14:paraId="05B51E1A"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Target (2029)</w:t>
            </w:r>
          </w:p>
          <w:p w14:paraId="10506E97" w14:textId="77777777" w:rsidR="00653571" w:rsidRPr="008C5F1C" w:rsidRDefault="00653571" w:rsidP="00534127">
            <w:pPr>
              <w:rPr>
                <w:rFonts w:ascii="Times New Roman" w:hAnsi="Times New Roman" w:cs="Times New Roman"/>
                <w:b/>
                <w:sz w:val="16"/>
                <w:szCs w:val="16"/>
              </w:rPr>
            </w:pPr>
          </w:p>
        </w:tc>
      </w:tr>
      <w:tr w:rsidR="00653571" w:rsidRPr="008C5F1C" w14:paraId="6370C304" w14:textId="77777777" w:rsidTr="00534127">
        <w:trPr>
          <w:trHeight w:val="340"/>
        </w:trPr>
        <w:tc>
          <w:tcPr>
            <w:tcW w:w="381" w:type="pct"/>
            <w:tcBorders>
              <w:top w:val="single" w:sz="4" w:space="0" w:color="auto"/>
              <w:left w:val="single" w:sz="4" w:space="0" w:color="auto"/>
              <w:bottom w:val="single" w:sz="4" w:space="0" w:color="auto"/>
              <w:right w:val="single" w:sz="4" w:space="0" w:color="auto"/>
            </w:tcBorders>
          </w:tcPr>
          <w:p w14:paraId="78DA4401" w14:textId="77777777" w:rsidR="00653571" w:rsidRPr="008C5F1C" w:rsidRDefault="006F2A71" w:rsidP="00534127">
            <w:pPr>
              <w:rPr>
                <w:rFonts w:ascii="Times New Roman" w:hAnsi="Times New Roman" w:cs="Times New Roman"/>
                <w:bCs/>
                <w:iCs/>
                <w:sz w:val="16"/>
                <w:szCs w:val="16"/>
              </w:rPr>
            </w:pPr>
            <w:r w:rsidRPr="008C5F1C">
              <w:rPr>
                <w:rFonts w:ascii="Times New Roman" w:hAnsi="Times New Roman" w:cs="Times New Roman"/>
                <w:bCs/>
                <w:iCs/>
                <w:sz w:val="16"/>
                <w:szCs w:val="16"/>
              </w:rPr>
              <w:t>1</w:t>
            </w:r>
          </w:p>
        </w:tc>
        <w:tc>
          <w:tcPr>
            <w:tcW w:w="757" w:type="pct"/>
            <w:tcBorders>
              <w:top w:val="single" w:sz="4" w:space="0" w:color="auto"/>
              <w:left w:val="single" w:sz="4" w:space="0" w:color="auto"/>
              <w:bottom w:val="single" w:sz="4" w:space="0" w:color="auto"/>
              <w:right w:val="single" w:sz="4" w:space="0" w:color="auto"/>
            </w:tcBorders>
          </w:tcPr>
          <w:p w14:paraId="686FCA14" w14:textId="77777777" w:rsidR="00653571" w:rsidRPr="008C5F1C" w:rsidRDefault="00653571" w:rsidP="00534127">
            <w:pPr>
              <w:rPr>
                <w:rFonts w:ascii="Times New Roman" w:hAnsi="Times New Roman" w:cs="Times New Roman"/>
                <w:bCs/>
                <w:iCs/>
                <w:sz w:val="16"/>
                <w:szCs w:val="16"/>
              </w:rPr>
            </w:pPr>
          </w:p>
        </w:tc>
        <w:tc>
          <w:tcPr>
            <w:tcW w:w="292" w:type="pct"/>
            <w:tcBorders>
              <w:top w:val="single" w:sz="4" w:space="0" w:color="auto"/>
              <w:left w:val="single" w:sz="4" w:space="0" w:color="auto"/>
              <w:bottom w:val="single" w:sz="4" w:space="0" w:color="auto"/>
              <w:right w:val="single" w:sz="4" w:space="0" w:color="auto"/>
            </w:tcBorders>
          </w:tcPr>
          <w:p w14:paraId="23A85AE0" w14:textId="77777777" w:rsidR="00653571" w:rsidRPr="008C5F1C" w:rsidRDefault="00653571" w:rsidP="00534127">
            <w:pPr>
              <w:rPr>
                <w:rFonts w:ascii="Times New Roman" w:hAnsi="Times New Roman" w:cs="Times New Roman"/>
                <w:bCs/>
                <w:iCs/>
                <w:sz w:val="16"/>
                <w:szCs w:val="16"/>
              </w:rPr>
            </w:pPr>
          </w:p>
        </w:tc>
        <w:tc>
          <w:tcPr>
            <w:tcW w:w="446" w:type="pct"/>
            <w:tcBorders>
              <w:top w:val="single" w:sz="4" w:space="0" w:color="auto"/>
              <w:left w:val="single" w:sz="4" w:space="0" w:color="auto"/>
              <w:bottom w:val="single" w:sz="4" w:space="0" w:color="auto"/>
              <w:right w:val="single" w:sz="4" w:space="0" w:color="auto"/>
            </w:tcBorders>
          </w:tcPr>
          <w:p w14:paraId="0CB315A6" w14:textId="77777777" w:rsidR="00653571" w:rsidRPr="008C5F1C" w:rsidRDefault="00653571" w:rsidP="00534127">
            <w:pPr>
              <w:rPr>
                <w:rFonts w:ascii="Times New Roman" w:hAnsi="Times New Roman" w:cs="Times New Roman"/>
                <w:bCs/>
                <w:iCs/>
                <w:sz w:val="16"/>
                <w:szCs w:val="16"/>
              </w:rPr>
            </w:pPr>
          </w:p>
        </w:tc>
        <w:tc>
          <w:tcPr>
            <w:tcW w:w="233" w:type="pct"/>
            <w:tcBorders>
              <w:top w:val="single" w:sz="4" w:space="0" w:color="auto"/>
              <w:left w:val="single" w:sz="4" w:space="0" w:color="auto"/>
              <w:bottom w:val="single" w:sz="4" w:space="0" w:color="auto"/>
              <w:right w:val="single" w:sz="4" w:space="0" w:color="auto"/>
            </w:tcBorders>
          </w:tcPr>
          <w:p w14:paraId="4D5245B7" w14:textId="77777777" w:rsidR="00653571" w:rsidRPr="008C5F1C" w:rsidRDefault="00653571" w:rsidP="00534127">
            <w:pPr>
              <w:rPr>
                <w:rFonts w:ascii="Times New Roman" w:hAnsi="Times New Roman" w:cs="Times New Roman"/>
                <w:bCs/>
                <w:iCs/>
                <w:sz w:val="16"/>
                <w:szCs w:val="16"/>
              </w:rPr>
            </w:pPr>
          </w:p>
        </w:tc>
        <w:tc>
          <w:tcPr>
            <w:tcW w:w="1117" w:type="pct"/>
            <w:tcBorders>
              <w:top w:val="single" w:sz="4" w:space="0" w:color="auto"/>
              <w:left w:val="single" w:sz="4" w:space="0" w:color="auto"/>
              <w:bottom w:val="single" w:sz="4" w:space="0" w:color="auto"/>
              <w:right w:val="single" w:sz="4" w:space="0" w:color="auto"/>
            </w:tcBorders>
          </w:tcPr>
          <w:p w14:paraId="68495119" w14:textId="77777777" w:rsidR="00653571" w:rsidRPr="008C5F1C" w:rsidRDefault="00653571" w:rsidP="00534127">
            <w:pPr>
              <w:rPr>
                <w:rFonts w:ascii="Times New Roman" w:hAnsi="Times New Roman" w:cs="Times New Roman"/>
                <w:bCs/>
                <w:iCs/>
                <w:sz w:val="16"/>
                <w:szCs w:val="16"/>
              </w:rPr>
            </w:pPr>
          </w:p>
        </w:tc>
        <w:tc>
          <w:tcPr>
            <w:tcW w:w="583" w:type="pct"/>
            <w:tcBorders>
              <w:top w:val="single" w:sz="4" w:space="0" w:color="auto"/>
              <w:left w:val="single" w:sz="4" w:space="0" w:color="auto"/>
              <w:bottom w:val="single" w:sz="4" w:space="0" w:color="auto"/>
              <w:right w:val="single" w:sz="4" w:space="0" w:color="auto"/>
            </w:tcBorders>
          </w:tcPr>
          <w:p w14:paraId="5FB92131" w14:textId="77777777" w:rsidR="00653571" w:rsidRPr="008C5F1C" w:rsidRDefault="00653571" w:rsidP="00534127">
            <w:pPr>
              <w:rPr>
                <w:rFonts w:ascii="Times New Roman" w:hAnsi="Times New Roman" w:cs="Times New Roman"/>
                <w:bCs/>
                <w:iCs/>
                <w:sz w:val="16"/>
                <w:szCs w:val="16"/>
              </w:rPr>
            </w:pPr>
          </w:p>
        </w:tc>
        <w:tc>
          <w:tcPr>
            <w:tcW w:w="536" w:type="pct"/>
            <w:tcBorders>
              <w:top w:val="single" w:sz="4" w:space="0" w:color="auto"/>
              <w:left w:val="single" w:sz="4" w:space="0" w:color="auto"/>
              <w:bottom w:val="single" w:sz="4" w:space="0" w:color="auto"/>
              <w:right w:val="single" w:sz="4" w:space="0" w:color="auto"/>
            </w:tcBorders>
          </w:tcPr>
          <w:p w14:paraId="5C3B5155" w14:textId="77777777" w:rsidR="00653571" w:rsidRPr="008C5F1C" w:rsidRDefault="00653571" w:rsidP="00534127">
            <w:pPr>
              <w:rPr>
                <w:rFonts w:ascii="Times New Roman" w:hAnsi="Times New Roman" w:cs="Times New Roman"/>
                <w:bCs/>
                <w:iCs/>
                <w:sz w:val="16"/>
                <w:szCs w:val="16"/>
              </w:rPr>
            </w:pPr>
          </w:p>
        </w:tc>
        <w:tc>
          <w:tcPr>
            <w:tcW w:w="654" w:type="pct"/>
            <w:tcBorders>
              <w:top w:val="single" w:sz="4" w:space="0" w:color="auto"/>
              <w:left w:val="single" w:sz="4" w:space="0" w:color="auto"/>
              <w:bottom w:val="single" w:sz="4" w:space="0" w:color="auto"/>
              <w:right w:val="single" w:sz="4" w:space="0" w:color="auto"/>
            </w:tcBorders>
          </w:tcPr>
          <w:p w14:paraId="6AABFF5F" w14:textId="77777777" w:rsidR="00653571" w:rsidRPr="008C5F1C" w:rsidRDefault="00653571" w:rsidP="00534127">
            <w:pPr>
              <w:rPr>
                <w:rFonts w:ascii="Times New Roman" w:hAnsi="Times New Roman" w:cs="Times New Roman"/>
                <w:bCs/>
                <w:iCs/>
                <w:sz w:val="16"/>
                <w:szCs w:val="16"/>
              </w:rPr>
            </w:pPr>
          </w:p>
        </w:tc>
      </w:tr>
    </w:tbl>
    <w:p w14:paraId="77F652AE" w14:textId="77777777" w:rsidR="00653571" w:rsidRPr="008C5F1C" w:rsidRDefault="00653571" w:rsidP="00653571">
      <w:pPr>
        <w:rPr>
          <w:rFonts w:ascii="Times New Roman" w:hAnsi="Times New Roman" w:cs="Times New Roman"/>
          <w:b/>
          <w:sz w:val="12"/>
        </w:rPr>
      </w:pPr>
    </w:p>
    <w:p w14:paraId="3FCEE26F" w14:textId="77777777" w:rsidR="00653571" w:rsidRPr="008C5F1C" w:rsidRDefault="00653571" w:rsidP="00653571">
      <w:pPr>
        <w:rPr>
          <w:rFonts w:ascii="Times New Roman" w:hAnsi="Times New Roman" w:cs="Times New Roman"/>
          <w:bCs/>
          <w:i/>
        </w:rPr>
      </w:pPr>
      <w:r w:rsidRPr="008C5F1C">
        <w:rPr>
          <w:rFonts w:ascii="Times New Roman" w:hAnsi="Times New Roman" w:cs="Times New Roman"/>
          <w:b/>
          <w:iCs/>
        </w:rPr>
        <w:t xml:space="preserve">2.B.1.3. Indicative </w:t>
      </w:r>
      <w:proofErr w:type="spellStart"/>
      <w:r w:rsidRPr="008C5F1C">
        <w:rPr>
          <w:rFonts w:ascii="Times New Roman" w:hAnsi="Times New Roman" w:cs="Times New Roman"/>
          <w:b/>
          <w:iCs/>
        </w:rPr>
        <w:t>breakdown</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the</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programmed</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resources</w:t>
      </w:r>
      <w:proofErr w:type="spellEnd"/>
      <w:r w:rsidRPr="008C5F1C">
        <w:rPr>
          <w:rFonts w:ascii="Times New Roman" w:hAnsi="Times New Roman" w:cs="Times New Roman"/>
          <w:b/>
          <w:iCs/>
        </w:rPr>
        <w:t xml:space="preserve"> (EU) </w:t>
      </w:r>
      <w:proofErr w:type="spellStart"/>
      <w:r w:rsidRPr="008C5F1C">
        <w:rPr>
          <w:rFonts w:ascii="Times New Roman" w:hAnsi="Times New Roman" w:cs="Times New Roman"/>
          <w:b/>
          <w:iCs/>
        </w:rPr>
        <w:t>by</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type</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intervention</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i/>
          <w:iCs/>
        </w:rPr>
        <w:t>Reference</w:t>
      </w:r>
      <w:proofErr w:type="spellEnd"/>
      <w:r w:rsidRPr="008C5F1C">
        <w:rPr>
          <w:rFonts w:ascii="Times New Roman" w:hAnsi="Times New Roman" w:cs="Times New Roman"/>
          <w:i/>
          <w:iCs/>
        </w:rPr>
        <w:t xml:space="preserve"> </w:t>
      </w:r>
      <w:proofErr w:type="spellStart"/>
      <w:r w:rsidRPr="008C5F1C">
        <w:rPr>
          <w:rFonts w:ascii="Times New Roman" w:hAnsi="Times New Roman" w:cs="Times New Roman"/>
          <w:i/>
        </w:rPr>
        <w:t>Article</w:t>
      </w:r>
      <w:proofErr w:type="spellEnd"/>
      <w:r w:rsidRPr="008C5F1C">
        <w:rPr>
          <w:rFonts w:ascii="Times New Roman" w:hAnsi="Times New Roman" w:cs="Times New Roman"/>
          <w:i/>
        </w:rPr>
        <w:t xml:space="preserve"> 17(3)(e)bis(iv)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2115"/>
        <w:gridCol w:w="1053"/>
        <w:gridCol w:w="2175"/>
      </w:tblGrid>
      <w:tr w:rsidR="00653571" w:rsidRPr="008C5F1C" w14:paraId="49411D84" w14:textId="77777777" w:rsidTr="00534127">
        <w:tc>
          <w:tcPr>
            <w:tcW w:w="8326" w:type="dxa"/>
            <w:gridSpan w:val="5"/>
            <w:tcBorders>
              <w:top w:val="single" w:sz="4" w:space="0" w:color="auto"/>
              <w:left w:val="single" w:sz="4" w:space="0" w:color="auto"/>
              <w:bottom w:val="single" w:sz="4" w:space="0" w:color="auto"/>
              <w:right w:val="single" w:sz="4" w:space="0" w:color="auto"/>
            </w:tcBorders>
            <w:hideMark/>
          </w:tcPr>
          <w:p w14:paraId="7ED194A9"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Table 8: </w:t>
            </w:r>
            <w:proofErr w:type="spellStart"/>
            <w:r w:rsidRPr="008C5F1C">
              <w:rPr>
                <w:rFonts w:ascii="Times New Roman" w:hAnsi="Times New Roman" w:cs="Times New Roman"/>
                <w:b/>
                <w:iCs/>
              </w:rPr>
              <w:t>Dimension</w:t>
            </w:r>
            <w:proofErr w:type="spellEnd"/>
            <w:r w:rsidRPr="008C5F1C">
              <w:rPr>
                <w:rFonts w:ascii="Times New Roman" w:hAnsi="Times New Roman" w:cs="Times New Roman"/>
                <w:b/>
                <w:iCs/>
              </w:rPr>
              <w:t xml:space="preserve"> 1 – </w:t>
            </w:r>
            <w:proofErr w:type="spellStart"/>
            <w:r w:rsidRPr="008C5F1C">
              <w:rPr>
                <w:rFonts w:ascii="Times New Roman" w:hAnsi="Times New Roman" w:cs="Times New Roman"/>
                <w:b/>
                <w:iCs/>
              </w:rPr>
              <w:t>intervention</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field</w:t>
            </w:r>
            <w:proofErr w:type="spellEnd"/>
          </w:p>
        </w:tc>
      </w:tr>
      <w:tr w:rsidR="00653571" w:rsidRPr="008C5F1C" w14:paraId="710B7833" w14:textId="77777777" w:rsidTr="00534127">
        <w:tc>
          <w:tcPr>
            <w:tcW w:w="1599" w:type="dxa"/>
            <w:tcBorders>
              <w:top w:val="single" w:sz="4" w:space="0" w:color="auto"/>
              <w:left w:val="single" w:sz="4" w:space="0" w:color="auto"/>
              <w:bottom w:val="single" w:sz="4" w:space="0" w:color="auto"/>
              <w:right w:val="single" w:sz="4" w:space="0" w:color="auto"/>
            </w:tcBorders>
            <w:hideMark/>
          </w:tcPr>
          <w:p w14:paraId="6216302F"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Priority</w:t>
            </w:r>
            <w:proofErr w:type="spellEnd"/>
            <w:r w:rsidRPr="008C5F1C">
              <w:rPr>
                <w:rFonts w:ascii="Times New Roman" w:hAnsi="Times New Roman" w:cs="Times New Roman"/>
                <w:b/>
                <w:iCs/>
              </w:rPr>
              <w:t xml:space="preserve"> No</w:t>
            </w:r>
          </w:p>
        </w:tc>
        <w:tc>
          <w:tcPr>
            <w:tcW w:w="1384" w:type="dxa"/>
            <w:tcBorders>
              <w:top w:val="single" w:sz="4" w:space="0" w:color="auto"/>
              <w:left w:val="single" w:sz="4" w:space="0" w:color="auto"/>
              <w:bottom w:val="single" w:sz="4" w:space="0" w:color="auto"/>
              <w:right w:val="single" w:sz="4" w:space="0" w:color="auto"/>
            </w:tcBorders>
            <w:hideMark/>
          </w:tcPr>
          <w:p w14:paraId="0843761C"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Fund</w:t>
            </w:r>
          </w:p>
        </w:tc>
        <w:tc>
          <w:tcPr>
            <w:tcW w:w="2115" w:type="dxa"/>
            <w:tcBorders>
              <w:top w:val="single" w:sz="4" w:space="0" w:color="auto"/>
              <w:left w:val="single" w:sz="4" w:space="0" w:color="auto"/>
              <w:bottom w:val="single" w:sz="4" w:space="0" w:color="auto"/>
              <w:right w:val="single" w:sz="4" w:space="0" w:color="auto"/>
            </w:tcBorders>
            <w:hideMark/>
          </w:tcPr>
          <w:p w14:paraId="1F16CD64"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Category</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region</w:t>
            </w:r>
            <w:proofErr w:type="spellEnd"/>
          </w:p>
        </w:tc>
        <w:tc>
          <w:tcPr>
            <w:tcW w:w="1053" w:type="dxa"/>
            <w:tcBorders>
              <w:top w:val="single" w:sz="4" w:space="0" w:color="auto"/>
              <w:left w:val="single" w:sz="4" w:space="0" w:color="auto"/>
              <w:bottom w:val="single" w:sz="4" w:space="0" w:color="auto"/>
              <w:right w:val="single" w:sz="4" w:space="0" w:color="auto"/>
            </w:tcBorders>
            <w:hideMark/>
          </w:tcPr>
          <w:p w14:paraId="48D2382A"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Code </w:t>
            </w:r>
          </w:p>
        </w:tc>
        <w:tc>
          <w:tcPr>
            <w:tcW w:w="2175" w:type="dxa"/>
            <w:tcBorders>
              <w:top w:val="single" w:sz="4" w:space="0" w:color="auto"/>
              <w:left w:val="single" w:sz="4" w:space="0" w:color="auto"/>
              <w:bottom w:val="single" w:sz="4" w:space="0" w:color="auto"/>
              <w:right w:val="single" w:sz="4" w:space="0" w:color="auto"/>
            </w:tcBorders>
            <w:hideMark/>
          </w:tcPr>
          <w:p w14:paraId="43C17DFF"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Amount</w:t>
            </w:r>
            <w:proofErr w:type="spellEnd"/>
            <w:r w:rsidRPr="008C5F1C">
              <w:rPr>
                <w:rFonts w:ascii="Times New Roman" w:hAnsi="Times New Roman" w:cs="Times New Roman"/>
                <w:b/>
                <w:iCs/>
              </w:rPr>
              <w:t xml:space="preserve"> (EUR)</w:t>
            </w:r>
          </w:p>
        </w:tc>
      </w:tr>
      <w:tr w:rsidR="00653571" w:rsidRPr="008C5F1C" w14:paraId="374719E7" w14:textId="77777777" w:rsidTr="00534127">
        <w:tc>
          <w:tcPr>
            <w:tcW w:w="1599" w:type="dxa"/>
            <w:tcBorders>
              <w:top w:val="single" w:sz="4" w:space="0" w:color="auto"/>
              <w:left w:val="single" w:sz="4" w:space="0" w:color="auto"/>
              <w:bottom w:val="single" w:sz="4" w:space="0" w:color="auto"/>
              <w:right w:val="single" w:sz="4" w:space="0" w:color="auto"/>
            </w:tcBorders>
          </w:tcPr>
          <w:p w14:paraId="600F3130" w14:textId="77777777" w:rsidR="00653571" w:rsidRPr="008C5F1C" w:rsidRDefault="006F2A71" w:rsidP="00534127">
            <w:pPr>
              <w:rPr>
                <w:rFonts w:ascii="Times New Roman" w:hAnsi="Times New Roman" w:cs="Times New Roman"/>
                <w:iCs/>
              </w:rPr>
            </w:pPr>
            <w:r w:rsidRPr="008C5F1C">
              <w:rPr>
                <w:rFonts w:ascii="Times New Roman" w:hAnsi="Times New Roman" w:cs="Times New Roman"/>
                <w:iCs/>
              </w:rPr>
              <w:t>1</w:t>
            </w:r>
          </w:p>
        </w:tc>
        <w:tc>
          <w:tcPr>
            <w:tcW w:w="1384" w:type="dxa"/>
            <w:tcBorders>
              <w:top w:val="single" w:sz="4" w:space="0" w:color="auto"/>
              <w:left w:val="single" w:sz="4" w:space="0" w:color="auto"/>
              <w:bottom w:val="single" w:sz="4" w:space="0" w:color="auto"/>
              <w:right w:val="single" w:sz="4" w:space="0" w:color="auto"/>
            </w:tcBorders>
          </w:tcPr>
          <w:p w14:paraId="41DEF799" w14:textId="76C6EE37" w:rsidR="00653571" w:rsidRPr="008C5F1C" w:rsidRDefault="00F64463" w:rsidP="00534127">
            <w:pPr>
              <w:rPr>
                <w:rFonts w:ascii="Times New Roman" w:hAnsi="Times New Roman" w:cs="Times New Roman"/>
                <w:b/>
                <w:iCs/>
              </w:rPr>
            </w:pPr>
            <w:r w:rsidRPr="008C5F1C">
              <w:rPr>
                <w:rFonts w:ascii="Times New Roman" w:hAnsi="Times New Roman" w:cs="Times New Roman"/>
                <w:b/>
                <w:iCs/>
              </w:rPr>
              <w:t>FEDR</w:t>
            </w:r>
          </w:p>
        </w:tc>
        <w:tc>
          <w:tcPr>
            <w:tcW w:w="2115" w:type="dxa"/>
            <w:tcBorders>
              <w:top w:val="single" w:sz="4" w:space="0" w:color="auto"/>
              <w:left w:val="single" w:sz="4" w:space="0" w:color="auto"/>
              <w:bottom w:val="single" w:sz="4" w:space="0" w:color="auto"/>
              <w:right w:val="single" w:sz="4" w:space="0" w:color="auto"/>
            </w:tcBorders>
          </w:tcPr>
          <w:p w14:paraId="21CD7769" w14:textId="56E2BEB9" w:rsidR="00653571" w:rsidRPr="008C5F1C" w:rsidRDefault="00F64463" w:rsidP="00534127">
            <w:pPr>
              <w:rPr>
                <w:rFonts w:ascii="Times New Roman" w:hAnsi="Times New Roman" w:cs="Times New Roman"/>
                <w:b/>
                <w:iCs/>
              </w:rPr>
            </w:pPr>
            <w:proofErr w:type="spellStart"/>
            <w:r w:rsidRPr="008C5F1C">
              <w:rPr>
                <w:rFonts w:ascii="Times New Roman" w:hAnsi="Times New Roman" w:cs="Times New Roman"/>
                <w:b/>
                <w:iCs/>
              </w:rPr>
              <w:t>Less</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developed</w:t>
            </w:r>
            <w:proofErr w:type="spellEnd"/>
          </w:p>
        </w:tc>
        <w:tc>
          <w:tcPr>
            <w:tcW w:w="1053" w:type="dxa"/>
            <w:tcBorders>
              <w:top w:val="single" w:sz="4" w:space="0" w:color="auto"/>
              <w:left w:val="single" w:sz="4" w:space="0" w:color="auto"/>
              <w:bottom w:val="single" w:sz="4" w:space="0" w:color="auto"/>
              <w:right w:val="single" w:sz="4" w:space="0" w:color="auto"/>
            </w:tcBorders>
          </w:tcPr>
          <w:p w14:paraId="626AADEA" w14:textId="77777777" w:rsidR="00653571" w:rsidRPr="008C5F1C" w:rsidRDefault="00653571" w:rsidP="00534127">
            <w:pPr>
              <w:rPr>
                <w:rFonts w:ascii="Times New Roman" w:hAnsi="Times New Roman" w:cs="Times New Roman"/>
                <w:b/>
                <w:iCs/>
              </w:rPr>
            </w:pPr>
          </w:p>
        </w:tc>
        <w:tc>
          <w:tcPr>
            <w:tcW w:w="2175" w:type="dxa"/>
            <w:tcBorders>
              <w:top w:val="single" w:sz="4" w:space="0" w:color="auto"/>
              <w:left w:val="single" w:sz="4" w:space="0" w:color="auto"/>
              <w:bottom w:val="single" w:sz="4" w:space="0" w:color="auto"/>
              <w:right w:val="single" w:sz="4" w:space="0" w:color="auto"/>
            </w:tcBorders>
          </w:tcPr>
          <w:p w14:paraId="319EE1BF" w14:textId="77777777" w:rsidR="00653571" w:rsidRPr="008C5F1C" w:rsidRDefault="00653571" w:rsidP="00534127">
            <w:pPr>
              <w:rPr>
                <w:rFonts w:ascii="Times New Roman" w:hAnsi="Times New Roman" w:cs="Times New Roman"/>
                <w:b/>
                <w:iCs/>
              </w:rPr>
            </w:pPr>
          </w:p>
        </w:tc>
      </w:tr>
    </w:tbl>
    <w:p w14:paraId="3DB991A1" w14:textId="77777777" w:rsidR="00653571" w:rsidRPr="008C5F1C" w:rsidRDefault="00653571" w:rsidP="00653571">
      <w:pPr>
        <w:rPr>
          <w:rFonts w:ascii="Times New Roman" w:hAnsi="Times New Roman" w:cs="Times New Roman"/>
        </w:rPr>
      </w:pPr>
      <w:r w:rsidRPr="008C5F1C">
        <w:rPr>
          <w:rFonts w:ascii="Times New Roman" w:hAnsi="Times New Roman" w:cs="Times New Roman"/>
        </w:rPr>
        <w:br w:type="page"/>
      </w:r>
    </w:p>
    <w:p w14:paraId="131497BF" w14:textId="77777777" w:rsidR="00653571" w:rsidRPr="008C5F1C" w:rsidRDefault="00653571" w:rsidP="00653571">
      <w:pPr>
        <w:rPr>
          <w:rFonts w:ascii="Times New Roman" w:hAnsi="Times New Roman" w:cs="Times New Roman"/>
        </w:rPr>
      </w:pPr>
    </w:p>
    <w:p w14:paraId="180E2E17" w14:textId="77777777" w:rsidR="00653571" w:rsidRPr="008C5F1C" w:rsidRDefault="00653571" w:rsidP="00653571">
      <w:pPr>
        <w:pStyle w:val="Heading2"/>
        <w:numPr>
          <w:ilvl w:val="0"/>
          <w:numId w:val="0"/>
        </w:numPr>
        <w:ind w:left="851" w:hanging="851"/>
        <w:rPr>
          <w:rFonts w:cs="Times New Roman"/>
          <w:lang w:val="ro-RO"/>
        </w:rPr>
      </w:pPr>
      <w:bookmarkStart w:id="113" w:name="_Toc39840931"/>
      <w:r w:rsidRPr="008C5F1C">
        <w:rPr>
          <w:rFonts w:cs="Times New Roman"/>
          <w:lang w:val="ro-RO"/>
        </w:rPr>
        <w:t>2.A.1 Prioritatea 2. O regiune cu ora</w:t>
      </w:r>
      <w:r w:rsidR="00106240" w:rsidRPr="008C5F1C">
        <w:rPr>
          <w:rFonts w:cs="Times New Roman"/>
          <w:lang w:val="ro-RO"/>
        </w:rPr>
        <w:t>ș</w:t>
      </w:r>
      <w:r w:rsidRPr="008C5F1C">
        <w:rPr>
          <w:rFonts w:cs="Times New Roman"/>
          <w:lang w:val="ro-RO"/>
        </w:rPr>
        <w:t xml:space="preserve">e </w:t>
      </w:r>
      <w:proofErr w:type="spellStart"/>
      <w:r w:rsidRPr="008C5F1C">
        <w:rPr>
          <w:rFonts w:cs="Times New Roman"/>
          <w:lang w:val="ro-RO"/>
        </w:rPr>
        <w:t>Smart</w:t>
      </w:r>
      <w:bookmarkEnd w:id="113"/>
      <w:proofErr w:type="spellEnd"/>
    </w:p>
    <w:p w14:paraId="730AE891" w14:textId="77777777" w:rsidR="00653571" w:rsidRPr="008C5F1C" w:rsidRDefault="00653571" w:rsidP="00653571">
      <w:pPr>
        <w:rPr>
          <w:rFonts w:ascii="Times New Roman" w:hAnsi="Times New Roman" w:cs="Times New Roman"/>
          <w:i/>
          <w:iCs/>
        </w:rPr>
      </w:pPr>
      <w:proofErr w:type="spellStart"/>
      <w:r w:rsidRPr="008C5F1C">
        <w:rPr>
          <w:rFonts w:ascii="Times New Roman" w:hAnsi="Times New Roman" w:cs="Times New Roman"/>
          <w:i/>
          <w:iCs/>
        </w:rPr>
        <w:t>Reference</w:t>
      </w:r>
      <w:proofErr w:type="spellEnd"/>
      <w:r w:rsidRPr="008C5F1C">
        <w:rPr>
          <w:rFonts w:ascii="Times New Roman" w:hAnsi="Times New Roman" w:cs="Times New Roman"/>
          <w:i/>
          <w:iCs/>
        </w:rPr>
        <w:t xml:space="preserve">: </w:t>
      </w:r>
      <w:proofErr w:type="spellStart"/>
      <w:r w:rsidRPr="008C5F1C">
        <w:rPr>
          <w:rFonts w:ascii="Times New Roman" w:hAnsi="Times New Roman" w:cs="Times New Roman"/>
          <w:i/>
          <w:iCs/>
        </w:rPr>
        <w:t>Article</w:t>
      </w:r>
      <w:proofErr w:type="spellEnd"/>
      <w:r w:rsidRPr="008C5F1C">
        <w:rPr>
          <w:rFonts w:ascii="Times New Roman" w:hAnsi="Times New Roman" w:cs="Times New Roman"/>
          <w:i/>
          <w:iCs/>
        </w:rPr>
        <w:t xml:space="preserve"> 4(1), 10 </w:t>
      </w:r>
      <w:proofErr w:type="spellStart"/>
      <w:r w:rsidRPr="008C5F1C">
        <w:rPr>
          <w:rFonts w:ascii="Times New Roman" w:hAnsi="Times New Roman" w:cs="Times New Roman"/>
          <w:i/>
          <w:iCs/>
        </w:rPr>
        <w:t>and</w:t>
      </w:r>
      <w:proofErr w:type="spellEnd"/>
      <w:r w:rsidRPr="008C5F1C">
        <w:rPr>
          <w:rFonts w:ascii="Times New Roman" w:hAnsi="Times New Roman" w:cs="Times New Roman"/>
          <w:i/>
          <w:iCs/>
        </w:rPr>
        <w:t xml:space="preserve"> 13 ESF+</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53571" w:rsidRPr="008C5F1C" w14:paraId="1554B987" w14:textId="77777777" w:rsidTr="00534127">
        <w:tc>
          <w:tcPr>
            <w:tcW w:w="9322" w:type="dxa"/>
            <w:tcBorders>
              <w:top w:val="single" w:sz="4" w:space="0" w:color="auto"/>
              <w:left w:val="single" w:sz="4" w:space="0" w:color="auto"/>
              <w:bottom w:val="single" w:sz="4" w:space="0" w:color="auto"/>
              <w:right w:val="single" w:sz="4" w:space="0" w:color="auto"/>
            </w:tcBorders>
            <w:hideMark/>
          </w:tcPr>
          <w:p w14:paraId="0488F612" w14:textId="77777777" w:rsidR="00653571" w:rsidRPr="008C5F1C" w:rsidRDefault="00653571" w:rsidP="00534127">
            <w:pPr>
              <w:rPr>
                <w:rFonts w:ascii="Times New Roman" w:hAnsi="Times New Roman" w:cs="Times New Roman"/>
              </w:rPr>
            </w:pPr>
            <w:r w:rsidRPr="008C5F1C">
              <w:rPr>
                <w:rFonts w:ascii="Times New Roman" w:hAnsi="Times New Roman" w:cs="Times New Roman"/>
              </w:rPr>
              <w:fldChar w:fldCharType="begin">
                <w:ffData>
                  <w:name w:val="Check2"/>
                  <w:enabled/>
                  <w:calcOnExit w:val="0"/>
                  <w:checkBox>
                    <w:sizeAuto/>
                    <w:default w:val="0"/>
                  </w:checkBox>
                </w:ffData>
              </w:fldChar>
            </w:r>
            <w:r w:rsidRPr="008C5F1C">
              <w:rPr>
                <w:rFonts w:ascii="Times New Roman" w:hAnsi="Times New Roman" w:cs="Times New Roman"/>
              </w:rPr>
              <w:instrText xml:space="preserve"> FORMCHECKBOX </w:instrText>
            </w:r>
            <w:r w:rsidR="00AD12F7">
              <w:rPr>
                <w:rFonts w:ascii="Times New Roman" w:hAnsi="Times New Roman" w:cs="Times New Roman"/>
              </w:rPr>
            </w:r>
            <w:r w:rsidR="00AD12F7">
              <w:rPr>
                <w:rFonts w:ascii="Times New Roman" w:hAnsi="Times New Roman" w:cs="Times New Roman"/>
              </w:rPr>
              <w:fldChar w:fldCharType="separate"/>
            </w:r>
            <w:r w:rsidRPr="008C5F1C">
              <w:rPr>
                <w:rFonts w:ascii="Times New Roman" w:hAnsi="Times New Roman" w:cs="Times New Roman"/>
              </w:rPr>
              <w:fldChar w:fldCharType="end"/>
            </w:r>
            <w:r w:rsidRPr="008C5F1C">
              <w:rPr>
                <w:rFonts w:ascii="Times New Roman" w:hAnsi="Times New Roman" w:cs="Times New Roman"/>
              </w:rPr>
              <w:t xml:space="preserve"> </w:t>
            </w:r>
            <w:proofErr w:type="spellStart"/>
            <w:r w:rsidRPr="008C5F1C">
              <w:rPr>
                <w:rFonts w:ascii="Times New Roman" w:hAnsi="Times New Roman" w:cs="Times New Roman"/>
              </w:rPr>
              <w:t>This</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is</w:t>
            </w:r>
            <w:proofErr w:type="spellEnd"/>
            <w:r w:rsidRPr="008C5F1C">
              <w:rPr>
                <w:rFonts w:ascii="Times New Roman" w:hAnsi="Times New Roman" w:cs="Times New Roman"/>
              </w:rPr>
              <w:t xml:space="preserve"> a </w:t>
            </w:r>
            <w:proofErr w:type="spellStart"/>
            <w:r w:rsidRPr="008C5F1C">
              <w:rPr>
                <w:rFonts w:ascii="Times New Roman" w:hAnsi="Times New Roman" w:cs="Times New Roman"/>
              </w:rPr>
              <w:t>priority</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dedicated</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to</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youth</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employment</w:t>
            </w:r>
            <w:proofErr w:type="spellEnd"/>
          </w:p>
        </w:tc>
      </w:tr>
      <w:tr w:rsidR="00653571" w:rsidRPr="008C5F1C" w14:paraId="2E937F53" w14:textId="77777777" w:rsidTr="00534127">
        <w:tc>
          <w:tcPr>
            <w:tcW w:w="9322" w:type="dxa"/>
            <w:tcBorders>
              <w:top w:val="single" w:sz="4" w:space="0" w:color="auto"/>
              <w:left w:val="single" w:sz="4" w:space="0" w:color="auto"/>
              <w:bottom w:val="single" w:sz="4" w:space="0" w:color="auto"/>
              <w:right w:val="single" w:sz="4" w:space="0" w:color="auto"/>
            </w:tcBorders>
            <w:hideMark/>
          </w:tcPr>
          <w:p w14:paraId="6E5E313A" w14:textId="77777777" w:rsidR="00653571" w:rsidRPr="008C5F1C" w:rsidRDefault="00653571" w:rsidP="00534127">
            <w:pPr>
              <w:rPr>
                <w:rFonts w:ascii="Times New Roman" w:hAnsi="Times New Roman" w:cs="Times New Roman"/>
              </w:rPr>
            </w:pPr>
            <w:r w:rsidRPr="008C5F1C">
              <w:rPr>
                <w:rFonts w:ascii="Times New Roman" w:hAnsi="Times New Roman" w:cs="Times New Roman"/>
              </w:rPr>
              <w:fldChar w:fldCharType="begin">
                <w:ffData>
                  <w:name w:val="Check2"/>
                  <w:enabled/>
                  <w:calcOnExit w:val="0"/>
                  <w:checkBox>
                    <w:sizeAuto/>
                    <w:default w:val="0"/>
                  </w:checkBox>
                </w:ffData>
              </w:fldChar>
            </w:r>
            <w:r w:rsidRPr="008C5F1C">
              <w:rPr>
                <w:rFonts w:ascii="Times New Roman" w:hAnsi="Times New Roman" w:cs="Times New Roman"/>
              </w:rPr>
              <w:instrText xml:space="preserve"> FORMCHECKBOX </w:instrText>
            </w:r>
            <w:r w:rsidR="00AD12F7">
              <w:rPr>
                <w:rFonts w:ascii="Times New Roman" w:hAnsi="Times New Roman" w:cs="Times New Roman"/>
              </w:rPr>
            </w:r>
            <w:r w:rsidR="00AD12F7">
              <w:rPr>
                <w:rFonts w:ascii="Times New Roman" w:hAnsi="Times New Roman" w:cs="Times New Roman"/>
              </w:rPr>
              <w:fldChar w:fldCharType="separate"/>
            </w:r>
            <w:r w:rsidRPr="008C5F1C">
              <w:rPr>
                <w:rFonts w:ascii="Times New Roman" w:hAnsi="Times New Roman" w:cs="Times New Roman"/>
              </w:rPr>
              <w:fldChar w:fldCharType="end"/>
            </w:r>
            <w:r w:rsidRPr="008C5F1C">
              <w:rPr>
                <w:rFonts w:ascii="Times New Roman" w:hAnsi="Times New Roman" w:cs="Times New Roman"/>
              </w:rPr>
              <w:t xml:space="preserve"> </w:t>
            </w:r>
            <w:proofErr w:type="spellStart"/>
            <w:r w:rsidRPr="008C5F1C">
              <w:rPr>
                <w:rFonts w:ascii="Times New Roman" w:hAnsi="Times New Roman" w:cs="Times New Roman"/>
              </w:rPr>
              <w:t>This</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is</w:t>
            </w:r>
            <w:proofErr w:type="spellEnd"/>
            <w:r w:rsidRPr="008C5F1C">
              <w:rPr>
                <w:rFonts w:ascii="Times New Roman" w:hAnsi="Times New Roman" w:cs="Times New Roman"/>
              </w:rPr>
              <w:t xml:space="preserve"> a </w:t>
            </w:r>
            <w:proofErr w:type="spellStart"/>
            <w:r w:rsidRPr="008C5F1C">
              <w:rPr>
                <w:rFonts w:ascii="Times New Roman" w:hAnsi="Times New Roman" w:cs="Times New Roman"/>
              </w:rPr>
              <w:t>priority</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dedicated</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to</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innovative</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actions</w:t>
            </w:r>
            <w:proofErr w:type="spellEnd"/>
          </w:p>
        </w:tc>
      </w:tr>
      <w:tr w:rsidR="00653571" w:rsidRPr="008C5F1C" w14:paraId="67F30A2C" w14:textId="77777777" w:rsidTr="00534127">
        <w:tc>
          <w:tcPr>
            <w:tcW w:w="9322" w:type="dxa"/>
            <w:tcBorders>
              <w:top w:val="single" w:sz="4" w:space="0" w:color="auto"/>
              <w:left w:val="single" w:sz="4" w:space="0" w:color="auto"/>
              <w:bottom w:val="single" w:sz="4" w:space="0" w:color="auto"/>
              <w:right w:val="single" w:sz="4" w:space="0" w:color="auto"/>
            </w:tcBorders>
            <w:hideMark/>
          </w:tcPr>
          <w:p w14:paraId="6B88535D" w14:textId="77777777" w:rsidR="00653571" w:rsidRPr="008C5F1C" w:rsidRDefault="00653571" w:rsidP="00534127">
            <w:pPr>
              <w:rPr>
                <w:rFonts w:ascii="Times New Roman" w:hAnsi="Times New Roman" w:cs="Times New Roman"/>
              </w:rPr>
            </w:pPr>
            <w:r w:rsidRPr="008C5F1C">
              <w:rPr>
                <w:rFonts w:ascii="Times New Roman" w:hAnsi="Times New Roman" w:cs="Times New Roman"/>
              </w:rPr>
              <w:fldChar w:fldCharType="begin">
                <w:ffData>
                  <w:name w:val="Check2"/>
                  <w:enabled/>
                  <w:calcOnExit w:val="0"/>
                  <w:checkBox>
                    <w:sizeAuto/>
                    <w:default w:val="0"/>
                  </w:checkBox>
                </w:ffData>
              </w:fldChar>
            </w:r>
            <w:r w:rsidRPr="008C5F1C">
              <w:rPr>
                <w:rFonts w:ascii="Times New Roman" w:hAnsi="Times New Roman" w:cs="Times New Roman"/>
              </w:rPr>
              <w:instrText xml:space="preserve"> FORMCHECKBOX </w:instrText>
            </w:r>
            <w:r w:rsidR="00AD12F7">
              <w:rPr>
                <w:rFonts w:ascii="Times New Roman" w:hAnsi="Times New Roman" w:cs="Times New Roman"/>
              </w:rPr>
            </w:r>
            <w:r w:rsidR="00AD12F7">
              <w:rPr>
                <w:rFonts w:ascii="Times New Roman" w:hAnsi="Times New Roman" w:cs="Times New Roman"/>
              </w:rPr>
              <w:fldChar w:fldCharType="separate"/>
            </w:r>
            <w:r w:rsidRPr="008C5F1C">
              <w:rPr>
                <w:rFonts w:ascii="Times New Roman" w:hAnsi="Times New Roman" w:cs="Times New Roman"/>
              </w:rPr>
              <w:fldChar w:fldCharType="end"/>
            </w:r>
            <w:r w:rsidRPr="008C5F1C">
              <w:rPr>
                <w:rFonts w:ascii="Times New Roman" w:hAnsi="Times New Roman" w:cs="Times New Roman"/>
              </w:rPr>
              <w:t xml:space="preserve"> </w:t>
            </w:r>
            <w:proofErr w:type="spellStart"/>
            <w:r w:rsidRPr="008C5F1C">
              <w:rPr>
                <w:rFonts w:ascii="Times New Roman" w:hAnsi="Times New Roman" w:cs="Times New Roman"/>
              </w:rPr>
              <w:t>This</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is</w:t>
            </w:r>
            <w:proofErr w:type="spellEnd"/>
            <w:r w:rsidRPr="008C5F1C">
              <w:rPr>
                <w:rFonts w:ascii="Times New Roman" w:hAnsi="Times New Roman" w:cs="Times New Roman"/>
              </w:rPr>
              <w:t xml:space="preserve"> a </w:t>
            </w:r>
            <w:proofErr w:type="spellStart"/>
            <w:r w:rsidRPr="008C5F1C">
              <w:rPr>
                <w:rFonts w:ascii="Times New Roman" w:hAnsi="Times New Roman" w:cs="Times New Roman"/>
              </w:rPr>
              <w:t>priority</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dedicated</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to</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support</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to</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the</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most</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deprived</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under</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the</w:t>
            </w:r>
            <w:proofErr w:type="spellEnd"/>
            <w:r w:rsidRPr="008C5F1C">
              <w:rPr>
                <w:rFonts w:ascii="Times New Roman" w:hAnsi="Times New Roman" w:cs="Times New Roman"/>
              </w:rPr>
              <w:t xml:space="preserve"> specific </w:t>
            </w:r>
            <w:proofErr w:type="spellStart"/>
            <w:r w:rsidRPr="008C5F1C">
              <w:rPr>
                <w:rFonts w:ascii="Times New Roman" w:hAnsi="Times New Roman" w:cs="Times New Roman"/>
              </w:rPr>
              <w:t>objective</w:t>
            </w:r>
            <w:proofErr w:type="spellEnd"/>
            <w:r w:rsidRPr="008C5F1C">
              <w:rPr>
                <w:rFonts w:ascii="Times New Roman" w:hAnsi="Times New Roman" w:cs="Times New Roman"/>
              </w:rPr>
              <w:t xml:space="preserve"> set out in </w:t>
            </w:r>
            <w:proofErr w:type="spellStart"/>
            <w:r w:rsidRPr="008C5F1C">
              <w:rPr>
                <w:rFonts w:ascii="Times New Roman" w:hAnsi="Times New Roman" w:cs="Times New Roman"/>
              </w:rPr>
              <w:t>point</w:t>
            </w:r>
            <w:proofErr w:type="spellEnd"/>
            <w:r w:rsidRPr="008C5F1C">
              <w:rPr>
                <w:rFonts w:ascii="Times New Roman" w:hAnsi="Times New Roman" w:cs="Times New Roman"/>
              </w:rPr>
              <w:t xml:space="preserve"> (xi) of </w:t>
            </w:r>
            <w:proofErr w:type="spellStart"/>
            <w:r w:rsidRPr="008C5F1C">
              <w:rPr>
                <w:rFonts w:ascii="Times New Roman" w:hAnsi="Times New Roman" w:cs="Times New Roman"/>
              </w:rPr>
              <w:t>Art</w:t>
            </w:r>
            <w:r w:rsidRPr="008C5F1C">
              <w:rPr>
                <w:rFonts w:ascii="Times New Roman" w:hAnsi="Times New Roman" w:cs="Times New Roman"/>
                <w:bCs/>
              </w:rPr>
              <w:t>i</w:t>
            </w:r>
            <w:r w:rsidRPr="008C5F1C">
              <w:rPr>
                <w:rFonts w:ascii="Times New Roman" w:hAnsi="Times New Roman" w:cs="Times New Roman"/>
              </w:rPr>
              <w:t>cle</w:t>
            </w:r>
            <w:proofErr w:type="spellEnd"/>
            <w:r w:rsidRPr="008C5F1C">
              <w:rPr>
                <w:rFonts w:ascii="Times New Roman" w:hAnsi="Times New Roman" w:cs="Times New Roman"/>
              </w:rPr>
              <w:t xml:space="preserve"> 4(1) of </w:t>
            </w:r>
            <w:proofErr w:type="spellStart"/>
            <w:r w:rsidRPr="008C5F1C">
              <w:rPr>
                <w:rFonts w:ascii="Times New Roman" w:hAnsi="Times New Roman" w:cs="Times New Roman"/>
              </w:rPr>
              <w:t>the</w:t>
            </w:r>
            <w:proofErr w:type="spellEnd"/>
            <w:r w:rsidRPr="008C5F1C">
              <w:rPr>
                <w:rFonts w:ascii="Times New Roman" w:hAnsi="Times New Roman" w:cs="Times New Roman"/>
              </w:rPr>
              <w:t xml:space="preserve"> ESF+ </w:t>
            </w:r>
            <w:proofErr w:type="spellStart"/>
            <w:r w:rsidRPr="008C5F1C">
              <w:rPr>
                <w:rFonts w:ascii="Times New Roman" w:hAnsi="Times New Roman" w:cs="Times New Roman"/>
              </w:rPr>
              <w:t>regulation</w:t>
            </w:r>
            <w:proofErr w:type="spellEnd"/>
            <w:r w:rsidRPr="008C5F1C">
              <w:rPr>
                <w:rFonts w:ascii="Times New Roman" w:hAnsi="Times New Roman" w:cs="Times New Roman"/>
              </w:rPr>
              <w:t>**</w:t>
            </w:r>
          </w:p>
        </w:tc>
      </w:tr>
      <w:tr w:rsidR="00653571" w:rsidRPr="008C5F1C" w14:paraId="5A64A737" w14:textId="77777777" w:rsidTr="00534127">
        <w:tc>
          <w:tcPr>
            <w:tcW w:w="9322" w:type="dxa"/>
            <w:tcBorders>
              <w:top w:val="single" w:sz="4" w:space="0" w:color="auto"/>
              <w:left w:val="single" w:sz="4" w:space="0" w:color="auto"/>
              <w:bottom w:val="single" w:sz="4" w:space="0" w:color="auto"/>
              <w:right w:val="single" w:sz="4" w:space="0" w:color="auto"/>
            </w:tcBorders>
            <w:hideMark/>
          </w:tcPr>
          <w:p w14:paraId="71DA2FB2" w14:textId="77777777" w:rsidR="00653571" w:rsidRPr="008C5F1C" w:rsidRDefault="00653571" w:rsidP="00534127">
            <w:pPr>
              <w:rPr>
                <w:rFonts w:ascii="Times New Roman" w:hAnsi="Times New Roman" w:cs="Times New Roman"/>
              </w:rPr>
            </w:pPr>
            <w:r w:rsidRPr="008C5F1C">
              <w:rPr>
                <w:rFonts w:ascii="Times New Roman" w:hAnsi="Times New Roman" w:cs="Times New Roman"/>
              </w:rPr>
              <w:fldChar w:fldCharType="begin">
                <w:ffData>
                  <w:name w:val="Check2"/>
                  <w:enabled/>
                  <w:calcOnExit w:val="0"/>
                  <w:checkBox>
                    <w:sizeAuto/>
                    <w:default w:val="0"/>
                  </w:checkBox>
                </w:ffData>
              </w:fldChar>
            </w:r>
            <w:r w:rsidRPr="008C5F1C">
              <w:rPr>
                <w:rFonts w:ascii="Times New Roman" w:hAnsi="Times New Roman" w:cs="Times New Roman"/>
              </w:rPr>
              <w:instrText xml:space="preserve"> FORMCHECKBOX </w:instrText>
            </w:r>
            <w:r w:rsidR="00AD12F7">
              <w:rPr>
                <w:rFonts w:ascii="Times New Roman" w:hAnsi="Times New Roman" w:cs="Times New Roman"/>
              </w:rPr>
            </w:r>
            <w:r w:rsidR="00AD12F7">
              <w:rPr>
                <w:rFonts w:ascii="Times New Roman" w:hAnsi="Times New Roman" w:cs="Times New Roman"/>
              </w:rPr>
              <w:fldChar w:fldCharType="separate"/>
            </w:r>
            <w:r w:rsidRPr="008C5F1C">
              <w:rPr>
                <w:rFonts w:ascii="Times New Roman" w:hAnsi="Times New Roman" w:cs="Times New Roman"/>
              </w:rPr>
              <w:fldChar w:fldCharType="end"/>
            </w:r>
            <w:proofErr w:type="spellStart"/>
            <w:r w:rsidRPr="008C5F1C">
              <w:rPr>
                <w:rFonts w:ascii="Times New Roman" w:hAnsi="Times New Roman" w:cs="Times New Roman"/>
              </w:rPr>
              <w:t>This</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is</w:t>
            </w:r>
            <w:proofErr w:type="spellEnd"/>
            <w:r w:rsidRPr="008C5F1C">
              <w:rPr>
                <w:rFonts w:ascii="Times New Roman" w:hAnsi="Times New Roman" w:cs="Times New Roman"/>
              </w:rPr>
              <w:t xml:space="preserve"> a </w:t>
            </w:r>
            <w:proofErr w:type="spellStart"/>
            <w:r w:rsidRPr="008C5F1C">
              <w:rPr>
                <w:rFonts w:ascii="Times New Roman" w:hAnsi="Times New Roman" w:cs="Times New Roman"/>
              </w:rPr>
              <w:t>priority</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dedicated</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to</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support</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to</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the</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most</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deprived</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under</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the</w:t>
            </w:r>
            <w:proofErr w:type="spellEnd"/>
            <w:r w:rsidRPr="008C5F1C">
              <w:rPr>
                <w:rFonts w:ascii="Times New Roman" w:hAnsi="Times New Roman" w:cs="Times New Roman"/>
              </w:rPr>
              <w:t xml:space="preserve"> specific </w:t>
            </w:r>
            <w:proofErr w:type="spellStart"/>
            <w:r w:rsidRPr="008C5F1C">
              <w:rPr>
                <w:rFonts w:ascii="Times New Roman" w:hAnsi="Times New Roman" w:cs="Times New Roman"/>
              </w:rPr>
              <w:t>objective</w:t>
            </w:r>
            <w:proofErr w:type="spellEnd"/>
            <w:r w:rsidRPr="008C5F1C">
              <w:rPr>
                <w:rFonts w:ascii="Times New Roman" w:hAnsi="Times New Roman" w:cs="Times New Roman"/>
              </w:rPr>
              <w:t xml:space="preserve"> set out in </w:t>
            </w:r>
            <w:proofErr w:type="spellStart"/>
            <w:r w:rsidRPr="008C5F1C">
              <w:rPr>
                <w:rFonts w:ascii="Times New Roman" w:hAnsi="Times New Roman" w:cs="Times New Roman"/>
              </w:rPr>
              <w:t>point</w:t>
            </w:r>
            <w:proofErr w:type="spellEnd"/>
            <w:r w:rsidRPr="008C5F1C">
              <w:rPr>
                <w:rFonts w:ascii="Times New Roman" w:hAnsi="Times New Roman" w:cs="Times New Roman"/>
              </w:rPr>
              <w:t xml:space="preserve"> (x) of </w:t>
            </w:r>
            <w:proofErr w:type="spellStart"/>
            <w:r w:rsidRPr="008C5F1C">
              <w:rPr>
                <w:rFonts w:ascii="Times New Roman" w:hAnsi="Times New Roman" w:cs="Times New Roman"/>
              </w:rPr>
              <w:t>Art</w:t>
            </w:r>
            <w:r w:rsidRPr="008C5F1C">
              <w:rPr>
                <w:rFonts w:ascii="Times New Roman" w:hAnsi="Times New Roman" w:cs="Times New Roman"/>
                <w:bCs/>
              </w:rPr>
              <w:t>i</w:t>
            </w:r>
            <w:r w:rsidRPr="008C5F1C">
              <w:rPr>
                <w:rFonts w:ascii="Times New Roman" w:hAnsi="Times New Roman" w:cs="Times New Roman"/>
              </w:rPr>
              <w:t>cle</w:t>
            </w:r>
            <w:proofErr w:type="spellEnd"/>
            <w:r w:rsidRPr="008C5F1C">
              <w:rPr>
                <w:rFonts w:ascii="Times New Roman" w:hAnsi="Times New Roman" w:cs="Times New Roman"/>
              </w:rPr>
              <w:t xml:space="preserve"> 4(1) of </w:t>
            </w:r>
            <w:proofErr w:type="spellStart"/>
            <w:r w:rsidRPr="008C5F1C">
              <w:rPr>
                <w:rFonts w:ascii="Times New Roman" w:hAnsi="Times New Roman" w:cs="Times New Roman"/>
              </w:rPr>
              <w:t>the</w:t>
            </w:r>
            <w:proofErr w:type="spellEnd"/>
            <w:r w:rsidRPr="008C5F1C">
              <w:rPr>
                <w:rFonts w:ascii="Times New Roman" w:hAnsi="Times New Roman" w:cs="Times New Roman"/>
              </w:rPr>
              <w:t xml:space="preserve"> ESF+ </w:t>
            </w:r>
            <w:proofErr w:type="spellStart"/>
            <w:r w:rsidRPr="008C5F1C">
              <w:rPr>
                <w:rFonts w:ascii="Times New Roman" w:hAnsi="Times New Roman" w:cs="Times New Roman"/>
              </w:rPr>
              <w:t>regulation</w:t>
            </w:r>
            <w:proofErr w:type="spellEnd"/>
            <w:r w:rsidRPr="008C5F1C">
              <w:rPr>
                <w:rFonts w:ascii="Times New Roman" w:hAnsi="Times New Roman" w:cs="Times New Roman"/>
                <w:b/>
                <w:vertAlign w:val="superscript"/>
              </w:rPr>
              <w:footnoteReference w:id="44"/>
            </w:r>
          </w:p>
        </w:tc>
      </w:tr>
    </w:tbl>
    <w:p w14:paraId="626FC404" w14:textId="77777777" w:rsidR="00653571" w:rsidRPr="008C5F1C" w:rsidRDefault="00653571" w:rsidP="00653571">
      <w:pPr>
        <w:rPr>
          <w:rFonts w:ascii="Times New Roman" w:hAnsi="Times New Roman" w:cs="Times New Roman"/>
          <w:i/>
        </w:rPr>
      </w:pPr>
      <w:r w:rsidRPr="008C5F1C">
        <w:rPr>
          <w:rFonts w:ascii="Times New Roman" w:hAnsi="Times New Roman" w:cs="Times New Roman"/>
          <w:i/>
        </w:rPr>
        <w:t xml:space="preserve">* </w:t>
      </w:r>
      <w:proofErr w:type="spellStart"/>
      <w:r w:rsidRPr="008C5F1C">
        <w:rPr>
          <w:rFonts w:ascii="Times New Roman" w:hAnsi="Times New Roman" w:cs="Times New Roman"/>
          <w:i/>
        </w:rPr>
        <w:t>Ticking</w:t>
      </w:r>
      <w:proofErr w:type="spellEnd"/>
      <w:r w:rsidRPr="008C5F1C">
        <w:rPr>
          <w:rFonts w:ascii="Times New Roman" w:hAnsi="Times New Roman" w:cs="Times New Roman"/>
          <w:i/>
        </w:rPr>
        <w:t xml:space="preserve"> box </w:t>
      </w:r>
      <w:proofErr w:type="spellStart"/>
      <w:r w:rsidRPr="008C5F1C">
        <w:rPr>
          <w:rFonts w:ascii="Times New Roman" w:hAnsi="Times New Roman" w:cs="Times New Roman"/>
          <w:i/>
        </w:rPr>
        <w:t>applicable</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to</w:t>
      </w:r>
      <w:proofErr w:type="spellEnd"/>
      <w:r w:rsidRPr="008C5F1C">
        <w:rPr>
          <w:rFonts w:ascii="Times New Roman" w:hAnsi="Times New Roman" w:cs="Times New Roman"/>
          <w:i/>
        </w:rPr>
        <w:t xml:space="preserve"> ESF+ </w:t>
      </w:r>
      <w:proofErr w:type="spellStart"/>
      <w:r w:rsidRPr="008C5F1C">
        <w:rPr>
          <w:rFonts w:ascii="Times New Roman" w:hAnsi="Times New Roman" w:cs="Times New Roman"/>
          <w:i/>
        </w:rPr>
        <w:t>priorities</w:t>
      </w:r>
      <w:proofErr w:type="spellEnd"/>
      <w:r w:rsidRPr="008C5F1C">
        <w:rPr>
          <w:rFonts w:ascii="Times New Roman" w:hAnsi="Times New Roman" w:cs="Times New Roman"/>
          <w:i/>
        </w:rPr>
        <w:t xml:space="preserve">. In case of EMFF, </w:t>
      </w:r>
      <w:proofErr w:type="spellStart"/>
      <w:r w:rsidRPr="008C5F1C">
        <w:rPr>
          <w:rFonts w:ascii="Times New Roman" w:hAnsi="Times New Roman" w:cs="Times New Roman"/>
          <w:i/>
        </w:rPr>
        <w:t>title</w:t>
      </w:r>
      <w:proofErr w:type="spellEnd"/>
      <w:r w:rsidRPr="008C5F1C">
        <w:rPr>
          <w:rFonts w:ascii="Times New Roman" w:hAnsi="Times New Roman" w:cs="Times New Roman"/>
          <w:i/>
        </w:rPr>
        <w:t xml:space="preserve"> of </w:t>
      </w:r>
      <w:proofErr w:type="spellStart"/>
      <w:r w:rsidRPr="008C5F1C">
        <w:rPr>
          <w:rFonts w:ascii="Times New Roman" w:hAnsi="Times New Roman" w:cs="Times New Roman"/>
          <w:i/>
        </w:rPr>
        <w:t>the</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priority</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is</w:t>
      </w:r>
      <w:proofErr w:type="spellEnd"/>
      <w:r w:rsidRPr="008C5F1C">
        <w:rPr>
          <w:rFonts w:ascii="Times New Roman" w:hAnsi="Times New Roman" w:cs="Times New Roman"/>
          <w:i/>
        </w:rPr>
        <w:t xml:space="preserve"> pre-</w:t>
      </w:r>
      <w:proofErr w:type="spellStart"/>
      <w:r w:rsidRPr="008C5F1C">
        <w:rPr>
          <w:rFonts w:ascii="Times New Roman" w:hAnsi="Times New Roman" w:cs="Times New Roman"/>
          <w:i/>
        </w:rPr>
        <w:t>defined</w:t>
      </w:r>
      <w:proofErr w:type="spellEnd"/>
      <w:r w:rsidRPr="008C5F1C">
        <w:rPr>
          <w:rFonts w:ascii="Times New Roman" w:hAnsi="Times New Roman" w:cs="Times New Roman"/>
          <w:i/>
        </w:rPr>
        <w:t>.</w:t>
      </w:r>
    </w:p>
    <w:p w14:paraId="74BFC1E4" w14:textId="77777777" w:rsidR="00653571" w:rsidRPr="008C5F1C" w:rsidRDefault="00653571" w:rsidP="00653571">
      <w:pPr>
        <w:rPr>
          <w:rFonts w:ascii="Times New Roman" w:hAnsi="Times New Roman" w:cs="Times New Roman"/>
          <w:i/>
        </w:rPr>
      </w:pPr>
      <w:r w:rsidRPr="008C5F1C">
        <w:rPr>
          <w:rFonts w:ascii="Times New Roman" w:hAnsi="Times New Roman" w:cs="Times New Roman"/>
          <w:i/>
        </w:rPr>
        <w:t xml:space="preserve">** </w:t>
      </w:r>
      <w:proofErr w:type="spellStart"/>
      <w:r w:rsidRPr="008C5F1C">
        <w:rPr>
          <w:rFonts w:ascii="Times New Roman" w:hAnsi="Times New Roman" w:cs="Times New Roman"/>
          <w:i/>
        </w:rPr>
        <w:t>If</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marked</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go</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to</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section</w:t>
      </w:r>
      <w:proofErr w:type="spellEnd"/>
      <w:r w:rsidRPr="008C5F1C">
        <w:rPr>
          <w:rFonts w:ascii="Times New Roman" w:hAnsi="Times New Roman" w:cs="Times New Roman"/>
          <w:i/>
        </w:rPr>
        <w:t xml:space="preserve"> 2.A.2.a</w:t>
      </w:r>
    </w:p>
    <w:p w14:paraId="7B7E2C01" w14:textId="77777777" w:rsidR="00653571" w:rsidRPr="008C5F1C" w:rsidRDefault="00653571" w:rsidP="00653571">
      <w:pPr>
        <w:pStyle w:val="Heading3"/>
        <w:numPr>
          <w:ilvl w:val="0"/>
          <w:numId w:val="0"/>
        </w:numPr>
        <w:rPr>
          <w:rFonts w:cs="Times New Roman"/>
          <w:b/>
          <w:bCs/>
          <w:iCs/>
          <w:lang w:val="ro-RO"/>
        </w:rPr>
      </w:pPr>
      <w:bookmarkStart w:id="114" w:name="_Toc39840932"/>
      <w:r w:rsidRPr="008C5F1C">
        <w:rPr>
          <w:rStyle w:val="Heading3Char"/>
          <w:rFonts w:cs="Times New Roman"/>
          <w:b/>
          <w:bCs/>
          <w:lang w:val="ro-RO"/>
        </w:rPr>
        <w:t xml:space="preserve">2.A.2 Indicative </w:t>
      </w:r>
      <w:proofErr w:type="spellStart"/>
      <w:r w:rsidRPr="008C5F1C">
        <w:rPr>
          <w:rStyle w:val="Heading3Char"/>
          <w:rFonts w:cs="Times New Roman"/>
          <w:b/>
          <w:bCs/>
          <w:lang w:val="ro-RO"/>
        </w:rPr>
        <w:t>breakdown</w:t>
      </w:r>
      <w:proofErr w:type="spellEnd"/>
      <w:r w:rsidRPr="008C5F1C">
        <w:rPr>
          <w:rStyle w:val="Heading3Char"/>
          <w:rFonts w:cs="Times New Roman"/>
          <w:b/>
          <w:bCs/>
          <w:lang w:val="ro-RO"/>
        </w:rPr>
        <w:t xml:space="preserve"> of </w:t>
      </w:r>
      <w:proofErr w:type="spellStart"/>
      <w:r w:rsidRPr="008C5F1C">
        <w:rPr>
          <w:rStyle w:val="Heading3Char"/>
          <w:rFonts w:cs="Times New Roman"/>
          <w:b/>
          <w:bCs/>
          <w:lang w:val="ro-RO"/>
        </w:rPr>
        <w:t>the</w:t>
      </w:r>
      <w:proofErr w:type="spellEnd"/>
      <w:r w:rsidRPr="008C5F1C">
        <w:rPr>
          <w:rStyle w:val="Heading3Char"/>
          <w:rFonts w:cs="Times New Roman"/>
          <w:b/>
          <w:bCs/>
          <w:lang w:val="ro-RO"/>
        </w:rPr>
        <w:t xml:space="preserve"> </w:t>
      </w:r>
      <w:proofErr w:type="spellStart"/>
      <w:r w:rsidRPr="008C5F1C">
        <w:rPr>
          <w:rStyle w:val="Heading3Char"/>
          <w:rFonts w:cs="Times New Roman"/>
          <w:b/>
          <w:bCs/>
          <w:lang w:val="ro-RO"/>
        </w:rPr>
        <w:t>programmed</w:t>
      </w:r>
      <w:proofErr w:type="spellEnd"/>
      <w:r w:rsidRPr="008C5F1C">
        <w:rPr>
          <w:rStyle w:val="Heading3Char"/>
          <w:rFonts w:cs="Times New Roman"/>
          <w:b/>
          <w:bCs/>
          <w:lang w:val="ro-RO"/>
        </w:rPr>
        <w:t xml:space="preserve"> </w:t>
      </w:r>
      <w:proofErr w:type="spellStart"/>
      <w:r w:rsidRPr="008C5F1C">
        <w:rPr>
          <w:rStyle w:val="Heading3Char"/>
          <w:rFonts w:cs="Times New Roman"/>
          <w:b/>
          <w:bCs/>
          <w:lang w:val="ro-RO"/>
        </w:rPr>
        <w:t>resources</w:t>
      </w:r>
      <w:proofErr w:type="spellEnd"/>
      <w:r w:rsidRPr="008C5F1C">
        <w:rPr>
          <w:rStyle w:val="Heading3Char"/>
          <w:rFonts w:cs="Times New Roman"/>
          <w:b/>
          <w:bCs/>
          <w:lang w:val="ro-RO"/>
        </w:rPr>
        <w:t xml:space="preserve"> (EU) </w:t>
      </w:r>
      <w:proofErr w:type="spellStart"/>
      <w:r w:rsidRPr="008C5F1C">
        <w:rPr>
          <w:rStyle w:val="Heading3Char"/>
          <w:rFonts w:cs="Times New Roman"/>
          <w:b/>
          <w:bCs/>
          <w:lang w:val="ro-RO"/>
        </w:rPr>
        <w:t>by</w:t>
      </w:r>
      <w:proofErr w:type="spellEnd"/>
      <w:r w:rsidRPr="008C5F1C">
        <w:rPr>
          <w:rStyle w:val="Heading3Char"/>
          <w:rFonts w:cs="Times New Roman"/>
          <w:b/>
          <w:bCs/>
          <w:lang w:val="ro-RO"/>
        </w:rPr>
        <w:t xml:space="preserve"> </w:t>
      </w:r>
      <w:proofErr w:type="spellStart"/>
      <w:r w:rsidRPr="008C5F1C">
        <w:rPr>
          <w:rStyle w:val="Heading3Char"/>
          <w:rFonts w:cs="Times New Roman"/>
          <w:b/>
          <w:bCs/>
          <w:lang w:val="ro-RO"/>
        </w:rPr>
        <w:t>type</w:t>
      </w:r>
      <w:proofErr w:type="spellEnd"/>
      <w:r w:rsidRPr="008C5F1C">
        <w:rPr>
          <w:rStyle w:val="Heading3Char"/>
          <w:rFonts w:cs="Times New Roman"/>
          <w:b/>
          <w:bCs/>
          <w:lang w:val="ro-RO"/>
        </w:rPr>
        <w:t xml:space="preserve"> of </w:t>
      </w:r>
      <w:proofErr w:type="spellStart"/>
      <w:r w:rsidRPr="008C5F1C">
        <w:rPr>
          <w:rStyle w:val="Heading3Char"/>
          <w:rFonts w:cs="Times New Roman"/>
          <w:b/>
          <w:bCs/>
          <w:lang w:val="ro-RO"/>
        </w:rPr>
        <w:t>intervention</w:t>
      </w:r>
      <w:proofErr w:type="spellEnd"/>
      <w:r w:rsidRPr="008C5F1C">
        <w:rPr>
          <w:rFonts w:cs="Times New Roman"/>
          <w:b/>
          <w:bCs/>
          <w:iCs/>
          <w:lang w:val="ro-RO"/>
        </w:rPr>
        <w:t xml:space="preserve"> (</w:t>
      </w:r>
      <w:proofErr w:type="spellStart"/>
      <w:r w:rsidRPr="008C5F1C">
        <w:rPr>
          <w:rFonts w:cs="Times New Roman"/>
          <w:b/>
          <w:bCs/>
          <w:iCs/>
          <w:lang w:val="ro-RO"/>
        </w:rPr>
        <w:t>not</w:t>
      </w:r>
      <w:proofErr w:type="spellEnd"/>
      <w:r w:rsidRPr="008C5F1C">
        <w:rPr>
          <w:rFonts w:cs="Times New Roman"/>
          <w:b/>
          <w:bCs/>
          <w:iCs/>
          <w:lang w:val="ro-RO"/>
        </w:rPr>
        <w:t xml:space="preserve"> </w:t>
      </w:r>
      <w:proofErr w:type="spellStart"/>
      <w:r w:rsidRPr="008C5F1C">
        <w:rPr>
          <w:rFonts w:cs="Times New Roman"/>
          <w:b/>
          <w:bCs/>
          <w:iCs/>
          <w:lang w:val="ro-RO"/>
        </w:rPr>
        <w:t>applicable</w:t>
      </w:r>
      <w:proofErr w:type="spellEnd"/>
      <w:r w:rsidRPr="008C5F1C">
        <w:rPr>
          <w:rFonts w:cs="Times New Roman"/>
          <w:b/>
          <w:bCs/>
          <w:iCs/>
          <w:lang w:val="ro-RO"/>
        </w:rPr>
        <w:t xml:space="preserve"> </w:t>
      </w:r>
      <w:proofErr w:type="spellStart"/>
      <w:r w:rsidRPr="008C5F1C">
        <w:rPr>
          <w:rFonts w:cs="Times New Roman"/>
          <w:b/>
          <w:bCs/>
          <w:iCs/>
          <w:lang w:val="ro-RO"/>
        </w:rPr>
        <w:t>to</w:t>
      </w:r>
      <w:proofErr w:type="spellEnd"/>
      <w:r w:rsidRPr="008C5F1C">
        <w:rPr>
          <w:rFonts w:cs="Times New Roman"/>
          <w:b/>
          <w:bCs/>
          <w:iCs/>
          <w:lang w:val="ro-RO"/>
        </w:rPr>
        <w:t xml:space="preserve"> </w:t>
      </w:r>
      <w:proofErr w:type="spellStart"/>
      <w:r w:rsidRPr="008C5F1C">
        <w:rPr>
          <w:rFonts w:cs="Times New Roman"/>
          <w:b/>
          <w:bCs/>
          <w:iCs/>
          <w:lang w:val="ro-RO"/>
        </w:rPr>
        <w:t>the</w:t>
      </w:r>
      <w:proofErr w:type="spellEnd"/>
      <w:r w:rsidRPr="008C5F1C">
        <w:rPr>
          <w:rFonts w:cs="Times New Roman"/>
          <w:b/>
          <w:bCs/>
          <w:iCs/>
          <w:lang w:val="ro-RO"/>
        </w:rPr>
        <w:t xml:space="preserve"> EMFF) </w:t>
      </w:r>
      <w:r w:rsidRPr="008C5F1C">
        <w:rPr>
          <w:rFonts w:cs="Times New Roman"/>
          <w:b/>
          <w:bCs/>
          <w:lang w:val="ro-RO"/>
        </w:rPr>
        <w:t>[</w:t>
      </w:r>
      <w:proofErr w:type="spellStart"/>
      <w:r w:rsidRPr="008C5F1C">
        <w:rPr>
          <w:rFonts w:cs="Times New Roman"/>
          <w:b/>
          <w:bCs/>
          <w:lang w:val="ro-RO"/>
        </w:rPr>
        <w:t>This</w:t>
      </w:r>
      <w:proofErr w:type="spellEnd"/>
      <w:r w:rsidRPr="008C5F1C">
        <w:rPr>
          <w:rFonts w:cs="Times New Roman"/>
          <w:b/>
          <w:bCs/>
          <w:lang w:val="ro-RO"/>
        </w:rPr>
        <w:t xml:space="preserve"> </w:t>
      </w:r>
      <w:proofErr w:type="spellStart"/>
      <w:r w:rsidRPr="008C5F1C">
        <w:rPr>
          <w:rFonts w:cs="Times New Roman"/>
          <w:b/>
          <w:bCs/>
          <w:lang w:val="ro-RO"/>
        </w:rPr>
        <w:t>was</w:t>
      </w:r>
      <w:proofErr w:type="spellEnd"/>
      <w:r w:rsidRPr="008C5F1C">
        <w:rPr>
          <w:rFonts w:cs="Times New Roman"/>
          <w:b/>
          <w:bCs/>
          <w:lang w:val="ro-RO"/>
        </w:rPr>
        <w:t xml:space="preserve"> </w:t>
      </w:r>
      <w:proofErr w:type="spellStart"/>
      <w:r w:rsidRPr="008C5F1C">
        <w:rPr>
          <w:rFonts w:cs="Times New Roman"/>
          <w:b/>
          <w:bCs/>
          <w:lang w:val="ro-RO"/>
        </w:rPr>
        <w:t>point</w:t>
      </w:r>
      <w:proofErr w:type="spellEnd"/>
      <w:r w:rsidRPr="008C5F1C">
        <w:rPr>
          <w:rFonts w:cs="Times New Roman"/>
          <w:b/>
          <w:bCs/>
          <w:lang w:val="ro-RO"/>
        </w:rPr>
        <w:t xml:space="preserve"> 2.1.1.3 in </w:t>
      </w:r>
      <w:proofErr w:type="spellStart"/>
      <w:r w:rsidRPr="008C5F1C">
        <w:rPr>
          <w:rFonts w:cs="Times New Roman"/>
          <w:b/>
          <w:bCs/>
          <w:lang w:val="ro-RO"/>
        </w:rPr>
        <w:t>the</w:t>
      </w:r>
      <w:proofErr w:type="spellEnd"/>
      <w:r w:rsidRPr="008C5F1C">
        <w:rPr>
          <w:rFonts w:cs="Times New Roman"/>
          <w:b/>
          <w:bCs/>
          <w:lang w:val="ro-RO"/>
        </w:rPr>
        <w:t xml:space="preserve"> </w:t>
      </w:r>
      <w:proofErr w:type="spellStart"/>
      <w:r w:rsidRPr="008C5F1C">
        <w:rPr>
          <w:rFonts w:cs="Times New Roman"/>
          <w:b/>
          <w:bCs/>
          <w:lang w:val="ro-RO"/>
        </w:rPr>
        <w:t>Commission</w:t>
      </w:r>
      <w:proofErr w:type="spellEnd"/>
      <w:r w:rsidRPr="008C5F1C">
        <w:rPr>
          <w:rFonts w:cs="Times New Roman"/>
          <w:b/>
          <w:bCs/>
          <w:lang w:val="ro-RO"/>
        </w:rPr>
        <w:t xml:space="preserve"> </w:t>
      </w:r>
      <w:proofErr w:type="spellStart"/>
      <w:r w:rsidRPr="008C5F1C">
        <w:rPr>
          <w:rFonts w:cs="Times New Roman"/>
          <w:b/>
          <w:bCs/>
          <w:lang w:val="ro-RO"/>
        </w:rPr>
        <w:t>proposal</w:t>
      </w:r>
      <w:proofErr w:type="spellEnd"/>
      <w:r w:rsidRPr="008C5F1C">
        <w:rPr>
          <w:rFonts w:cs="Times New Roman"/>
          <w:b/>
          <w:bCs/>
          <w:lang w:val="ro-RO"/>
        </w:rPr>
        <w:t xml:space="preserve"> </w:t>
      </w:r>
      <w:proofErr w:type="spellStart"/>
      <w:r w:rsidRPr="008C5F1C">
        <w:rPr>
          <w:rFonts w:cs="Times New Roman"/>
          <w:b/>
          <w:bCs/>
          <w:lang w:val="ro-RO"/>
        </w:rPr>
        <w:t>and</w:t>
      </w:r>
      <w:proofErr w:type="spellEnd"/>
      <w:r w:rsidRPr="008C5F1C">
        <w:rPr>
          <w:rFonts w:cs="Times New Roman"/>
          <w:b/>
          <w:bCs/>
          <w:lang w:val="ro-RO"/>
        </w:rPr>
        <w:t xml:space="preserve"> </w:t>
      </w:r>
      <w:proofErr w:type="spellStart"/>
      <w:r w:rsidRPr="008C5F1C">
        <w:rPr>
          <w:rFonts w:cs="Times New Roman"/>
          <w:b/>
          <w:bCs/>
          <w:lang w:val="ro-RO"/>
        </w:rPr>
        <w:t>has</w:t>
      </w:r>
      <w:proofErr w:type="spellEnd"/>
      <w:r w:rsidRPr="008C5F1C">
        <w:rPr>
          <w:rFonts w:cs="Times New Roman"/>
          <w:b/>
          <w:bCs/>
          <w:lang w:val="ro-RO"/>
        </w:rPr>
        <w:t xml:space="preserve"> </w:t>
      </w:r>
      <w:proofErr w:type="spellStart"/>
      <w:r w:rsidRPr="008C5F1C">
        <w:rPr>
          <w:rFonts w:cs="Times New Roman"/>
          <w:b/>
          <w:bCs/>
          <w:lang w:val="ro-RO"/>
        </w:rPr>
        <w:t>been</w:t>
      </w:r>
      <w:proofErr w:type="spellEnd"/>
      <w:r w:rsidRPr="008C5F1C">
        <w:rPr>
          <w:rFonts w:cs="Times New Roman"/>
          <w:b/>
          <w:bCs/>
          <w:lang w:val="ro-RO"/>
        </w:rPr>
        <w:t xml:space="preserve"> </w:t>
      </w:r>
      <w:proofErr w:type="spellStart"/>
      <w:r w:rsidRPr="008C5F1C">
        <w:rPr>
          <w:rFonts w:cs="Times New Roman"/>
          <w:b/>
          <w:bCs/>
          <w:lang w:val="ro-RO"/>
        </w:rPr>
        <w:t>moved</w:t>
      </w:r>
      <w:proofErr w:type="spellEnd"/>
      <w:r w:rsidRPr="008C5F1C">
        <w:rPr>
          <w:rFonts w:cs="Times New Roman"/>
          <w:b/>
          <w:bCs/>
          <w:lang w:val="ro-RO"/>
        </w:rPr>
        <w:t xml:space="preserve"> </w:t>
      </w:r>
      <w:proofErr w:type="spellStart"/>
      <w:r w:rsidRPr="008C5F1C">
        <w:rPr>
          <w:rFonts w:cs="Times New Roman"/>
          <w:b/>
          <w:bCs/>
          <w:lang w:val="ro-RO"/>
        </w:rPr>
        <w:t>up</w:t>
      </w:r>
      <w:proofErr w:type="spellEnd"/>
      <w:r w:rsidRPr="008C5F1C">
        <w:rPr>
          <w:rFonts w:cs="Times New Roman"/>
          <w:b/>
          <w:bCs/>
          <w:lang w:val="ro-RO"/>
        </w:rPr>
        <w:t xml:space="preserve"> </w:t>
      </w:r>
      <w:proofErr w:type="spellStart"/>
      <w:r w:rsidRPr="008C5F1C">
        <w:rPr>
          <w:rFonts w:cs="Times New Roman"/>
          <w:b/>
          <w:bCs/>
          <w:lang w:val="ro-RO"/>
        </w:rPr>
        <w:t>following</w:t>
      </w:r>
      <w:proofErr w:type="spellEnd"/>
      <w:r w:rsidRPr="008C5F1C">
        <w:rPr>
          <w:rFonts w:cs="Times New Roman"/>
          <w:b/>
          <w:bCs/>
          <w:lang w:val="ro-RO"/>
        </w:rPr>
        <w:t xml:space="preserve"> </w:t>
      </w:r>
      <w:proofErr w:type="spellStart"/>
      <w:r w:rsidRPr="008C5F1C">
        <w:rPr>
          <w:rFonts w:cs="Times New Roman"/>
          <w:b/>
          <w:bCs/>
          <w:lang w:val="ro-RO"/>
        </w:rPr>
        <w:t>changes</w:t>
      </w:r>
      <w:proofErr w:type="spellEnd"/>
      <w:r w:rsidRPr="008C5F1C">
        <w:rPr>
          <w:rFonts w:cs="Times New Roman"/>
          <w:b/>
          <w:bCs/>
          <w:lang w:val="ro-RO"/>
        </w:rPr>
        <w:t xml:space="preserve"> in </w:t>
      </w:r>
      <w:proofErr w:type="spellStart"/>
      <w:r w:rsidRPr="008C5F1C">
        <w:rPr>
          <w:rFonts w:cs="Times New Roman"/>
          <w:b/>
          <w:bCs/>
          <w:lang w:val="ro-RO"/>
        </w:rPr>
        <w:t>Article</w:t>
      </w:r>
      <w:proofErr w:type="spellEnd"/>
      <w:r w:rsidRPr="008C5F1C">
        <w:rPr>
          <w:rFonts w:cs="Times New Roman"/>
          <w:b/>
          <w:bCs/>
          <w:lang w:val="ro-RO"/>
        </w:rPr>
        <w:t xml:space="preserve"> 17(3)(c) CPR]</w:t>
      </w:r>
      <w:bookmarkEnd w:id="114"/>
    </w:p>
    <w:p w14:paraId="326B1D06" w14:textId="77777777" w:rsidR="00653571" w:rsidRPr="008C5F1C" w:rsidRDefault="00653571" w:rsidP="00653571">
      <w:pPr>
        <w:rPr>
          <w:rFonts w:ascii="Times New Roman" w:hAnsi="Times New Roman" w:cs="Times New Roman"/>
          <w:b/>
          <w:i/>
          <w:iCs/>
        </w:rPr>
      </w:pPr>
      <w:proofErr w:type="spellStart"/>
      <w:r w:rsidRPr="008C5F1C">
        <w:rPr>
          <w:rFonts w:ascii="Times New Roman" w:hAnsi="Times New Roman" w:cs="Times New Roman"/>
          <w:i/>
        </w:rPr>
        <w:t>Reference</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Article</w:t>
      </w:r>
      <w:proofErr w:type="spellEnd"/>
      <w:r w:rsidRPr="008C5F1C">
        <w:rPr>
          <w:rFonts w:ascii="Times New Roman" w:hAnsi="Times New Roman" w:cs="Times New Roman"/>
          <w:i/>
        </w:rPr>
        <w:t xml:space="preserve"> 17(3)(c) CPR</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
        <w:gridCol w:w="847"/>
        <w:gridCol w:w="1782"/>
        <w:gridCol w:w="4314"/>
        <w:gridCol w:w="1729"/>
      </w:tblGrid>
      <w:tr w:rsidR="008C5F1C" w:rsidRPr="008C5F1C" w14:paraId="434F01AF" w14:textId="77777777" w:rsidTr="008C5F1C">
        <w:tc>
          <w:tcPr>
            <w:tcW w:w="9634" w:type="dxa"/>
            <w:gridSpan w:val="5"/>
            <w:tcBorders>
              <w:top w:val="single" w:sz="4" w:space="0" w:color="auto"/>
              <w:left w:val="single" w:sz="4" w:space="0" w:color="auto"/>
              <w:bottom w:val="single" w:sz="4" w:space="0" w:color="auto"/>
              <w:right w:val="single" w:sz="4" w:space="0" w:color="auto"/>
            </w:tcBorders>
            <w:hideMark/>
          </w:tcPr>
          <w:p w14:paraId="52452FFE"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Table 4: </w:t>
            </w:r>
            <w:proofErr w:type="spellStart"/>
            <w:r w:rsidRPr="008C5F1C">
              <w:rPr>
                <w:rFonts w:ascii="Times New Roman" w:hAnsi="Times New Roman" w:cs="Times New Roman"/>
                <w:b/>
                <w:iCs/>
              </w:rPr>
              <w:t>Dimension</w:t>
            </w:r>
            <w:proofErr w:type="spellEnd"/>
            <w:r w:rsidRPr="008C5F1C">
              <w:rPr>
                <w:rFonts w:ascii="Times New Roman" w:hAnsi="Times New Roman" w:cs="Times New Roman"/>
                <w:b/>
                <w:iCs/>
              </w:rPr>
              <w:t xml:space="preserve"> 1 – </w:t>
            </w:r>
            <w:proofErr w:type="spellStart"/>
            <w:r w:rsidRPr="008C5F1C">
              <w:rPr>
                <w:rFonts w:ascii="Times New Roman" w:hAnsi="Times New Roman" w:cs="Times New Roman"/>
                <w:b/>
                <w:iCs/>
              </w:rPr>
              <w:t>intervention</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field</w:t>
            </w:r>
            <w:proofErr w:type="spellEnd"/>
          </w:p>
        </w:tc>
      </w:tr>
      <w:tr w:rsidR="008C5F1C" w:rsidRPr="008C5F1C" w14:paraId="5C341980" w14:textId="77777777" w:rsidTr="008C5F1C">
        <w:tc>
          <w:tcPr>
            <w:tcW w:w="962" w:type="dxa"/>
            <w:tcBorders>
              <w:top w:val="single" w:sz="4" w:space="0" w:color="auto"/>
              <w:left w:val="single" w:sz="4" w:space="0" w:color="auto"/>
              <w:bottom w:val="single" w:sz="4" w:space="0" w:color="auto"/>
              <w:right w:val="single" w:sz="4" w:space="0" w:color="auto"/>
            </w:tcBorders>
            <w:hideMark/>
          </w:tcPr>
          <w:p w14:paraId="49006B51"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Priority</w:t>
            </w:r>
            <w:proofErr w:type="spellEnd"/>
            <w:r w:rsidRPr="008C5F1C">
              <w:rPr>
                <w:rFonts w:ascii="Times New Roman" w:hAnsi="Times New Roman" w:cs="Times New Roman"/>
                <w:b/>
                <w:iCs/>
              </w:rPr>
              <w:t xml:space="preserve"> No</w:t>
            </w:r>
          </w:p>
        </w:tc>
        <w:tc>
          <w:tcPr>
            <w:tcW w:w="847" w:type="dxa"/>
            <w:tcBorders>
              <w:top w:val="single" w:sz="4" w:space="0" w:color="auto"/>
              <w:left w:val="single" w:sz="4" w:space="0" w:color="auto"/>
              <w:bottom w:val="single" w:sz="4" w:space="0" w:color="auto"/>
              <w:right w:val="single" w:sz="4" w:space="0" w:color="auto"/>
            </w:tcBorders>
            <w:hideMark/>
          </w:tcPr>
          <w:p w14:paraId="3021ECFA"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Fund</w:t>
            </w:r>
          </w:p>
        </w:tc>
        <w:tc>
          <w:tcPr>
            <w:tcW w:w="1782" w:type="dxa"/>
            <w:tcBorders>
              <w:top w:val="single" w:sz="4" w:space="0" w:color="auto"/>
              <w:left w:val="single" w:sz="4" w:space="0" w:color="auto"/>
              <w:bottom w:val="single" w:sz="4" w:space="0" w:color="auto"/>
              <w:right w:val="single" w:sz="4" w:space="0" w:color="auto"/>
            </w:tcBorders>
            <w:hideMark/>
          </w:tcPr>
          <w:p w14:paraId="208CF18A"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Category</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region</w:t>
            </w:r>
            <w:proofErr w:type="spellEnd"/>
            <w:r w:rsidRPr="008C5F1C">
              <w:rPr>
                <w:rFonts w:ascii="Times New Roman" w:hAnsi="Times New Roman" w:cs="Times New Roman"/>
                <w:b/>
                <w:iCs/>
                <w:vertAlign w:val="superscript"/>
              </w:rPr>
              <w:footnoteReference w:id="45"/>
            </w:r>
          </w:p>
        </w:tc>
        <w:tc>
          <w:tcPr>
            <w:tcW w:w="4314" w:type="dxa"/>
            <w:tcBorders>
              <w:top w:val="single" w:sz="4" w:space="0" w:color="auto"/>
              <w:left w:val="single" w:sz="4" w:space="0" w:color="auto"/>
              <w:bottom w:val="single" w:sz="4" w:space="0" w:color="auto"/>
              <w:right w:val="single" w:sz="4" w:space="0" w:color="auto"/>
            </w:tcBorders>
            <w:hideMark/>
          </w:tcPr>
          <w:p w14:paraId="5A1AEFE2"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Code </w:t>
            </w:r>
          </w:p>
        </w:tc>
        <w:tc>
          <w:tcPr>
            <w:tcW w:w="1729" w:type="dxa"/>
            <w:tcBorders>
              <w:top w:val="single" w:sz="4" w:space="0" w:color="auto"/>
              <w:left w:val="single" w:sz="4" w:space="0" w:color="auto"/>
              <w:bottom w:val="single" w:sz="4" w:space="0" w:color="auto"/>
              <w:right w:val="single" w:sz="4" w:space="0" w:color="auto"/>
            </w:tcBorders>
            <w:hideMark/>
          </w:tcPr>
          <w:p w14:paraId="56718625"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Amount</w:t>
            </w:r>
            <w:proofErr w:type="spellEnd"/>
            <w:r w:rsidRPr="008C5F1C">
              <w:rPr>
                <w:rFonts w:ascii="Times New Roman" w:hAnsi="Times New Roman" w:cs="Times New Roman"/>
                <w:b/>
                <w:iCs/>
              </w:rPr>
              <w:t xml:space="preserve"> (EUR)</w:t>
            </w:r>
          </w:p>
        </w:tc>
      </w:tr>
      <w:tr w:rsidR="008C5F1C" w:rsidRPr="008C5F1C" w14:paraId="48B5B719" w14:textId="77777777" w:rsidTr="008C5F1C">
        <w:tc>
          <w:tcPr>
            <w:tcW w:w="962" w:type="dxa"/>
            <w:tcBorders>
              <w:top w:val="single" w:sz="4" w:space="0" w:color="auto"/>
              <w:left w:val="single" w:sz="4" w:space="0" w:color="auto"/>
              <w:bottom w:val="single" w:sz="4" w:space="0" w:color="auto"/>
              <w:right w:val="single" w:sz="4" w:space="0" w:color="auto"/>
            </w:tcBorders>
          </w:tcPr>
          <w:p w14:paraId="55C31818" w14:textId="77777777" w:rsidR="00653571" w:rsidRPr="008C5F1C" w:rsidRDefault="006F2A71" w:rsidP="00534127">
            <w:pPr>
              <w:rPr>
                <w:rFonts w:ascii="Times New Roman" w:hAnsi="Times New Roman" w:cs="Times New Roman"/>
                <w:b/>
                <w:bCs/>
                <w:iCs/>
              </w:rPr>
            </w:pPr>
            <w:r w:rsidRPr="008C5F1C">
              <w:rPr>
                <w:rFonts w:ascii="Times New Roman" w:hAnsi="Times New Roman" w:cs="Times New Roman"/>
                <w:b/>
                <w:bCs/>
                <w:iCs/>
              </w:rPr>
              <w:t>2</w:t>
            </w:r>
          </w:p>
        </w:tc>
        <w:tc>
          <w:tcPr>
            <w:tcW w:w="847" w:type="dxa"/>
            <w:tcBorders>
              <w:top w:val="single" w:sz="4" w:space="0" w:color="auto"/>
              <w:left w:val="single" w:sz="4" w:space="0" w:color="auto"/>
              <w:bottom w:val="single" w:sz="4" w:space="0" w:color="auto"/>
              <w:right w:val="single" w:sz="4" w:space="0" w:color="auto"/>
            </w:tcBorders>
          </w:tcPr>
          <w:p w14:paraId="38802D55"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ERDF</w:t>
            </w:r>
          </w:p>
        </w:tc>
        <w:tc>
          <w:tcPr>
            <w:tcW w:w="1782" w:type="dxa"/>
            <w:tcBorders>
              <w:top w:val="single" w:sz="4" w:space="0" w:color="auto"/>
              <w:left w:val="single" w:sz="4" w:space="0" w:color="auto"/>
              <w:bottom w:val="single" w:sz="4" w:space="0" w:color="auto"/>
              <w:right w:val="single" w:sz="4" w:space="0" w:color="auto"/>
            </w:tcBorders>
          </w:tcPr>
          <w:p w14:paraId="2857DCD6"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Less</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developed</w:t>
            </w:r>
            <w:proofErr w:type="spellEnd"/>
          </w:p>
        </w:tc>
        <w:tc>
          <w:tcPr>
            <w:tcW w:w="4314" w:type="dxa"/>
            <w:tcBorders>
              <w:top w:val="single" w:sz="4" w:space="0" w:color="auto"/>
              <w:left w:val="single" w:sz="4" w:space="0" w:color="auto"/>
              <w:bottom w:val="single" w:sz="4" w:space="0" w:color="auto"/>
              <w:right w:val="single" w:sz="4" w:space="0" w:color="auto"/>
            </w:tcBorders>
          </w:tcPr>
          <w:p w14:paraId="4DBFD81B" w14:textId="77777777" w:rsidR="00653571" w:rsidRPr="008C5F1C" w:rsidRDefault="00562477" w:rsidP="001A64EA">
            <w:pPr>
              <w:spacing w:after="120" w:line="240" w:lineRule="auto"/>
              <w:rPr>
                <w:rFonts w:ascii="Times New Roman" w:hAnsi="Times New Roman" w:cs="Times New Roman"/>
                <w:b/>
                <w:iCs/>
              </w:rPr>
            </w:pPr>
            <w:r w:rsidRPr="008C5F1C">
              <w:rPr>
                <w:rFonts w:ascii="Times New Roman" w:hAnsi="Times New Roman" w:cs="Times New Roman"/>
                <w:b/>
                <w:iCs/>
              </w:rPr>
              <w:t>011</w:t>
            </w:r>
            <w:r w:rsidR="00D0691A" w:rsidRPr="008C5F1C">
              <w:rPr>
                <w:rFonts w:ascii="Times New Roman" w:hAnsi="Times New Roman" w:cs="Times New Roman"/>
                <w:b/>
                <w:iCs/>
              </w:rPr>
              <w:t xml:space="preserve"> </w:t>
            </w:r>
            <w:r w:rsidR="00D0691A" w:rsidRPr="00533593">
              <w:rPr>
                <w:rFonts w:ascii="Times New Roman" w:hAnsi="Times New Roman" w:cs="Times New Roman"/>
                <w:noProof/>
                <w:sz w:val="20"/>
                <w:szCs w:val="20"/>
              </w:rPr>
              <w:t>Solu</w:t>
            </w:r>
            <w:r w:rsidR="00E22FF2" w:rsidRPr="00533593">
              <w:rPr>
                <w:rFonts w:ascii="Times New Roman" w:hAnsi="Times New Roman" w:cs="Times New Roman"/>
                <w:noProof/>
                <w:sz w:val="20"/>
                <w:szCs w:val="20"/>
              </w:rPr>
              <w:t>ț</w:t>
            </w:r>
            <w:r w:rsidR="00D0691A" w:rsidRPr="00533593">
              <w:rPr>
                <w:rFonts w:ascii="Times New Roman" w:hAnsi="Times New Roman" w:cs="Times New Roman"/>
                <w:noProof/>
                <w:sz w:val="20"/>
                <w:szCs w:val="20"/>
              </w:rPr>
              <w:t xml:space="preserve">ii TIC, servicii electronice </w:t>
            </w:r>
            <w:r w:rsidR="00106240" w:rsidRPr="00533593">
              <w:rPr>
                <w:rFonts w:ascii="Times New Roman" w:hAnsi="Times New Roman" w:cs="Times New Roman"/>
                <w:noProof/>
                <w:sz w:val="20"/>
                <w:szCs w:val="20"/>
              </w:rPr>
              <w:t>ș</w:t>
            </w:r>
            <w:r w:rsidR="00D0691A" w:rsidRPr="00533593">
              <w:rPr>
                <w:rFonts w:ascii="Times New Roman" w:hAnsi="Times New Roman" w:cs="Times New Roman"/>
                <w:noProof/>
                <w:sz w:val="20"/>
                <w:szCs w:val="20"/>
              </w:rPr>
              <w:t>i aplica</w:t>
            </w:r>
            <w:r w:rsidR="00E22FF2" w:rsidRPr="00533593">
              <w:rPr>
                <w:rFonts w:ascii="Times New Roman" w:hAnsi="Times New Roman" w:cs="Times New Roman"/>
                <w:noProof/>
                <w:sz w:val="20"/>
                <w:szCs w:val="20"/>
              </w:rPr>
              <w:t>ț</w:t>
            </w:r>
            <w:r w:rsidR="00D0691A" w:rsidRPr="00533593">
              <w:rPr>
                <w:rFonts w:ascii="Times New Roman" w:hAnsi="Times New Roman" w:cs="Times New Roman"/>
                <w:noProof/>
                <w:sz w:val="20"/>
                <w:szCs w:val="20"/>
              </w:rPr>
              <w:t>ii guvernamentale</w:t>
            </w:r>
          </w:p>
        </w:tc>
        <w:tc>
          <w:tcPr>
            <w:tcW w:w="1729" w:type="dxa"/>
            <w:tcBorders>
              <w:top w:val="single" w:sz="4" w:space="0" w:color="auto"/>
              <w:left w:val="single" w:sz="4" w:space="0" w:color="auto"/>
              <w:bottom w:val="single" w:sz="4" w:space="0" w:color="auto"/>
              <w:right w:val="single" w:sz="4" w:space="0" w:color="auto"/>
            </w:tcBorders>
          </w:tcPr>
          <w:p w14:paraId="53D25FE5" w14:textId="6D100EE9" w:rsidR="00653571" w:rsidRPr="008C5F1C" w:rsidRDefault="00B04816" w:rsidP="00C117F7">
            <w:pPr>
              <w:jc w:val="right"/>
              <w:rPr>
                <w:rFonts w:ascii="Times New Roman" w:hAnsi="Times New Roman" w:cs="Times New Roman"/>
                <w:b/>
                <w:iCs/>
              </w:rPr>
            </w:pPr>
            <w:r w:rsidRPr="008C5F1C">
              <w:rPr>
                <w:rFonts w:ascii="Times New Roman" w:hAnsi="Times New Roman" w:cs="Times New Roman"/>
                <w:b/>
                <w:iCs/>
              </w:rPr>
              <w:t>117.541.538</w:t>
            </w:r>
          </w:p>
        </w:tc>
      </w:tr>
    </w:tbl>
    <w:p w14:paraId="7E3E0AED" w14:textId="77777777" w:rsidR="00653571" w:rsidRPr="008C5F1C" w:rsidRDefault="00653571" w:rsidP="00653571">
      <w:pP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2257"/>
        <w:gridCol w:w="1956"/>
        <w:gridCol w:w="2175"/>
      </w:tblGrid>
      <w:tr w:rsidR="00653571" w:rsidRPr="008C5F1C" w14:paraId="1159CA72" w14:textId="77777777" w:rsidTr="00D0691A">
        <w:tc>
          <w:tcPr>
            <w:tcW w:w="9371" w:type="dxa"/>
            <w:gridSpan w:val="5"/>
            <w:tcBorders>
              <w:top w:val="single" w:sz="4" w:space="0" w:color="auto"/>
              <w:left w:val="single" w:sz="4" w:space="0" w:color="auto"/>
              <w:bottom w:val="single" w:sz="4" w:space="0" w:color="auto"/>
              <w:right w:val="single" w:sz="4" w:space="0" w:color="auto"/>
            </w:tcBorders>
            <w:hideMark/>
          </w:tcPr>
          <w:p w14:paraId="2D3625ED"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Table 5: </w:t>
            </w:r>
            <w:proofErr w:type="spellStart"/>
            <w:r w:rsidRPr="008C5F1C">
              <w:rPr>
                <w:rFonts w:ascii="Times New Roman" w:hAnsi="Times New Roman" w:cs="Times New Roman"/>
                <w:b/>
                <w:iCs/>
              </w:rPr>
              <w:t>Dimension</w:t>
            </w:r>
            <w:proofErr w:type="spellEnd"/>
            <w:r w:rsidRPr="008C5F1C">
              <w:rPr>
                <w:rFonts w:ascii="Times New Roman" w:hAnsi="Times New Roman" w:cs="Times New Roman"/>
                <w:b/>
                <w:iCs/>
              </w:rPr>
              <w:t xml:space="preserve"> 2 – </w:t>
            </w:r>
            <w:proofErr w:type="spellStart"/>
            <w:r w:rsidRPr="008C5F1C">
              <w:rPr>
                <w:rFonts w:ascii="Times New Roman" w:hAnsi="Times New Roman" w:cs="Times New Roman"/>
                <w:b/>
                <w:iCs/>
              </w:rPr>
              <w:t>form</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support</w:t>
            </w:r>
            <w:proofErr w:type="spellEnd"/>
          </w:p>
        </w:tc>
      </w:tr>
      <w:tr w:rsidR="00653571" w:rsidRPr="008C5F1C" w14:paraId="3F8E346A" w14:textId="77777777" w:rsidTr="00D0691A">
        <w:tc>
          <w:tcPr>
            <w:tcW w:w="1599" w:type="dxa"/>
            <w:tcBorders>
              <w:top w:val="single" w:sz="4" w:space="0" w:color="auto"/>
              <w:left w:val="single" w:sz="4" w:space="0" w:color="auto"/>
              <w:bottom w:val="single" w:sz="4" w:space="0" w:color="auto"/>
              <w:right w:val="single" w:sz="4" w:space="0" w:color="auto"/>
            </w:tcBorders>
            <w:hideMark/>
          </w:tcPr>
          <w:p w14:paraId="3CB8269F"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Priority</w:t>
            </w:r>
            <w:proofErr w:type="spellEnd"/>
            <w:r w:rsidRPr="008C5F1C">
              <w:rPr>
                <w:rFonts w:ascii="Times New Roman" w:hAnsi="Times New Roman" w:cs="Times New Roman"/>
                <w:b/>
                <w:iCs/>
              </w:rPr>
              <w:t xml:space="preserve"> No</w:t>
            </w:r>
          </w:p>
        </w:tc>
        <w:tc>
          <w:tcPr>
            <w:tcW w:w="1384" w:type="dxa"/>
            <w:tcBorders>
              <w:top w:val="single" w:sz="4" w:space="0" w:color="auto"/>
              <w:left w:val="single" w:sz="4" w:space="0" w:color="auto"/>
              <w:bottom w:val="single" w:sz="4" w:space="0" w:color="auto"/>
              <w:right w:val="single" w:sz="4" w:space="0" w:color="auto"/>
            </w:tcBorders>
            <w:hideMark/>
          </w:tcPr>
          <w:p w14:paraId="7FAE65DE"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Fund</w:t>
            </w:r>
          </w:p>
        </w:tc>
        <w:tc>
          <w:tcPr>
            <w:tcW w:w="2257" w:type="dxa"/>
            <w:tcBorders>
              <w:top w:val="single" w:sz="4" w:space="0" w:color="auto"/>
              <w:left w:val="single" w:sz="4" w:space="0" w:color="auto"/>
              <w:bottom w:val="single" w:sz="4" w:space="0" w:color="auto"/>
              <w:right w:val="single" w:sz="4" w:space="0" w:color="auto"/>
            </w:tcBorders>
            <w:hideMark/>
          </w:tcPr>
          <w:p w14:paraId="6086FA1F"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Category</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region</w:t>
            </w:r>
            <w:proofErr w:type="spellEnd"/>
            <w:r w:rsidRPr="008C5F1C">
              <w:rPr>
                <w:rFonts w:ascii="Times New Roman" w:hAnsi="Times New Roman" w:cs="Times New Roman"/>
                <w:b/>
                <w:iCs/>
                <w:vertAlign w:val="superscript"/>
              </w:rPr>
              <w:footnoteReference w:id="46"/>
            </w:r>
          </w:p>
        </w:tc>
        <w:tc>
          <w:tcPr>
            <w:tcW w:w="1956" w:type="dxa"/>
            <w:tcBorders>
              <w:top w:val="single" w:sz="4" w:space="0" w:color="auto"/>
              <w:left w:val="single" w:sz="4" w:space="0" w:color="auto"/>
              <w:bottom w:val="single" w:sz="4" w:space="0" w:color="auto"/>
              <w:right w:val="single" w:sz="4" w:space="0" w:color="auto"/>
            </w:tcBorders>
            <w:hideMark/>
          </w:tcPr>
          <w:p w14:paraId="3536567F"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Code </w:t>
            </w:r>
          </w:p>
        </w:tc>
        <w:tc>
          <w:tcPr>
            <w:tcW w:w="2175" w:type="dxa"/>
            <w:tcBorders>
              <w:top w:val="single" w:sz="4" w:space="0" w:color="auto"/>
              <w:left w:val="single" w:sz="4" w:space="0" w:color="auto"/>
              <w:bottom w:val="single" w:sz="4" w:space="0" w:color="auto"/>
              <w:right w:val="single" w:sz="4" w:space="0" w:color="auto"/>
            </w:tcBorders>
            <w:hideMark/>
          </w:tcPr>
          <w:p w14:paraId="00A11ACF"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Amount</w:t>
            </w:r>
            <w:proofErr w:type="spellEnd"/>
            <w:r w:rsidRPr="008C5F1C">
              <w:rPr>
                <w:rFonts w:ascii="Times New Roman" w:hAnsi="Times New Roman" w:cs="Times New Roman"/>
                <w:b/>
                <w:iCs/>
              </w:rPr>
              <w:t xml:space="preserve"> (EUR)</w:t>
            </w:r>
          </w:p>
        </w:tc>
      </w:tr>
      <w:tr w:rsidR="00C117F7" w:rsidRPr="008C5F1C" w14:paraId="61ED0EAD" w14:textId="77777777" w:rsidTr="00D0691A">
        <w:tc>
          <w:tcPr>
            <w:tcW w:w="1599" w:type="dxa"/>
            <w:tcBorders>
              <w:top w:val="single" w:sz="4" w:space="0" w:color="auto"/>
              <w:left w:val="single" w:sz="4" w:space="0" w:color="auto"/>
              <w:bottom w:val="single" w:sz="4" w:space="0" w:color="auto"/>
              <w:right w:val="single" w:sz="4" w:space="0" w:color="auto"/>
            </w:tcBorders>
          </w:tcPr>
          <w:p w14:paraId="4D7DAFB5" w14:textId="77777777" w:rsidR="00C117F7" w:rsidRPr="008C5F1C" w:rsidRDefault="00C117F7" w:rsidP="00C117F7">
            <w:pPr>
              <w:rPr>
                <w:rFonts w:ascii="Times New Roman" w:hAnsi="Times New Roman" w:cs="Times New Roman"/>
                <w:b/>
                <w:bCs/>
                <w:iCs/>
              </w:rPr>
            </w:pPr>
            <w:r w:rsidRPr="008C5F1C">
              <w:rPr>
                <w:rFonts w:ascii="Times New Roman" w:hAnsi="Times New Roman" w:cs="Times New Roman"/>
                <w:b/>
                <w:bCs/>
                <w:iCs/>
              </w:rPr>
              <w:t>2</w:t>
            </w:r>
          </w:p>
        </w:tc>
        <w:tc>
          <w:tcPr>
            <w:tcW w:w="1384" w:type="dxa"/>
            <w:tcBorders>
              <w:top w:val="single" w:sz="4" w:space="0" w:color="auto"/>
              <w:left w:val="single" w:sz="4" w:space="0" w:color="auto"/>
              <w:bottom w:val="single" w:sz="4" w:space="0" w:color="auto"/>
              <w:right w:val="single" w:sz="4" w:space="0" w:color="auto"/>
            </w:tcBorders>
          </w:tcPr>
          <w:p w14:paraId="69CA98F4" w14:textId="77777777" w:rsidR="00C117F7" w:rsidRPr="008C5F1C" w:rsidRDefault="00C117F7" w:rsidP="00C117F7">
            <w:pPr>
              <w:rPr>
                <w:rFonts w:ascii="Times New Roman" w:hAnsi="Times New Roman" w:cs="Times New Roman"/>
                <w:b/>
                <w:iCs/>
              </w:rPr>
            </w:pPr>
            <w:r w:rsidRPr="008C5F1C">
              <w:rPr>
                <w:rFonts w:ascii="Times New Roman" w:hAnsi="Times New Roman" w:cs="Times New Roman"/>
                <w:b/>
                <w:iCs/>
              </w:rPr>
              <w:t>ERDF</w:t>
            </w:r>
          </w:p>
        </w:tc>
        <w:tc>
          <w:tcPr>
            <w:tcW w:w="2257" w:type="dxa"/>
            <w:tcBorders>
              <w:top w:val="single" w:sz="4" w:space="0" w:color="auto"/>
              <w:left w:val="single" w:sz="4" w:space="0" w:color="auto"/>
              <w:bottom w:val="single" w:sz="4" w:space="0" w:color="auto"/>
              <w:right w:val="single" w:sz="4" w:space="0" w:color="auto"/>
            </w:tcBorders>
          </w:tcPr>
          <w:p w14:paraId="1C5ABF8E" w14:textId="77777777" w:rsidR="00C117F7" w:rsidRPr="008C5F1C" w:rsidRDefault="00C117F7" w:rsidP="00C117F7">
            <w:pPr>
              <w:rPr>
                <w:rFonts w:ascii="Times New Roman" w:hAnsi="Times New Roman" w:cs="Times New Roman"/>
                <w:b/>
                <w:iCs/>
              </w:rPr>
            </w:pPr>
            <w:proofErr w:type="spellStart"/>
            <w:r w:rsidRPr="008C5F1C">
              <w:rPr>
                <w:rFonts w:ascii="Times New Roman" w:hAnsi="Times New Roman" w:cs="Times New Roman"/>
                <w:b/>
                <w:iCs/>
              </w:rPr>
              <w:t>Less</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developed</w:t>
            </w:r>
            <w:proofErr w:type="spellEnd"/>
          </w:p>
        </w:tc>
        <w:tc>
          <w:tcPr>
            <w:tcW w:w="1956" w:type="dxa"/>
            <w:tcBorders>
              <w:top w:val="single" w:sz="4" w:space="0" w:color="auto"/>
              <w:left w:val="single" w:sz="4" w:space="0" w:color="auto"/>
              <w:bottom w:val="single" w:sz="4" w:space="0" w:color="auto"/>
              <w:right w:val="single" w:sz="4" w:space="0" w:color="auto"/>
            </w:tcBorders>
          </w:tcPr>
          <w:p w14:paraId="6073682D" w14:textId="77777777" w:rsidR="00C117F7" w:rsidRPr="008C5F1C" w:rsidRDefault="00C117F7" w:rsidP="00C117F7">
            <w:pPr>
              <w:rPr>
                <w:rFonts w:ascii="Times New Roman" w:hAnsi="Times New Roman" w:cs="Times New Roman"/>
                <w:b/>
                <w:iCs/>
              </w:rPr>
            </w:pPr>
            <w:r w:rsidRPr="008C5F1C">
              <w:rPr>
                <w:rFonts w:ascii="Times New Roman" w:hAnsi="Times New Roman" w:cs="Times New Roman"/>
                <w:b/>
                <w:iCs/>
              </w:rPr>
              <w:t>001 Grant</w:t>
            </w:r>
          </w:p>
        </w:tc>
        <w:tc>
          <w:tcPr>
            <w:tcW w:w="2175" w:type="dxa"/>
            <w:tcBorders>
              <w:top w:val="single" w:sz="4" w:space="0" w:color="auto"/>
              <w:left w:val="single" w:sz="4" w:space="0" w:color="auto"/>
              <w:bottom w:val="single" w:sz="4" w:space="0" w:color="auto"/>
              <w:right w:val="single" w:sz="4" w:space="0" w:color="auto"/>
            </w:tcBorders>
          </w:tcPr>
          <w:p w14:paraId="46706C06" w14:textId="1C18F3E3" w:rsidR="00C117F7" w:rsidRPr="008C5F1C" w:rsidRDefault="00B04816" w:rsidP="00C117F7">
            <w:pPr>
              <w:jc w:val="right"/>
              <w:rPr>
                <w:rFonts w:ascii="Times New Roman" w:hAnsi="Times New Roman" w:cs="Times New Roman"/>
                <w:b/>
                <w:iCs/>
              </w:rPr>
            </w:pPr>
            <w:r w:rsidRPr="008C5F1C">
              <w:rPr>
                <w:rFonts w:ascii="Times New Roman" w:hAnsi="Times New Roman" w:cs="Times New Roman"/>
                <w:b/>
                <w:iCs/>
              </w:rPr>
              <w:t>117.541.538</w:t>
            </w:r>
          </w:p>
        </w:tc>
      </w:tr>
      <w:tr w:rsidR="00C117F7" w:rsidRPr="008C5F1C" w14:paraId="7F2F60DF" w14:textId="77777777" w:rsidTr="00D0691A">
        <w:tc>
          <w:tcPr>
            <w:tcW w:w="1599" w:type="dxa"/>
            <w:tcBorders>
              <w:top w:val="single" w:sz="4" w:space="0" w:color="auto"/>
              <w:left w:val="single" w:sz="4" w:space="0" w:color="auto"/>
              <w:bottom w:val="single" w:sz="4" w:space="0" w:color="auto"/>
              <w:right w:val="single" w:sz="4" w:space="0" w:color="auto"/>
            </w:tcBorders>
          </w:tcPr>
          <w:p w14:paraId="3D2BCD3F" w14:textId="3DFBF259" w:rsidR="00C117F7" w:rsidRPr="008C5F1C" w:rsidRDefault="00C117F7" w:rsidP="00C117F7">
            <w:pPr>
              <w:rPr>
                <w:rFonts w:ascii="Times New Roman" w:hAnsi="Times New Roman" w:cs="Times New Roman"/>
                <w:b/>
                <w:bCs/>
                <w:iCs/>
              </w:rPr>
            </w:pPr>
            <w:r w:rsidRPr="008C5F1C">
              <w:rPr>
                <w:rFonts w:ascii="Times New Roman" w:hAnsi="Times New Roman" w:cs="Times New Roman"/>
                <w:b/>
                <w:bCs/>
                <w:iCs/>
              </w:rPr>
              <w:t>2</w:t>
            </w:r>
          </w:p>
        </w:tc>
        <w:tc>
          <w:tcPr>
            <w:tcW w:w="1384" w:type="dxa"/>
            <w:tcBorders>
              <w:top w:val="single" w:sz="4" w:space="0" w:color="auto"/>
              <w:left w:val="single" w:sz="4" w:space="0" w:color="auto"/>
              <w:bottom w:val="single" w:sz="4" w:space="0" w:color="auto"/>
              <w:right w:val="single" w:sz="4" w:space="0" w:color="auto"/>
            </w:tcBorders>
          </w:tcPr>
          <w:p w14:paraId="546DB830" w14:textId="7AA0E04A" w:rsidR="00C117F7" w:rsidRPr="008C5F1C" w:rsidRDefault="00C117F7" w:rsidP="00C117F7">
            <w:pPr>
              <w:rPr>
                <w:rFonts w:ascii="Times New Roman" w:hAnsi="Times New Roman" w:cs="Times New Roman"/>
                <w:b/>
                <w:iCs/>
              </w:rPr>
            </w:pPr>
            <w:r w:rsidRPr="008C5F1C">
              <w:rPr>
                <w:rFonts w:ascii="Times New Roman" w:hAnsi="Times New Roman" w:cs="Times New Roman"/>
                <w:b/>
                <w:iCs/>
              </w:rPr>
              <w:t>CN</w:t>
            </w:r>
          </w:p>
        </w:tc>
        <w:tc>
          <w:tcPr>
            <w:tcW w:w="2257" w:type="dxa"/>
            <w:tcBorders>
              <w:top w:val="single" w:sz="4" w:space="0" w:color="auto"/>
              <w:left w:val="single" w:sz="4" w:space="0" w:color="auto"/>
              <w:bottom w:val="single" w:sz="4" w:space="0" w:color="auto"/>
              <w:right w:val="single" w:sz="4" w:space="0" w:color="auto"/>
            </w:tcBorders>
          </w:tcPr>
          <w:p w14:paraId="103FDC29" w14:textId="0ED916B0" w:rsidR="00C117F7" w:rsidRPr="008C5F1C" w:rsidRDefault="00C117F7" w:rsidP="00C117F7">
            <w:pPr>
              <w:rPr>
                <w:rFonts w:ascii="Times New Roman" w:hAnsi="Times New Roman" w:cs="Times New Roman"/>
                <w:b/>
                <w:iCs/>
              </w:rPr>
            </w:pPr>
            <w:proofErr w:type="spellStart"/>
            <w:r w:rsidRPr="008C5F1C">
              <w:rPr>
                <w:rFonts w:ascii="Times New Roman" w:hAnsi="Times New Roman" w:cs="Times New Roman"/>
                <w:b/>
                <w:iCs/>
              </w:rPr>
              <w:t>Less</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developed</w:t>
            </w:r>
            <w:proofErr w:type="spellEnd"/>
          </w:p>
        </w:tc>
        <w:tc>
          <w:tcPr>
            <w:tcW w:w="1956" w:type="dxa"/>
            <w:tcBorders>
              <w:top w:val="single" w:sz="4" w:space="0" w:color="auto"/>
              <w:left w:val="single" w:sz="4" w:space="0" w:color="auto"/>
              <w:bottom w:val="single" w:sz="4" w:space="0" w:color="auto"/>
              <w:right w:val="single" w:sz="4" w:space="0" w:color="auto"/>
            </w:tcBorders>
          </w:tcPr>
          <w:p w14:paraId="7CEDD8BF" w14:textId="39482246" w:rsidR="00C117F7" w:rsidRPr="008C5F1C" w:rsidRDefault="00C117F7" w:rsidP="00C117F7">
            <w:pPr>
              <w:rPr>
                <w:rFonts w:ascii="Times New Roman" w:hAnsi="Times New Roman" w:cs="Times New Roman"/>
                <w:b/>
                <w:iCs/>
              </w:rPr>
            </w:pPr>
            <w:r w:rsidRPr="008C5F1C">
              <w:rPr>
                <w:rFonts w:ascii="Times New Roman" w:hAnsi="Times New Roman" w:cs="Times New Roman"/>
                <w:b/>
                <w:iCs/>
              </w:rPr>
              <w:t>001 Grant</w:t>
            </w:r>
          </w:p>
        </w:tc>
        <w:tc>
          <w:tcPr>
            <w:tcW w:w="2175" w:type="dxa"/>
            <w:tcBorders>
              <w:top w:val="single" w:sz="4" w:space="0" w:color="auto"/>
              <w:left w:val="single" w:sz="4" w:space="0" w:color="auto"/>
              <w:bottom w:val="single" w:sz="4" w:space="0" w:color="auto"/>
              <w:right w:val="single" w:sz="4" w:space="0" w:color="auto"/>
            </w:tcBorders>
          </w:tcPr>
          <w:p w14:paraId="4BA11F02" w14:textId="5585F2EA" w:rsidR="00C117F7" w:rsidRPr="008C5F1C" w:rsidRDefault="00B04816" w:rsidP="00C117F7">
            <w:pPr>
              <w:jc w:val="right"/>
              <w:rPr>
                <w:rFonts w:ascii="Times New Roman" w:hAnsi="Times New Roman" w:cs="Times New Roman"/>
                <w:b/>
                <w:iCs/>
              </w:rPr>
            </w:pPr>
            <w:r w:rsidRPr="008C5F1C">
              <w:rPr>
                <w:rFonts w:ascii="Times New Roman" w:hAnsi="Times New Roman" w:cs="Times New Roman"/>
                <w:b/>
                <w:iCs/>
              </w:rPr>
              <w:t>20.742</w:t>
            </w:r>
            <w:r w:rsidR="00A418DD" w:rsidRPr="008C5F1C">
              <w:rPr>
                <w:rFonts w:ascii="Times New Roman" w:hAnsi="Times New Roman" w:cs="Times New Roman"/>
                <w:b/>
                <w:iCs/>
              </w:rPr>
              <w:t>.</w:t>
            </w:r>
            <w:r w:rsidRPr="008C5F1C">
              <w:rPr>
                <w:rFonts w:ascii="Times New Roman" w:hAnsi="Times New Roman" w:cs="Times New Roman"/>
                <w:b/>
                <w:iCs/>
              </w:rPr>
              <w:t>624</w:t>
            </w:r>
          </w:p>
        </w:tc>
      </w:tr>
    </w:tbl>
    <w:p w14:paraId="5E58DD49" w14:textId="77777777" w:rsidR="00653571" w:rsidRPr="008C5F1C" w:rsidRDefault="00653571" w:rsidP="00653571">
      <w:pPr>
        <w:rPr>
          <w:rFonts w:ascii="Times New Roman" w:hAnsi="Times New Roman" w:cs="Times New Roman"/>
          <w:b/>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2824"/>
        <w:gridCol w:w="1134"/>
        <w:gridCol w:w="2094"/>
      </w:tblGrid>
      <w:tr w:rsidR="00653571" w:rsidRPr="008C5F1C" w14:paraId="0E0B1231" w14:textId="77777777" w:rsidTr="00534127">
        <w:tc>
          <w:tcPr>
            <w:tcW w:w="9035" w:type="dxa"/>
            <w:gridSpan w:val="5"/>
            <w:tcBorders>
              <w:top w:val="single" w:sz="4" w:space="0" w:color="auto"/>
              <w:left w:val="single" w:sz="4" w:space="0" w:color="auto"/>
              <w:bottom w:val="single" w:sz="4" w:space="0" w:color="auto"/>
              <w:right w:val="single" w:sz="4" w:space="0" w:color="auto"/>
            </w:tcBorders>
            <w:hideMark/>
          </w:tcPr>
          <w:p w14:paraId="122E1C94"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Table 6: </w:t>
            </w:r>
            <w:proofErr w:type="spellStart"/>
            <w:r w:rsidRPr="008C5F1C">
              <w:rPr>
                <w:rFonts w:ascii="Times New Roman" w:hAnsi="Times New Roman" w:cs="Times New Roman"/>
                <w:b/>
                <w:iCs/>
              </w:rPr>
              <w:t>Dimension</w:t>
            </w:r>
            <w:proofErr w:type="spellEnd"/>
            <w:r w:rsidRPr="008C5F1C">
              <w:rPr>
                <w:rFonts w:ascii="Times New Roman" w:hAnsi="Times New Roman" w:cs="Times New Roman"/>
                <w:b/>
                <w:iCs/>
              </w:rPr>
              <w:t xml:space="preserve"> 3 – </w:t>
            </w:r>
            <w:proofErr w:type="spellStart"/>
            <w:r w:rsidRPr="008C5F1C">
              <w:rPr>
                <w:rFonts w:ascii="Times New Roman" w:hAnsi="Times New Roman" w:cs="Times New Roman"/>
                <w:b/>
                <w:iCs/>
              </w:rPr>
              <w:t>territorial</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delivery</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mechanism</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and</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territorial</w:t>
            </w:r>
            <w:proofErr w:type="spellEnd"/>
            <w:r w:rsidRPr="008C5F1C">
              <w:rPr>
                <w:rFonts w:ascii="Times New Roman" w:hAnsi="Times New Roman" w:cs="Times New Roman"/>
                <w:b/>
                <w:iCs/>
              </w:rPr>
              <w:t xml:space="preserve"> focus</w:t>
            </w:r>
          </w:p>
        </w:tc>
      </w:tr>
      <w:tr w:rsidR="00653571" w:rsidRPr="008C5F1C" w14:paraId="0A393D7F" w14:textId="77777777" w:rsidTr="009A2F43">
        <w:tc>
          <w:tcPr>
            <w:tcW w:w="1599" w:type="dxa"/>
            <w:tcBorders>
              <w:top w:val="single" w:sz="4" w:space="0" w:color="auto"/>
              <w:left w:val="single" w:sz="4" w:space="0" w:color="auto"/>
              <w:bottom w:val="single" w:sz="4" w:space="0" w:color="auto"/>
              <w:right w:val="single" w:sz="4" w:space="0" w:color="auto"/>
            </w:tcBorders>
            <w:hideMark/>
          </w:tcPr>
          <w:p w14:paraId="59C58CA9"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Priority</w:t>
            </w:r>
            <w:proofErr w:type="spellEnd"/>
            <w:r w:rsidRPr="008C5F1C">
              <w:rPr>
                <w:rFonts w:ascii="Times New Roman" w:hAnsi="Times New Roman" w:cs="Times New Roman"/>
                <w:b/>
                <w:iCs/>
              </w:rPr>
              <w:t xml:space="preserve"> No</w:t>
            </w:r>
          </w:p>
        </w:tc>
        <w:tc>
          <w:tcPr>
            <w:tcW w:w="1384" w:type="dxa"/>
            <w:tcBorders>
              <w:top w:val="single" w:sz="4" w:space="0" w:color="auto"/>
              <w:left w:val="single" w:sz="4" w:space="0" w:color="auto"/>
              <w:bottom w:val="single" w:sz="4" w:space="0" w:color="auto"/>
              <w:right w:val="single" w:sz="4" w:space="0" w:color="auto"/>
            </w:tcBorders>
            <w:hideMark/>
          </w:tcPr>
          <w:p w14:paraId="0AB20557"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Fund</w:t>
            </w:r>
          </w:p>
        </w:tc>
        <w:tc>
          <w:tcPr>
            <w:tcW w:w="2824" w:type="dxa"/>
            <w:tcBorders>
              <w:top w:val="single" w:sz="4" w:space="0" w:color="auto"/>
              <w:left w:val="single" w:sz="4" w:space="0" w:color="auto"/>
              <w:bottom w:val="single" w:sz="4" w:space="0" w:color="auto"/>
              <w:right w:val="single" w:sz="4" w:space="0" w:color="auto"/>
            </w:tcBorders>
            <w:hideMark/>
          </w:tcPr>
          <w:p w14:paraId="6A839B31"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Category</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region</w:t>
            </w:r>
            <w:proofErr w:type="spellEnd"/>
            <w:r w:rsidRPr="008C5F1C">
              <w:rPr>
                <w:rFonts w:ascii="Times New Roman" w:hAnsi="Times New Roman" w:cs="Times New Roman"/>
                <w:b/>
                <w:iCs/>
                <w:vertAlign w:val="superscript"/>
              </w:rPr>
              <w:footnoteReference w:id="47"/>
            </w:r>
          </w:p>
        </w:tc>
        <w:tc>
          <w:tcPr>
            <w:tcW w:w="1134" w:type="dxa"/>
            <w:tcBorders>
              <w:top w:val="single" w:sz="4" w:space="0" w:color="auto"/>
              <w:left w:val="single" w:sz="4" w:space="0" w:color="auto"/>
              <w:bottom w:val="single" w:sz="4" w:space="0" w:color="auto"/>
              <w:right w:val="single" w:sz="4" w:space="0" w:color="auto"/>
            </w:tcBorders>
            <w:hideMark/>
          </w:tcPr>
          <w:p w14:paraId="55E596AB"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Code </w:t>
            </w:r>
          </w:p>
        </w:tc>
        <w:tc>
          <w:tcPr>
            <w:tcW w:w="2094" w:type="dxa"/>
            <w:tcBorders>
              <w:top w:val="single" w:sz="4" w:space="0" w:color="auto"/>
              <w:left w:val="single" w:sz="4" w:space="0" w:color="auto"/>
              <w:bottom w:val="single" w:sz="4" w:space="0" w:color="auto"/>
              <w:right w:val="single" w:sz="4" w:space="0" w:color="auto"/>
            </w:tcBorders>
            <w:hideMark/>
          </w:tcPr>
          <w:p w14:paraId="63D1FF3A"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Amount</w:t>
            </w:r>
            <w:proofErr w:type="spellEnd"/>
            <w:r w:rsidRPr="008C5F1C">
              <w:rPr>
                <w:rFonts w:ascii="Times New Roman" w:hAnsi="Times New Roman" w:cs="Times New Roman"/>
                <w:b/>
                <w:iCs/>
              </w:rPr>
              <w:t xml:space="preserve"> (EUR)</w:t>
            </w:r>
          </w:p>
        </w:tc>
      </w:tr>
      <w:tr w:rsidR="009A2F43" w:rsidRPr="008C5F1C" w14:paraId="18085888" w14:textId="77777777" w:rsidTr="0044621F">
        <w:tc>
          <w:tcPr>
            <w:tcW w:w="1599" w:type="dxa"/>
            <w:tcBorders>
              <w:top w:val="single" w:sz="4" w:space="0" w:color="auto"/>
              <w:left w:val="single" w:sz="4" w:space="0" w:color="auto"/>
              <w:bottom w:val="single" w:sz="4" w:space="0" w:color="auto"/>
              <w:right w:val="single" w:sz="4" w:space="0" w:color="auto"/>
            </w:tcBorders>
          </w:tcPr>
          <w:p w14:paraId="50F8FA6A" w14:textId="5C90474F" w:rsidR="009A2F43" w:rsidRPr="008C5F1C" w:rsidRDefault="009A2F43" w:rsidP="009A2F43">
            <w:pPr>
              <w:rPr>
                <w:rFonts w:ascii="Times New Roman" w:hAnsi="Times New Roman" w:cs="Times New Roman"/>
                <w:b/>
                <w:iCs/>
              </w:rPr>
            </w:pPr>
            <w:r w:rsidRPr="008C5F1C">
              <w:rPr>
                <w:rFonts w:ascii="Times New Roman" w:hAnsi="Times New Roman" w:cs="Times New Roman"/>
                <w:b/>
                <w:bCs/>
                <w:iCs/>
              </w:rPr>
              <w:lastRenderedPageBreak/>
              <w:t>2</w:t>
            </w:r>
          </w:p>
        </w:tc>
        <w:tc>
          <w:tcPr>
            <w:tcW w:w="1384" w:type="dxa"/>
            <w:tcBorders>
              <w:top w:val="single" w:sz="4" w:space="0" w:color="auto"/>
              <w:left w:val="single" w:sz="4" w:space="0" w:color="auto"/>
              <w:bottom w:val="single" w:sz="4" w:space="0" w:color="auto"/>
              <w:right w:val="single" w:sz="4" w:space="0" w:color="auto"/>
            </w:tcBorders>
          </w:tcPr>
          <w:p w14:paraId="7AABA712" w14:textId="260C8C79" w:rsidR="009A2F43" w:rsidRPr="008C5F1C" w:rsidRDefault="009A2F43" w:rsidP="009A2F43">
            <w:pPr>
              <w:rPr>
                <w:rFonts w:ascii="Times New Roman" w:hAnsi="Times New Roman" w:cs="Times New Roman"/>
                <w:b/>
                <w:iCs/>
              </w:rPr>
            </w:pPr>
            <w:r w:rsidRPr="008C5F1C">
              <w:rPr>
                <w:rFonts w:ascii="Times New Roman" w:hAnsi="Times New Roman" w:cs="Times New Roman"/>
                <w:b/>
                <w:iCs/>
              </w:rPr>
              <w:t>ERDF</w:t>
            </w:r>
          </w:p>
        </w:tc>
        <w:tc>
          <w:tcPr>
            <w:tcW w:w="2824" w:type="dxa"/>
            <w:tcBorders>
              <w:top w:val="single" w:sz="4" w:space="0" w:color="auto"/>
              <w:left w:val="single" w:sz="4" w:space="0" w:color="auto"/>
              <w:bottom w:val="single" w:sz="4" w:space="0" w:color="auto"/>
              <w:right w:val="single" w:sz="4" w:space="0" w:color="auto"/>
            </w:tcBorders>
          </w:tcPr>
          <w:p w14:paraId="26355354" w14:textId="4A75D194" w:rsidR="009A2F43" w:rsidRPr="008C5F1C" w:rsidRDefault="009A2F43" w:rsidP="009A2F43">
            <w:pPr>
              <w:rPr>
                <w:rFonts w:ascii="Times New Roman" w:hAnsi="Times New Roman" w:cs="Times New Roman"/>
                <w:b/>
                <w:iCs/>
              </w:rPr>
            </w:pPr>
            <w:proofErr w:type="spellStart"/>
            <w:r w:rsidRPr="008C5F1C">
              <w:rPr>
                <w:rFonts w:ascii="Times New Roman" w:hAnsi="Times New Roman" w:cs="Times New Roman"/>
                <w:b/>
                <w:iCs/>
              </w:rPr>
              <w:t>Less</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developed</w:t>
            </w:r>
            <w:proofErr w:type="spellEnd"/>
          </w:p>
        </w:tc>
        <w:tc>
          <w:tcPr>
            <w:tcW w:w="1134" w:type="dxa"/>
            <w:tcBorders>
              <w:top w:val="single" w:sz="4" w:space="0" w:color="auto"/>
              <w:left w:val="single" w:sz="4" w:space="0" w:color="auto"/>
              <w:bottom w:val="single" w:sz="4" w:space="0" w:color="auto"/>
              <w:right w:val="single" w:sz="4" w:space="0" w:color="auto"/>
            </w:tcBorders>
          </w:tcPr>
          <w:p w14:paraId="66CA85AB" w14:textId="2EF40C90" w:rsidR="009A2F43" w:rsidRPr="008C5F1C" w:rsidRDefault="00205B19" w:rsidP="009A2F43">
            <w:pPr>
              <w:rPr>
                <w:rFonts w:ascii="Times New Roman" w:hAnsi="Times New Roman" w:cs="Times New Roman"/>
                <w:b/>
                <w:iCs/>
              </w:rPr>
            </w:pPr>
            <w:r w:rsidRPr="008C5F1C">
              <w:rPr>
                <w:rFonts w:ascii="Times New Roman" w:hAnsi="Times New Roman" w:cs="Times New Roman"/>
                <w:b/>
                <w:iCs/>
              </w:rPr>
              <w:t>31, 32, 33</w:t>
            </w:r>
          </w:p>
        </w:tc>
        <w:tc>
          <w:tcPr>
            <w:tcW w:w="2094" w:type="dxa"/>
            <w:tcBorders>
              <w:top w:val="single" w:sz="4" w:space="0" w:color="auto"/>
              <w:left w:val="single" w:sz="4" w:space="0" w:color="auto"/>
              <w:bottom w:val="single" w:sz="4" w:space="0" w:color="auto"/>
              <w:right w:val="single" w:sz="4" w:space="0" w:color="auto"/>
            </w:tcBorders>
          </w:tcPr>
          <w:p w14:paraId="279EF421" w14:textId="0B118EE2" w:rsidR="009A2F43" w:rsidRPr="008C5F1C" w:rsidRDefault="00EC2B87" w:rsidP="00C117F7">
            <w:pPr>
              <w:jc w:val="right"/>
              <w:rPr>
                <w:rFonts w:ascii="Times New Roman" w:hAnsi="Times New Roman" w:cs="Times New Roman"/>
                <w:b/>
                <w:iCs/>
              </w:rPr>
            </w:pPr>
            <w:r w:rsidRPr="008C5F1C">
              <w:rPr>
                <w:rFonts w:ascii="Times New Roman" w:hAnsi="Times New Roman" w:cs="Times New Roman"/>
                <w:b/>
                <w:iCs/>
              </w:rPr>
              <w:t>79.606.06</w:t>
            </w:r>
            <w:r w:rsidR="00357AF6">
              <w:rPr>
                <w:rFonts w:ascii="Times New Roman" w:hAnsi="Times New Roman" w:cs="Times New Roman"/>
                <w:b/>
                <w:iCs/>
              </w:rPr>
              <w:t>7</w:t>
            </w:r>
          </w:p>
        </w:tc>
      </w:tr>
    </w:tbl>
    <w:p w14:paraId="133908EA" w14:textId="77777777" w:rsidR="00653571" w:rsidRPr="008C5F1C" w:rsidRDefault="00653571" w:rsidP="00653571">
      <w:pPr>
        <w:rPr>
          <w:rFonts w:ascii="Times New Roman" w:hAnsi="Times New Roman" w:cs="Times New Roman"/>
          <w:b/>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2257"/>
        <w:gridCol w:w="1053"/>
        <w:gridCol w:w="2175"/>
      </w:tblGrid>
      <w:tr w:rsidR="00653571" w:rsidRPr="008C5F1C" w14:paraId="3E2C981D" w14:textId="77777777" w:rsidTr="00534127">
        <w:tc>
          <w:tcPr>
            <w:tcW w:w="8468" w:type="dxa"/>
            <w:gridSpan w:val="5"/>
            <w:tcBorders>
              <w:top w:val="single" w:sz="4" w:space="0" w:color="auto"/>
              <w:left w:val="single" w:sz="4" w:space="0" w:color="auto"/>
              <w:bottom w:val="single" w:sz="4" w:space="0" w:color="auto"/>
              <w:right w:val="single" w:sz="4" w:space="0" w:color="auto"/>
            </w:tcBorders>
            <w:hideMark/>
          </w:tcPr>
          <w:p w14:paraId="0E17B2A2"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Table 7: </w:t>
            </w:r>
            <w:proofErr w:type="spellStart"/>
            <w:r w:rsidRPr="008C5F1C">
              <w:rPr>
                <w:rFonts w:ascii="Times New Roman" w:hAnsi="Times New Roman" w:cs="Times New Roman"/>
                <w:b/>
                <w:iCs/>
              </w:rPr>
              <w:t>Dimension</w:t>
            </w:r>
            <w:proofErr w:type="spellEnd"/>
            <w:r w:rsidRPr="008C5F1C">
              <w:rPr>
                <w:rFonts w:ascii="Times New Roman" w:hAnsi="Times New Roman" w:cs="Times New Roman"/>
                <w:b/>
                <w:iCs/>
              </w:rPr>
              <w:t xml:space="preserve"> 6 – ESF+ </w:t>
            </w:r>
            <w:proofErr w:type="spellStart"/>
            <w:r w:rsidRPr="008C5F1C">
              <w:rPr>
                <w:rFonts w:ascii="Times New Roman" w:hAnsi="Times New Roman" w:cs="Times New Roman"/>
                <w:b/>
                <w:iCs/>
              </w:rPr>
              <w:t>secondary</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themes</w:t>
            </w:r>
            <w:proofErr w:type="spellEnd"/>
          </w:p>
        </w:tc>
      </w:tr>
      <w:tr w:rsidR="00653571" w:rsidRPr="008C5F1C" w14:paraId="7520FB45" w14:textId="77777777" w:rsidTr="00534127">
        <w:tc>
          <w:tcPr>
            <w:tcW w:w="1599" w:type="dxa"/>
            <w:tcBorders>
              <w:top w:val="single" w:sz="4" w:space="0" w:color="auto"/>
              <w:left w:val="single" w:sz="4" w:space="0" w:color="auto"/>
              <w:bottom w:val="single" w:sz="4" w:space="0" w:color="auto"/>
              <w:right w:val="single" w:sz="4" w:space="0" w:color="auto"/>
            </w:tcBorders>
            <w:hideMark/>
          </w:tcPr>
          <w:p w14:paraId="4FD47144"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Priority</w:t>
            </w:r>
            <w:proofErr w:type="spellEnd"/>
            <w:r w:rsidRPr="008C5F1C">
              <w:rPr>
                <w:rFonts w:ascii="Times New Roman" w:hAnsi="Times New Roman" w:cs="Times New Roman"/>
                <w:b/>
                <w:iCs/>
              </w:rPr>
              <w:t xml:space="preserve"> No</w:t>
            </w:r>
          </w:p>
        </w:tc>
        <w:tc>
          <w:tcPr>
            <w:tcW w:w="1384" w:type="dxa"/>
            <w:tcBorders>
              <w:top w:val="single" w:sz="4" w:space="0" w:color="auto"/>
              <w:left w:val="single" w:sz="4" w:space="0" w:color="auto"/>
              <w:bottom w:val="single" w:sz="4" w:space="0" w:color="auto"/>
              <w:right w:val="single" w:sz="4" w:space="0" w:color="auto"/>
            </w:tcBorders>
            <w:hideMark/>
          </w:tcPr>
          <w:p w14:paraId="240A2AA7"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Fund</w:t>
            </w:r>
          </w:p>
        </w:tc>
        <w:tc>
          <w:tcPr>
            <w:tcW w:w="2257" w:type="dxa"/>
            <w:tcBorders>
              <w:top w:val="single" w:sz="4" w:space="0" w:color="auto"/>
              <w:left w:val="single" w:sz="4" w:space="0" w:color="auto"/>
              <w:bottom w:val="single" w:sz="4" w:space="0" w:color="auto"/>
              <w:right w:val="single" w:sz="4" w:space="0" w:color="auto"/>
            </w:tcBorders>
            <w:hideMark/>
          </w:tcPr>
          <w:p w14:paraId="35130031"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Category</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region</w:t>
            </w:r>
            <w:proofErr w:type="spellEnd"/>
          </w:p>
        </w:tc>
        <w:tc>
          <w:tcPr>
            <w:tcW w:w="1053" w:type="dxa"/>
            <w:tcBorders>
              <w:top w:val="single" w:sz="4" w:space="0" w:color="auto"/>
              <w:left w:val="single" w:sz="4" w:space="0" w:color="auto"/>
              <w:bottom w:val="single" w:sz="4" w:space="0" w:color="auto"/>
              <w:right w:val="single" w:sz="4" w:space="0" w:color="auto"/>
            </w:tcBorders>
            <w:hideMark/>
          </w:tcPr>
          <w:p w14:paraId="34FB2221"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Code </w:t>
            </w:r>
          </w:p>
        </w:tc>
        <w:tc>
          <w:tcPr>
            <w:tcW w:w="2175" w:type="dxa"/>
            <w:tcBorders>
              <w:top w:val="single" w:sz="4" w:space="0" w:color="auto"/>
              <w:left w:val="single" w:sz="4" w:space="0" w:color="auto"/>
              <w:bottom w:val="single" w:sz="4" w:space="0" w:color="auto"/>
              <w:right w:val="single" w:sz="4" w:space="0" w:color="auto"/>
            </w:tcBorders>
            <w:hideMark/>
          </w:tcPr>
          <w:p w14:paraId="21592D06"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Amount</w:t>
            </w:r>
            <w:proofErr w:type="spellEnd"/>
            <w:r w:rsidRPr="008C5F1C">
              <w:rPr>
                <w:rFonts w:ascii="Times New Roman" w:hAnsi="Times New Roman" w:cs="Times New Roman"/>
                <w:b/>
                <w:iCs/>
              </w:rPr>
              <w:t xml:space="preserve"> (EUR)</w:t>
            </w:r>
          </w:p>
        </w:tc>
      </w:tr>
      <w:tr w:rsidR="00653571" w:rsidRPr="008C5F1C" w14:paraId="236E63C9" w14:textId="77777777" w:rsidTr="00534127">
        <w:tc>
          <w:tcPr>
            <w:tcW w:w="1599" w:type="dxa"/>
            <w:tcBorders>
              <w:top w:val="single" w:sz="4" w:space="0" w:color="auto"/>
              <w:left w:val="single" w:sz="4" w:space="0" w:color="auto"/>
              <w:bottom w:val="single" w:sz="4" w:space="0" w:color="auto"/>
              <w:right w:val="single" w:sz="4" w:space="0" w:color="auto"/>
            </w:tcBorders>
          </w:tcPr>
          <w:p w14:paraId="0D5479D6" w14:textId="77777777" w:rsidR="00653571" w:rsidRPr="008C5F1C" w:rsidRDefault="00653571" w:rsidP="00534127">
            <w:pPr>
              <w:rPr>
                <w:rFonts w:ascii="Times New Roman" w:hAnsi="Times New Roman" w:cs="Times New Roman"/>
                <w:b/>
                <w:iCs/>
              </w:rPr>
            </w:pPr>
          </w:p>
        </w:tc>
        <w:tc>
          <w:tcPr>
            <w:tcW w:w="1384" w:type="dxa"/>
            <w:tcBorders>
              <w:top w:val="single" w:sz="4" w:space="0" w:color="auto"/>
              <w:left w:val="single" w:sz="4" w:space="0" w:color="auto"/>
              <w:bottom w:val="single" w:sz="4" w:space="0" w:color="auto"/>
              <w:right w:val="single" w:sz="4" w:space="0" w:color="auto"/>
            </w:tcBorders>
          </w:tcPr>
          <w:p w14:paraId="7CD2AC47" w14:textId="77777777" w:rsidR="00653571" w:rsidRPr="008C5F1C" w:rsidRDefault="00653571" w:rsidP="00534127">
            <w:pPr>
              <w:rPr>
                <w:rFonts w:ascii="Times New Roman" w:hAnsi="Times New Roman" w:cs="Times New Roman"/>
                <w:b/>
                <w:iCs/>
              </w:rPr>
            </w:pPr>
          </w:p>
        </w:tc>
        <w:tc>
          <w:tcPr>
            <w:tcW w:w="2257" w:type="dxa"/>
            <w:tcBorders>
              <w:top w:val="single" w:sz="4" w:space="0" w:color="auto"/>
              <w:left w:val="single" w:sz="4" w:space="0" w:color="auto"/>
              <w:bottom w:val="single" w:sz="4" w:space="0" w:color="auto"/>
              <w:right w:val="single" w:sz="4" w:space="0" w:color="auto"/>
            </w:tcBorders>
          </w:tcPr>
          <w:p w14:paraId="39282012" w14:textId="77777777" w:rsidR="00653571" w:rsidRPr="008C5F1C" w:rsidRDefault="00653571" w:rsidP="00534127">
            <w:pPr>
              <w:rPr>
                <w:rFonts w:ascii="Times New Roman" w:hAnsi="Times New Roman" w:cs="Times New Roman"/>
                <w:b/>
                <w:iCs/>
              </w:rPr>
            </w:pPr>
          </w:p>
        </w:tc>
        <w:tc>
          <w:tcPr>
            <w:tcW w:w="1053" w:type="dxa"/>
            <w:tcBorders>
              <w:top w:val="single" w:sz="4" w:space="0" w:color="auto"/>
              <w:left w:val="single" w:sz="4" w:space="0" w:color="auto"/>
              <w:bottom w:val="single" w:sz="4" w:space="0" w:color="auto"/>
              <w:right w:val="single" w:sz="4" w:space="0" w:color="auto"/>
            </w:tcBorders>
          </w:tcPr>
          <w:p w14:paraId="53632B2E" w14:textId="77777777" w:rsidR="00653571" w:rsidRPr="008C5F1C" w:rsidRDefault="00653571" w:rsidP="00534127">
            <w:pPr>
              <w:rPr>
                <w:rFonts w:ascii="Times New Roman" w:hAnsi="Times New Roman" w:cs="Times New Roman"/>
                <w:b/>
                <w:iCs/>
              </w:rPr>
            </w:pPr>
          </w:p>
        </w:tc>
        <w:tc>
          <w:tcPr>
            <w:tcW w:w="2175" w:type="dxa"/>
            <w:tcBorders>
              <w:top w:val="single" w:sz="4" w:space="0" w:color="auto"/>
              <w:left w:val="single" w:sz="4" w:space="0" w:color="auto"/>
              <w:bottom w:val="single" w:sz="4" w:space="0" w:color="auto"/>
              <w:right w:val="single" w:sz="4" w:space="0" w:color="auto"/>
            </w:tcBorders>
          </w:tcPr>
          <w:p w14:paraId="1E7C58FB" w14:textId="77777777" w:rsidR="00653571" w:rsidRPr="008C5F1C" w:rsidRDefault="00653571" w:rsidP="00534127">
            <w:pPr>
              <w:rPr>
                <w:rFonts w:ascii="Times New Roman" w:hAnsi="Times New Roman" w:cs="Times New Roman"/>
                <w:b/>
                <w:iCs/>
              </w:rPr>
            </w:pPr>
          </w:p>
        </w:tc>
      </w:tr>
    </w:tbl>
    <w:p w14:paraId="5CF6DE40" w14:textId="77777777" w:rsidR="00653571" w:rsidRPr="008C5F1C" w:rsidRDefault="00653571" w:rsidP="00653571">
      <w:pPr>
        <w:rPr>
          <w:rFonts w:ascii="Times New Roman" w:hAnsi="Times New Roman" w:cs="Times New Roman"/>
        </w:rPr>
      </w:pPr>
    </w:p>
    <w:p w14:paraId="05B91AFD" w14:textId="77777777" w:rsidR="00653571" w:rsidRPr="008C5F1C" w:rsidRDefault="00653571" w:rsidP="00653571">
      <w:pPr>
        <w:pStyle w:val="Heading3"/>
        <w:numPr>
          <w:ilvl w:val="0"/>
          <w:numId w:val="0"/>
        </w:numPr>
        <w:shd w:val="clear" w:color="auto" w:fill="B4C6E7" w:themeFill="accent1" w:themeFillTint="66"/>
        <w:rPr>
          <w:rFonts w:cs="Times New Roman"/>
          <w:noProof/>
          <w:lang w:val="ro-RO"/>
        </w:rPr>
      </w:pPr>
      <w:bookmarkStart w:id="115" w:name="_Toc39840933"/>
      <w:r w:rsidRPr="008C5F1C">
        <w:rPr>
          <w:rFonts w:cs="Times New Roman"/>
          <w:noProof/>
          <w:lang w:val="ro-RO"/>
        </w:rPr>
        <w:t>2.A.3 OS a (ii) Fructificarea avantajelor digitaliz</w:t>
      </w:r>
      <w:r w:rsidR="00BA7827" w:rsidRPr="008C5F1C">
        <w:rPr>
          <w:rFonts w:cs="Times New Roman"/>
          <w:noProof/>
          <w:lang w:val="ro-RO"/>
        </w:rPr>
        <w:t>ă</w:t>
      </w:r>
      <w:r w:rsidRPr="008C5F1C">
        <w:rPr>
          <w:rFonts w:cs="Times New Roman"/>
          <w:noProof/>
          <w:lang w:val="ro-RO"/>
        </w:rPr>
        <w:t>rii, în beneficiul cet</w:t>
      </w:r>
      <w:r w:rsidR="00BA7827" w:rsidRPr="008C5F1C">
        <w:rPr>
          <w:rFonts w:cs="Times New Roman"/>
          <w:noProof/>
          <w:lang w:val="ro-RO"/>
        </w:rPr>
        <w:t>ă</w:t>
      </w:r>
      <w:r w:rsidR="00E22FF2" w:rsidRPr="008C5F1C">
        <w:rPr>
          <w:rFonts w:cs="Times New Roman"/>
          <w:noProof/>
          <w:lang w:val="ro-RO"/>
        </w:rPr>
        <w:t>ț</w:t>
      </w:r>
      <w:r w:rsidRPr="008C5F1C">
        <w:rPr>
          <w:rFonts w:cs="Times New Roman"/>
          <w:noProof/>
          <w:lang w:val="ro-RO"/>
        </w:rPr>
        <w:t xml:space="preserve">enilor, al companiilor </w:t>
      </w:r>
      <w:r w:rsidR="00106240" w:rsidRPr="008C5F1C">
        <w:rPr>
          <w:rFonts w:cs="Times New Roman"/>
          <w:noProof/>
          <w:lang w:val="ro-RO"/>
        </w:rPr>
        <w:t>ș</w:t>
      </w:r>
      <w:r w:rsidRPr="008C5F1C">
        <w:rPr>
          <w:rFonts w:cs="Times New Roman"/>
          <w:noProof/>
          <w:lang w:val="ro-RO"/>
        </w:rPr>
        <w:t>i al guvernelor</w:t>
      </w:r>
      <w:bookmarkEnd w:id="115"/>
    </w:p>
    <w:p w14:paraId="294D184E" w14:textId="77777777" w:rsidR="00653571" w:rsidRPr="008C5F1C" w:rsidRDefault="00653571" w:rsidP="00653571">
      <w:pPr>
        <w:pStyle w:val="Heading4"/>
        <w:numPr>
          <w:ilvl w:val="0"/>
          <w:numId w:val="0"/>
        </w:numPr>
        <w:ind w:left="851" w:hanging="851"/>
        <w:rPr>
          <w:rFonts w:cs="Times New Roman"/>
          <w:b/>
          <w:bCs/>
          <w:noProof/>
          <w:lang w:val="ro-RO"/>
        </w:rPr>
      </w:pPr>
      <w:r w:rsidRPr="008C5F1C">
        <w:rPr>
          <w:rFonts w:cs="Times New Roman"/>
          <w:b/>
          <w:bCs/>
          <w:noProof/>
          <w:lang w:val="ro-RO"/>
        </w:rPr>
        <w:t>2.A.3.1 Interventions of the Funds</w:t>
      </w:r>
    </w:p>
    <w:p w14:paraId="0DAA2B40" w14:textId="77777777" w:rsidR="00653571" w:rsidRPr="008C5F1C" w:rsidRDefault="00653571" w:rsidP="00653571">
      <w:pPr>
        <w:spacing w:before="120" w:after="120" w:line="360" w:lineRule="auto"/>
        <w:rPr>
          <w:rFonts w:ascii="Times New Roman" w:eastAsia="Times New Roman" w:hAnsi="Times New Roman" w:cs="Times New Roman"/>
          <w:b/>
          <w:bCs/>
          <w:i/>
          <w:iCs/>
          <w:noProof/>
          <w:sz w:val="24"/>
          <w:szCs w:val="24"/>
          <w:u w:val="single"/>
        </w:rPr>
      </w:pPr>
      <w:r w:rsidRPr="008C5F1C">
        <w:rPr>
          <w:rFonts w:ascii="Times New Roman" w:eastAsia="Times New Roman" w:hAnsi="Times New Roman" w:cs="Times New Roman"/>
          <w:i/>
          <w:noProof/>
          <w:sz w:val="24"/>
          <w:szCs w:val="24"/>
        </w:rPr>
        <w:t>Reference: Article 17(3)(d)(i),(iii),(iv),(v),(vi); The related types of actions – Article 17(3)(d)(i) CPR; Article 6(2) ESF+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5"/>
      </w:tblGrid>
      <w:tr w:rsidR="00653571" w:rsidRPr="008C5F1C" w14:paraId="40934F90" w14:textId="77777777" w:rsidTr="00534127">
        <w:tc>
          <w:tcPr>
            <w:tcW w:w="9625" w:type="dxa"/>
            <w:tcBorders>
              <w:top w:val="single" w:sz="4" w:space="0" w:color="auto"/>
              <w:left w:val="single" w:sz="4" w:space="0" w:color="auto"/>
              <w:bottom w:val="single" w:sz="4" w:space="0" w:color="auto"/>
              <w:right w:val="single" w:sz="4" w:space="0" w:color="auto"/>
            </w:tcBorders>
            <w:hideMark/>
          </w:tcPr>
          <w:p w14:paraId="5449F198" w14:textId="15548792" w:rsidR="00653571" w:rsidRPr="008C5F1C" w:rsidRDefault="00653571" w:rsidP="00742B97">
            <w:pPr>
              <w:spacing w:after="120" w:line="240" w:lineRule="auto"/>
              <w:jc w:val="both"/>
              <w:rPr>
                <w:rFonts w:ascii="Times New Roman" w:hAnsi="Times New Roman" w:cs="Times New Roman"/>
              </w:rPr>
            </w:pPr>
            <w:r w:rsidRPr="008C5F1C">
              <w:rPr>
                <w:rFonts w:ascii="Times New Roman" w:hAnsi="Times New Roman" w:cs="Times New Roman"/>
              </w:rPr>
              <w:t>Digitalizarea administra</w:t>
            </w:r>
            <w:r w:rsidR="00E22FF2" w:rsidRPr="008C5F1C">
              <w:rPr>
                <w:rFonts w:ascii="Times New Roman" w:hAnsi="Times New Roman" w:cs="Times New Roman"/>
              </w:rPr>
              <w:t>ț</w:t>
            </w:r>
            <w:r w:rsidRPr="008C5F1C">
              <w:rPr>
                <w:rFonts w:ascii="Times New Roman" w:hAnsi="Times New Roman" w:cs="Times New Roman"/>
              </w:rPr>
              <w:t>iei locale poate aduce beneficii majore în termeni de eficien</w:t>
            </w:r>
            <w:r w:rsidR="00E22FF2" w:rsidRPr="008C5F1C">
              <w:rPr>
                <w:rFonts w:ascii="Times New Roman" w:hAnsi="Times New Roman" w:cs="Times New Roman"/>
              </w:rPr>
              <w:t>ț</w:t>
            </w:r>
            <w:r w:rsidR="00BA7827" w:rsidRPr="008C5F1C">
              <w:rPr>
                <w:rFonts w:ascii="Times New Roman" w:hAnsi="Times New Roman" w:cs="Times New Roman"/>
              </w:rPr>
              <w:t>ă</w:t>
            </w:r>
            <w:r w:rsidRPr="008C5F1C">
              <w:rPr>
                <w:rFonts w:ascii="Times New Roman" w:hAnsi="Times New Roman" w:cs="Times New Roman"/>
              </w:rPr>
              <w:t xml:space="preserve">, rapiditate </w:t>
            </w:r>
            <w:r w:rsidR="00106240" w:rsidRPr="008C5F1C">
              <w:rPr>
                <w:rFonts w:ascii="Times New Roman" w:hAnsi="Times New Roman" w:cs="Times New Roman"/>
              </w:rPr>
              <w:t>ș</w:t>
            </w:r>
            <w:r w:rsidRPr="008C5F1C">
              <w:rPr>
                <w:rFonts w:ascii="Times New Roman" w:hAnsi="Times New Roman" w:cs="Times New Roman"/>
              </w:rPr>
              <w:t>i calitate în ceea ce prive</w:t>
            </w:r>
            <w:r w:rsidR="00106240" w:rsidRPr="008C5F1C">
              <w:rPr>
                <w:rFonts w:ascii="Times New Roman" w:hAnsi="Times New Roman" w:cs="Times New Roman"/>
              </w:rPr>
              <w:t>ș</w:t>
            </w:r>
            <w:r w:rsidRPr="008C5F1C">
              <w:rPr>
                <w:rFonts w:ascii="Times New Roman" w:hAnsi="Times New Roman" w:cs="Times New Roman"/>
              </w:rPr>
              <w:t>te livrarea serviciilor publice c</w:t>
            </w:r>
            <w:r w:rsidR="00BA7827" w:rsidRPr="008C5F1C">
              <w:rPr>
                <w:rFonts w:ascii="Times New Roman" w:hAnsi="Times New Roman" w:cs="Times New Roman"/>
              </w:rPr>
              <w:t>ă</w:t>
            </w:r>
            <w:r w:rsidRPr="008C5F1C">
              <w:rPr>
                <w:rFonts w:ascii="Times New Roman" w:hAnsi="Times New Roman" w:cs="Times New Roman"/>
              </w:rPr>
              <w:t>tre cet</w:t>
            </w:r>
            <w:r w:rsidR="00BA7827" w:rsidRPr="008C5F1C">
              <w:rPr>
                <w:rFonts w:ascii="Times New Roman" w:hAnsi="Times New Roman" w:cs="Times New Roman"/>
              </w:rPr>
              <w:t>ă</w:t>
            </w:r>
            <w:r w:rsidR="00E22FF2" w:rsidRPr="008C5F1C">
              <w:rPr>
                <w:rFonts w:ascii="Times New Roman" w:hAnsi="Times New Roman" w:cs="Times New Roman"/>
              </w:rPr>
              <w:t>ț</w:t>
            </w:r>
            <w:r w:rsidRPr="008C5F1C">
              <w:rPr>
                <w:rFonts w:ascii="Times New Roman" w:hAnsi="Times New Roman" w:cs="Times New Roman"/>
              </w:rPr>
              <w:t xml:space="preserve">eni </w:t>
            </w:r>
            <w:r w:rsidR="00106240" w:rsidRPr="008C5F1C">
              <w:rPr>
                <w:rFonts w:ascii="Times New Roman" w:hAnsi="Times New Roman" w:cs="Times New Roman"/>
              </w:rPr>
              <w:t>ș</w:t>
            </w:r>
            <w:r w:rsidRPr="008C5F1C">
              <w:rPr>
                <w:rFonts w:ascii="Times New Roman" w:hAnsi="Times New Roman" w:cs="Times New Roman"/>
              </w:rPr>
              <w:t>i firme. Totodat</w:t>
            </w:r>
            <w:r w:rsidR="00BA7827" w:rsidRPr="008C5F1C">
              <w:rPr>
                <w:rFonts w:ascii="Times New Roman" w:hAnsi="Times New Roman" w:cs="Times New Roman"/>
              </w:rPr>
              <w:t>ă</w:t>
            </w:r>
            <w:r w:rsidRPr="008C5F1C">
              <w:rPr>
                <w:rFonts w:ascii="Times New Roman" w:hAnsi="Times New Roman" w:cs="Times New Roman"/>
              </w:rPr>
              <w:t>, poate conduce la sc</w:t>
            </w:r>
            <w:r w:rsidR="00BA7827" w:rsidRPr="008C5F1C">
              <w:rPr>
                <w:rFonts w:ascii="Times New Roman" w:hAnsi="Times New Roman" w:cs="Times New Roman"/>
              </w:rPr>
              <w:t>ă</w:t>
            </w:r>
            <w:r w:rsidRPr="008C5F1C">
              <w:rPr>
                <w:rFonts w:ascii="Times New Roman" w:hAnsi="Times New Roman" w:cs="Times New Roman"/>
              </w:rPr>
              <w:t xml:space="preserve">derea poverii administrative, atât în exteriorul, cât </w:t>
            </w:r>
            <w:r w:rsidR="00106240" w:rsidRPr="008C5F1C">
              <w:rPr>
                <w:rFonts w:ascii="Times New Roman" w:hAnsi="Times New Roman" w:cs="Times New Roman"/>
              </w:rPr>
              <w:t>ș</w:t>
            </w:r>
            <w:r w:rsidRPr="008C5F1C">
              <w:rPr>
                <w:rFonts w:ascii="Times New Roman" w:hAnsi="Times New Roman" w:cs="Times New Roman"/>
              </w:rPr>
              <w:t>i în interiorul institu</w:t>
            </w:r>
            <w:r w:rsidR="00E22FF2" w:rsidRPr="008C5F1C">
              <w:rPr>
                <w:rFonts w:ascii="Times New Roman" w:hAnsi="Times New Roman" w:cs="Times New Roman"/>
              </w:rPr>
              <w:t>ț</w:t>
            </w:r>
            <w:r w:rsidRPr="008C5F1C">
              <w:rPr>
                <w:rFonts w:ascii="Times New Roman" w:hAnsi="Times New Roman" w:cs="Times New Roman"/>
              </w:rPr>
              <w:t xml:space="preserve">iilor, prin reorganizarea </w:t>
            </w:r>
            <w:r w:rsidR="00106240" w:rsidRPr="008C5F1C">
              <w:rPr>
                <w:rFonts w:ascii="Times New Roman" w:hAnsi="Times New Roman" w:cs="Times New Roman"/>
              </w:rPr>
              <w:t>ș</w:t>
            </w:r>
            <w:r w:rsidRPr="008C5F1C">
              <w:rPr>
                <w:rFonts w:ascii="Times New Roman" w:hAnsi="Times New Roman" w:cs="Times New Roman"/>
              </w:rPr>
              <w:t>i simplificarea fluxurilor organiza</w:t>
            </w:r>
            <w:r w:rsidR="00E22FF2" w:rsidRPr="008C5F1C">
              <w:rPr>
                <w:rFonts w:ascii="Times New Roman" w:hAnsi="Times New Roman" w:cs="Times New Roman"/>
              </w:rPr>
              <w:t>ț</w:t>
            </w:r>
            <w:r w:rsidRPr="008C5F1C">
              <w:rPr>
                <w:rFonts w:ascii="Times New Roman" w:hAnsi="Times New Roman" w:cs="Times New Roman"/>
              </w:rPr>
              <w:t xml:space="preserve">ionale </w:t>
            </w:r>
            <w:r w:rsidR="00106240" w:rsidRPr="008C5F1C">
              <w:rPr>
                <w:rFonts w:ascii="Times New Roman" w:hAnsi="Times New Roman" w:cs="Times New Roman"/>
              </w:rPr>
              <w:t>ș</w:t>
            </w:r>
            <w:r w:rsidRPr="008C5F1C">
              <w:rPr>
                <w:rFonts w:ascii="Times New Roman" w:hAnsi="Times New Roman" w:cs="Times New Roman"/>
              </w:rPr>
              <w:t>i informa</w:t>
            </w:r>
            <w:r w:rsidR="00E22FF2" w:rsidRPr="008C5F1C">
              <w:rPr>
                <w:rFonts w:ascii="Times New Roman" w:hAnsi="Times New Roman" w:cs="Times New Roman"/>
              </w:rPr>
              <w:t>ț</w:t>
            </w:r>
            <w:r w:rsidRPr="008C5F1C">
              <w:rPr>
                <w:rFonts w:ascii="Times New Roman" w:hAnsi="Times New Roman" w:cs="Times New Roman"/>
              </w:rPr>
              <w:t xml:space="preserve">ionale. </w:t>
            </w:r>
            <w:r w:rsidR="00F77CD2">
              <w:rPr>
                <w:rFonts w:ascii="Times New Roman" w:hAnsi="Times New Roman" w:cs="Times New Roman"/>
              </w:rPr>
              <w:t>A</w:t>
            </w:r>
            <w:r w:rsidR="00106240" w:rsidRPr="008C5F1C">
              <w:rPr>
                <w:rFonts w:ascii="Times New Roman" w:hAnsi="Times New Roman" w:cs="Times New Roman"/>
              </w:rPr>
              <w:t>ș</w:t>
            </w:r>
            <w:r w:rsidRPr="008C5F1C">
              <w:rPr>
                <w:rFonts w:ascii="Times New Roman" w:hAnsi="Times New Roman" w:cs="Times New Roman"/>
              </w:rPr>
              <w:t xml:space="preserve">a cum s-a remarcat în contextul constrângerilor </w:t>
            </w:r>
            <w:r w:rsidR="00106240" w:rsidRPr="008C5F1C">
              <w:rPr>
                <w:rFonts w:ascii="Times New Roman" w:hAnsi="Times New Roman" w:cs="Times New Roman"/>
              </w:rPr>
              <w:t>ș</w:t>
            </w:r>
            <w:r w:rsidRPr="008C5F1C">
              <w:rPr>
                <w:rFonts w:ascii="Times New Roman" w:hAnsi="Times New Roman" w:cs="Times New Roman"/>
              </w:rPr>
              <w:t>i distan</w:t>
            </w:r>
            <w:r w:rsidR="00E22FF2" w:rsidRPr="008C5F1C">
              <w:rPr>
                <w:rFonts w:ascii="Times New Roman" w:hAnsi="Times New Roman" w:cs="Times New Roman"/>
              </w:rPr>
              <w:t>ț</w:t>
            </w:r>
            <w:r w:rsidR="00BA7827" w:rsidRPr="008C5F1C">
              <w:rPr>
                <w:rFonts w:ascii="Times New Roman" w:hAnsi="Times New Roman" w:cs="Times New Roman"/>
              </w:rPr>
              <w:t>ă</w:t>
            </w:r>
            <w:r w:rsidRPr="008C5F1C">
              <w:rPr>
                <w:rFonts w:ascii="Times New Roman" w:hAnsi="Times New Roman" w:cs="Times New Roman"/>
              </w:rPr>
              <w:t>rii sociale asociate COVID-19, digitalizarea serviciilor publice reprezint</w:t>
            </w:r>
            <w:r w:rsidR="00BA7827" w:rsidRPr="008C5F1C">
              <w:rPr>
                <w:rFonts w:ascii="Times New Roman" w:hAnsi="Times New Roman" w:cs="Times New Roman"/>
              </w:rPr>
              <w:t>ă</w:t>
            </w:r>
            <w:r w:rsidRPr="008C5F1C">
              <w:rPr>
                <w:rFonts w:ascii="Times New Roman" w:hAnsi="Times New Roman" w:cs="Times New Roman"/>
              </w:rPr>
              <w:t xml:space="preserve"> un element cheie nu doar pentru neîntreruperea func</w:t>
            </w:r>
            <w:r w:rsidR="00E22FF2" w:rsidRPr="008C5F1C">
              <w:rPr>
                <w:rFonts w:ascii="Times New Roman" w:hAnsi="Times New Roman" w:cs="Times New Roman"/>
              </w:rPr>
              <w:t>ț</w:t>
            </w:r>
            <w:r w:rsidRPr="008C5F1C">
              <w:rPr>
                <w:rFonts w:ascii="Times New Roman" w:hAnsi="Times New Roman" w:cs="Times New Roman"/>
              </w:rPr>
              <w:t>ion</w:t>
            </w:r>
            <w:r w:rsidR="00BA7827" w:rsidRPr="008C5F1C">
              <w:rPr>
                <w:rFonts w:ascii="Times New Roman" w:hAnsi="Times New Roman" w:cs="Times New Roman"/>
              </w:rPr>
              <w:t>ă</w:t>
            </w:r>
            <w:r w:rsidRPr="008C5F1C">
              <w:rPr>
                <w:rFonts w:ascii="Times New Roman" w:hAnsi="Times New Roman" w:cs="Times New Roman"/>
              </w:rPr>
              <w:t xml:space="preserve">rii, cât </w:t>
            </w:r>
            <w:r w:rsidR="00106240" w:rsidRPr="008C5F1C">
              <w:rPr>
                <w:rFonts w:ascii="Times New Roman" w:hAnsi="Times New Roman" w:cs="Times New Roman"/>
              </w:rPr>
              <w:t>ș</w:t>
            </w:r>
            <w:r w:rsidRPr="008C5F1C">
              <w:rPr>
                <w:rFonts w:ascii="Times New Roman" w:hAnsi="Times New Roman" w:cs="Times New Roman"/>
              </w:rPr>
              <w:t>i pentru comunicarea cu cet</w:t>
            </w:r>
            <w:r w:rsidR="00BA7827" w:rsidRPr="008C5F1C">
              <w:rPr>
                <w:rFonts w:ascii="Times New Roman" w:hAnsi="Times New Roman" w:cs="Times New Roman"/>
              </w:rPr>
              <w:t>ă</w:t>
            </w:r>
            <w:r w:rsidR="00E22FF2" w:rsidRPr="008C5F1C">
              <w:rPr>
                <w:rFonts w:ascii="Times New Roman" w:hAnsi="Times New Roman" w:cs="Times New Roman"/>
              </w:rPr>
              <w:t>ț</w:t>
            </w:r>
            <w:r w:rsidRPr="008C5F1C">
              <w:rPr>
                <w:rFonts w:ascii="Times New Roman" w:hAnsi="Times New Roman" w:cs="Times New Roman"/>
              </w:rPr>
              <w:t xml:space="preserve">enii </w:t>
            </w:r>
            <w:r w:rsidR="00106240" w:rsidRPr="008C5F1C">
              <w:rPr>
                <w:rFonts w:ascii="Times New Roman" w:hAnsi="Times New Roman" w:cs="Times New Roman"/>
              </w:rPr>
              <w:t>ș</w:t>
            </w:r>
            <w:r w:rsidRPr="008C5F1C">
              <w:rPr>
                <w:rFonts w:ascii="Times New Roman" w:hAnsi="Times New Roman" w:cs="Times New Roman"/>
              </w:rPr>
              <w:t xml:space="preserve">i firmele.  Decalajele dintre mediul urban </w:t>
            </w:r>
            <w:r w:rsidR="00106240" w:rsidRPr="008C5F1C">
              <w:rPr>
                <w:rFonts w:ascii="Times New Roman" w:hAnsi="Times New Roman" w:cs="Times New Roman"/>
              </w:rPr>
              <w:t>ș</w:t>
            </w:r>
            <w:r w:rsidRPr="008C5F1C">
              <w:rPr>
                <w:rFonts w:ascii="Times New Roman" w:hAnsi="Times New Roman" w:cs="Times New Roman"/>
              </w:rPr>
              <w:t>i cel rural r</w:t>
            </w:r>
            <w:r w:rsidR="00BA7827" w:rsidRPr="008C5F1C">
              <w:rPr>
                <w:rFonts w:ascii="Times New Roman" w:hAnsi="Times New Roman" w:cs="Times New Roman"/>
              </w:rPr>
              <w:t>ă</w:t>
            </w:r>
            <w:r w:rsidRPr="008C5F1C">
              <w:rPr>
                <w:rFonts w:ascii="Times New Roman" w:hAnsi="Times New Roman" w:cs="Times New Roman"/>
              </w:rPr>
              <w:t>mân semnificative</w:t>
            </w:r>
            <w:r w:rsidR="009C61AF" w:rsidRPr="008C5F1C">
              <w:rPr>
                <w:rFonts w:ascii="Times New Roman" w:hAnsi="Times New Roman" w:cs="Times New Roman"/>
              </w:rPr>
              <w:t xml:space="preserve"> în ceea ce privește accesul la internet.</w:t>
            </w:r>
            <w:r w:rsidR="00F77CD2">
              <w:rPr>
                <w:rFonts w:ascii="Times New Roman" w:hAnsi="Times New Roman" w:cs="Times New Roman"/>
              </w:rPr>
              <w:t xml:space="preserve"> </w:t>
            </w:r>
          </w:p>
          <w:p w14:paraId="70F87233" w14:textId="391485C1" w:rsidR="00F77CD2" w:rsidRPr="00DB74FA" w:rsidRDefault="00653571" w:rsidP="00742B97">
            <w:pPr>
              <w:spacing w:after="120" w:line="240" w:lineRule="auto"/>
              <w:jc w:val="both"/>
              <w:rPr>
                <w:rFonts w:ascii="Times New Roman" w:hAnsi="Times New Roman" w:cs="Times New Roman"/>
              </w:rPr>
            </w:pPr>
            <w:r w:rsidRPr="008C5F1C">
              <w:rPr>
                <w:rFonts w:ascii="Times New Roman" w:hAnsi="Times New Roman" w:cs="Times New Roman"/>
              </w:rPr>
              <w:t>Regiunea se remarc</w:t>
            </w:r>
            <w:r w:rsidR="00BA7827" w:rsidRPr="008C5F1C">
              <w:rPr>
                <w:rFonts w:ascii="Times New Roman" w:hAnsi="Times New Roman" w:cs="Times New Roman"/>
              </w:rPr>
              <w:t>ă</w:t>
            </w:r>
            <w:r w:rsidRPr="008C5F1C">
              <w:rPr>
                <w:rFonts w:ascii="Times New Roman" w:hAnsi="Times New Roman" w:cs="Times New Roman"/>
              </w:rPr>
              <w:t>, deja, prin ini</w:t>
            </w:r>
            <w:r w:rsidR="00E22FF2" w:rsidRPr="008C5F1C">
              <w:rPr>
                <w:rFonts w:ascii="Times New Roman" w:hAnsi="Times New Roman" w:cs="Times New Roman"/>
              </w:rPr>
              <w:t>ț</w:t>
            </w:r>
            <w:r w:rsidRPr="008C5F1C">
              <w:rPr>
                <w:rFonts w:ascii="Times New Roman" w:hAnsi="Times New Roman" w:cs="Times New Roman"/>
              </w:rPr>
              <w:t xml:space="preserve">iative ”fanion” </w:t>
            </w:r>
            <w:r w:rsidR="00106240" w:rsidRPr="008C5F1C">
              <w:rPr>
                <w:rFonts w:ascii="Times New Roman" w:hAnsi="Times New Roman" w:cs="Times New Roman"/>
              </w:rPr>
              <w:t>ș</w:t>
            </w:r>
            <w:r w:rsidRPr="008C5F1C">
              <w:rPr>
                <w:rFonts w:ascii="Times New Roman" w:hAnsi="Times New Roman" w:cs="Times New Roman"/>
              </w:rPr>
              <w:t>i performan</w:t>
            </w:r>
            <w:r w:rsidR="00E22FF2" w:rsidRPr="008C5F1C">
              <w:rPr>
                <w:rFonts w:ascii="Times New Roman" w:hAnsi="Times New Roman" w:cs="Times New Roman"/>
              </w:rPr>
              <w:t>ț</w:t>
            </w:r>
            <w:r w:rsidR="00BA7827" w:rsidRPr="008C5F1C">
              <w:rPr>
                <w:rFonts w:ascii="Times New Roman" w:hAnsi="Times New Roman" w:cs="Times New Roman"/>
              </w:rPr>
              <w:t>ă</w:t>
            </w:r>
            <w:r w:rsidRPr="008C5F1C">
              <w:rPr>
                <w:rFonts w:ascii="Times New Roman" w:hAnsi="Times New Roman" w:cs="Times New Roman"/>
              </w:rPr>
              <w:t xml:space="preserve"> remarcabil</w:t>
            </w:r>
            <w:r w:rsidR="00BA7827" w:rsidRPr="008C5F1C">
              <w:rPr>
                <w:rFonts w:ascii="Times New Roman" w:hAnsi="Times New Roman" w:cs="Times New Roman"/>
              </w:rPr>
              <w:t>ă</w:t>
            </w:r>
            <w:r w:rsidRPr="008C5F1C">
              <w:rPr>
                <w:rFonts w:ascii="Times New Roman" w:hAnsi="Times New Roman" w:cs="Times New Roman"/>
              </w:rPr>
              <w:t xml:space="preserve"> la nivel na</w:t>
            </w:r>
            <w:r w:rsidR="00E22FF2" w:rsidRPr="008C5F1C">
              <w:rPr>
                <w:rFonts w:ascii="Times New Roman" w:hAnsi="Times New Roman" w:cs="Times New Roman"/>
              </w:rPr>
              <w:t>ț</w:t>
            </w:r>
            <w:r w:rsidRPr="008C5F1C">
              <w:rPr>
                <w:rFonts w:ascii="Times New Roman" w:hAnsi="Times New Roman" w:cs="Times New Roman"/>
              </w:rPr>
              <w:t>ional în ceea ce prive</w:t>
            </w:r>
            <w:r w:rsidR="00106240" w:rsidRPr="008C5F1C">
              <w:rPr>
                <w:rFonts w:ascii="Times New Roman" w:hAnsi="Times New Roman" w:cs="Times New Roman"/>
              </w:rPr>
              <w:t>ș</w:t>
            </w:r>
            <w:r w:rsidRPr="008C5F1C">
              <w:rPr>
                <w:rFonts w:ascii="Times New Roman" w:hAnsi="Times New Roman" w:cs="Times New Roman"/>
              </w:rPr>
              <w:t xml:space="preserve">te implementarea conceptului de </w:t>
            </w:r>
            <w:proofErr w:type="spellStart"/>
            <w:r w:rsidRPr="008C5F1C">
              <w:rPr>
                <w:rFonts w:ascii="Times New Roman" w:hAnsi="Times New Roman" w:cs="Times New Roman"/>
              </w:rPr>
              <w:t>smart-city</w:t>
            </w:r>
            <w:proofErr w:type="spellEnd"/>
            <w:r w:rsidRPr="008C5F1C">
              <w:rPr>
                <w:rFonts w:ascii="Times New Roman" w:hAnsi="Times New Roman" w:cs="Times New Roman"/>
              </w:rPr>
              <w:t>. Proiectele de digitalizare a administra</w:t>
            </w:r>
            <w:r w:rsidR="00E22FF2" w:rsidRPr="008C5F1C">
              <w:rPr>
                <w:rFonts w:ascii="Times New Roman" w:hAnsi="Times New Roman" w:cs="Times New Roman"/>
              </w:rPr>
              <w:t>ț</w:t>
            </w:r>
            <w:r w:rsidRPr="008C5F1C">
              <w:rPr>
                <w:rFonts w:ascii="Times New Roman" w:hAnsi="Times New Roman" w:cs="Times New Roman"/>
              </w:rPr>
              <w:t xml:space="preserve">iei locale </w:t>
            </w:r>
            <w:r w:rsidR="00106240" w:rsidRPr="008C5F1C">
              <w:rPr>
                <w:rFonts w:ascii="Times New Roman" w:hAnsi="Times New Roman" w:cs="Times New Roman"/>
              </w:rPr>
              <w:t>ș</w:t>
            </w:r>
            <w:r w:rsidRPr="008C5F1C">
              <w:rPr>
                <w:rFonts w:ascii="Times New Roman" w:hAnsi="Times New Roman" w:cs="Times New Roman"/>
              </w:rPr>
              <w:t>i de adoptare a tehnologiilor digitale în folosul cet</w:t>
            </w:r>
            <w:r w:rsidR="00BA7827" w:rsidRPr="008C5F1C">
              <w:rPr>
                <w:rFonts w:ascii="Times New Roman" w:hAnsi="Times New Roman" w:cs="Times New Roman"/>
              </w:rPr>
              <w:t>ă</w:t>
            </w:r>
            <w:r w:rsidR="00E22FF2" w:rsidRPr="008C5F1C">
              <w:rPr>
                <w:rFonts w:ascii="Times New Roman" w:hAnsi="Times New Roman" w:cs="Times New Roman"/>
              </w:rPr>
              <w:t>ț</w:t>
            </w:r>
            <w:r w:rsidRPr="008C5F1C">
              <w:rPr>
                <w:rFonts w:ascii="Times New Roman" w:hAnsi="Times New Roman" w:cs="Times New Roman"/>
              </w:rPr>
              <w:t>enilor au fost ini</w:t>
            </w:r>
            <w:r w:rsidR="00E22FF2" w:rsidRPr="008C5F1C">
              <w:rPr>
                <w:rFonts w:ascii="Times New Roman" w:hAnsi="Times New Roman" w:cs="Times New Roman"/>
              </w:rPr>
              <w:t>ț</w:t>
            </w:r>
            <w:r w:rsidRPr="008C5F1C">
              <w:rPr>
                <w:rFonts w:ascii="Times New Roman" w:hAnsi="Times New Roman" w:cs="Times New Roman"/>
              </w:rPr>
              <w:t xml:space="preserve">iate </w:t>
            </w:r>
            <w:r w:rsidR="00106240" w:rsidRPr="008C5F1C">
              <w:rPr>
                <w:rFonts w:ascii="Times New Roman" w:hAnsi="Times New Roman" w:cs="Times New Roman"/>
              </w:rPr>
              <w:t>ș</w:t>
            </w:r>
            <w:r w:rsidRPr="008C5F1C">
              <w:rPr>
                <w:rFonts w:ascii="Times New Roman" w:hAnsi="Times New Roman" w:cs="Times New Roman"/>
              </w:rPr>
              <w:t>i implementate mai cu seam</w:t>
            </w:r>
            <w:r w:rsidR="00BA7827" w:rsidRPr="008C5F1C">
              <w:rPr>
                <w:rFonts w:ascii="Times New Roman" w:hAnsi="Times New Roman" w:cs="Times New Roman"/>
              </w:rPr>
              <w:t>ă</w:t>
            </w:r>
            <w:r w:rsidRPr="008C5F1C">
              <w:rPr>
                <w:rFonts w:ascii="Times New Roman" w:hAnsi="Times New Roman" w:cs="Times New Roman"/>
              </w:rPr>
              <w:t xml:space="preserve"> în Cluj-Napoca</w:t>
            </w:r>
            <w:r w:rsidR="009320DF">
              <w:rPr>
                <w:rFonts w:ascii="Times New Roman" w:hAnsi="Times New Roman" w:cs="Times New Roman"/>
              </w:rPr>
              <w:t>, municipiul fructificând avantajul prezenței unui număr semnificativ de universități, centre de cercetare, firme de IT</w:t>
            </w:r>
            <w:r w:rsidR="009320DF" w:rsidRPr="00DB74FA">
              <w:rPr>
                <w:rFonts w:ascii="Times New Roman" w:hAnsi="Times New Roman" w:cs="Times New Roman"/>
              </w:rPr>
              <w:t xml:space="preserve">, </w:t>
            </w:r>
            <w:r w:rsidR="007F5237" w:rsidRPr="00DB74FA">
              <w:rPr>
                <w:rFonts w:ascii="Times New Roman" w:hAnsi="Times New Roman" w:cs="Times New Roman"/>
              </w:rPr>
              <w:t xml:space="preserve">inclusiv </w:t>
            </w:r>
            <w:r w:rsidR="009320DF" w:rsidRPr="00DB74FA">
              <w:rPr>
                <w:rFonts w:ascii="Times New Roman" w:hAnsi="Times New Roman" w:cs="Times New Roman"/>
              </w:rPr>
              <w:t xml:space="preserve">structuri suport de tip </w:t>
            </w:r>
            <w:r w:rsidR="00F77CD2" w:rsidRPr="00DB74FA">
              <w:rPr>
                <w:rFonts w:ascii="Times New Roman" w:hAnsi="Times New Roman" w:cs="Times New Roman"/>
              </w:rPr>
              <w:t>DIH (hub-uri de inovare digitală)</w:t>
            </w:r>
            <w:r w:rsidR="007F5237" w:rsidRPr="00DB74FA">
              <w:rPr>
                <w:rFonts w:ascii="Times New Roman" w:hAnsi="Times New Roman" w:cs="Times New Roman"/>
              </w:rPr>
              <w:t xml:space="preserve"> care urmăresc modernizarea administrațiilor și serviciilor publice prin mijloace digitale</w:t>
            </w:r>
            <w:r w:rsidR="00DB74FA" w:rsidRPr="00DB74FA">
              <w:rPr>
                <w:rFonts w:ascii="Times New Roman" w:hAnsi="Times New Roman" w:cs="Times New Roman"/>
                <w:color w:val="000000"/>
              </w:rPr>
              <w:t>.</w:t>
            </w:r>
            <w:r w:rsidR="009320DF" w:rsidRPr="00DB74FA">
              <w:rPr>
                <w:rFonts w:ascii="Times New Roman" w:hAnsi="Times New Roman" w:cs="Times New Roman"/>
              </w:rPr>
              <w:t>.</w:t>
            </w:r>
          </w:p>
          <w:p w14:paraId="7BBDC277" w14:textId="3F6C77FF" w:rsidR="0051706D" w:rsidRPr="008C5F1C" w:rsidRDefault="00653571" w:rsidP="00742B97">
            <w:pPr>
              <w:spacing w:after="120" w:line="240" w:lineRule="auto"/>
              <w:jc w:val="both"/>
              <w:rPr>
                <w:rFonts w:ascii="Times New Roman" w:hAnsi="Times New Roman" w:cs="Times New Roman"/>
              </w:rPr>
            </w:pPr>
            <w:r w:rsidRPr="00DB74FA">
              <w:rPr>
                <w:rFonts w:ascii="Times New Roman" w:hAnsi="Times New Roman" w:cs="Times New Roman"/>
              </w:rPr>
              <w:t xml:space="preserve">Din punct de vedere al stadiului de implementare a conceptului de </w:t>
            </w:r>
            <w:proofErr w:type="spellStart"/>
            <w:r w:rsidRPr="00DB74FA">
              <w:rPr>
                <w:rFonts w:ascii="Times New Roman" w:hAnsi="Times New Roman" w:cs="Times New Roman"/>
              </w:rPr>
              <w:t>Smart</w:t>
            </w:r>
            <w:proofErr w:type="spellEnd"/>
            <w:r w:rsidRPr="00DB74FA">
              <w:rPr>
                <w:rFonts w:ascii="Times New Roman" w:hAnsi="Times New Roman" w:cs="Times New Roman"/>
              </w:rPr>
              <w:t xml:space="preserve"> City la nivel regional 70,6% din administra</w:t>
            </w:r>
            <w:r w:rsidR="00E22FF2" w:rsidRPr="00DB74FA">
              <w:rPr>
                <w:rFonts w:ascii="Times New Roman" w:hAnsi="Times New Roman" w:cs="Times New Roman"/>
              </w:rPr>
              <w:t>ț</w:t>
            </w:r>
            <w:r w:rsidRPr="00DB74FA">
              <w:rPr>
                <w:rFonts w:ascii="Times New Roman" w:hAnsi="Times New Roman" w:cs="Times New Roman"/>
              </w:rPr>
              <w:t>iile publice sunt în faz</w:t>
            </w:r>
            <w:r w:rsidR="00BA7827" w:rsidRPr="00DB74FA">
              <w:rPr>
                <w:rFonts w:ascii="Times New Roman" w:hAnsi="Times New Roman" w:cs="Times New Roman"/>
              </w:rPr>
              <w:t>ă</w:t>
            </w:r>
            <w:r w:rsidRPr="00DB74FA">
              <w:rPr>
                <w:rFonts w:ascii="Times New Roman" w:hAnsi="Times New Roman" w:cs="Times New Roman"/>
              </w:rPr>
              <w:t xml:space="preserve"> incipient</w:t>
            </w:r>
            <w:r w:rsidR="00BA7827" w:rsidRPr="00DB74FA">
              <w:rPr>
                <w:rFonts w:ascii="Times New Roman" w:hAnsi="Times New Roman" w:cs="Times New Roman"/>
              </w:rPr>
              <w:t>ă</w:t>
            </w:r>
            <w:r w:rsidRPr="008C5F1C">
              <w:rPr>
                <w:rFonts w:ascii="Times New Roman" w:hAnsi="Times New Roman" w:cs="Times New Roman"/>
              </w:rPr>
              <w:t>.</w:t>
            </w:r>
            <w:r w:rsidR="00F77CD2">
              <w:rPr>
                <w:rFonts w:ascii="Times New Roman" w:hAnsi="Times New Roman" w:cs="Times New Roman"/>
              </w:rPr>
              <w:t xml:space="preserve"> </w:t>
            </w:r>
            <w:r w:rsidR="0051706D" w:rsidRPr="008C5F1C">
              <w:rPr>
                <w:rFonts w:ascii="Times New Roman" w:hAnsi="Times New Roman" w:cs="Times New Roman"/>
              </w:rPr>
              <w:t>Unele clădiri publice au beneficiat deja de implementarea unor soluții inteligente (precum contoare și senzori inteligenți sau sisteme de iluminat cu LED, de exemplu): Cluj – Napoca (toate clădirile sunt înregistrate pe o platformă de măsurare a consumului de energie; o școală gimnazială reabilitată și dotată cu soluții inteligente), Turda – 41%, Gherla – 40 de clădiri, Seini – 25%, Tăuții-Măgherăuș – 50% (dotate cu soluții inteligente), Oradea – 30% din totalul clădirilor (dotate cu soluții inteligente), Aleșd – 20%, Bistrița – 12% (dotate cu soluții inteligente), Năsăud – 20%, Târgu Lăpuș 16 clădiri, Carei – 15%, Livada – 15%, Tășnad – 10%, Zalău - 3 unități de învățământ eficientizate energetic, dotate cu contoare; Șimleu Silvaniei - 40 % (dotate cu soluții inteligente).</w:t>
            </w:r>
          </w:p>
          <w:p w14:paraId="073EFC5F" w14:textId="053DFFD5" w:rsidR="00954E76" w:rsidRPr="008C5F1C" w:rsidRDefault="00954E76" w:rsidP="00742B97">
            <w:pPr>
              <w:spacing w:after="120" w:line="240" w:lineRule="auto"/>
              <w:jc w:val="both"/>
              <w:rPr>
                <w:rFonts w:ascii="Times New Roman" w:hAnsi="Times New Roman" w:cs="Times New Roman"/>
              </w:rPr>
            </w:pPr>
            <w:r w:rsidRPr="008C5F1C">
              <w:rPr>
                <w:rFonts w:ascii="Times New Roman" w:hAnsi="Times New Roman" w:cs="Times New Roman"/>
              </w:rPr>
              <w:t xml:space="preserve">24 din 31 de orașe și municipii dețin camere de supraveghere utilizate pentru monitorizarea traficului. Acestea (cu excepția Municipiului Zalău) nu dețin însă încă sisteme de management al traficului care să permită valorificarea datelor obținute. </w:t>
            </w:r>
          </w:p>
          <w:p w14:paraId="166489C7" w14:textId="2D674A61" w:rsidR="00954E76" w:rsidRPr="008C5F1C" w:rsidRDefault="00954E76" w:rsidP="00742B97">
            <w:pPr>
              <w:spacing w:after="120" w:line="240" w:lineRule="auto"/>
              <w:jc w:val="both"/>
              <w:rPr>
                <w:rFonts w:ascii="Times New Roman" w:hAnsi="Times New Roman" w:cs="Times New Roman"/>
              </w:rPr>
            </w:pPr>
            <w:r w:rsidRPr="008C5F1C">
              <w:rPr>
                <w:rFonts w:ascii="Times New Roman" w:hAnsi="Times New Roman" w:cs="Times New Roman"/>
              </w:rPr>
              <w:t xml:space="preserve">Municipiul Oradea este singurul caz în care există deja implementat un sistem de management al traficului care asigură </w:t>
            </w:r>
            <w:proofErr w:type="spellStart"/>
            <w:r w:rsidRPr="008C5F1C">
              <w:rPr>
                <w:rFonts w:ascii="Times New Roman" w:hAnsi="Times New Roman" w:cs="Times New Roman"/>
              </w:rPr>
              <w:t>prioritizarea</w:t>
            </w:r>
            <w:proofErr w:type="spellEnd"/>
            <w:r w:rsidRPr="008C5F1C">
              <w:rPr>
                <w:rFonts w:ascii="Times New Roman" w:hAnsi="Times New Roman" w:cs="Times New Roman"/>
              </w:rPr>
              <w:t xml:space="preserve"> transportului public. Municipiile Oradea și Cluj-Napoca dețin și sisteme de monitorizarea a transportului public, afișaj digital în stații și sisteme de e-</w:t>
            </w:r>
            <w:proofErr w:type="spellStart"/>
            <w:r w:rsidRPr="008C5F1C">
              <w:rPr>
                <w:rFonts w:ascii="Times New Roman" w:hAnsi="Times New Roman" w:cs="Times New Roman"/>
              </w:rPr>
              <w:t>ticketing</w:t>
            </w:r>
            <w:proofErr w:type="spellEnd"/>
            <w:r w:rsidRPr="008C5F1C">
              <w:rPr>
                <w:rFonts w:ascii="Times New Roman" w:hAnsi="Times New Roman" w:cs="Times New Roman"/>
              </w:rPr>
              <w:t>. Recent municipiul Oradea a aderat la aplicația „</w:t>
            </w:r>
            <w:proofErr w:type="spellStart"/>
            <w:r w:rsidRPr="008C5F1C">
              <w:rPr>
                <w:rFonts w:ascii="Times New Roman" w:hAnsi="Times New Roman" w:cs="Times New Roman"/>
              </w:rPr>
              <w:t>Hereitis</w:t>
            </w:r>
            <w:proofErr w:type="spellEnd"/>
            <w:r w:rsidRPr="008C5F1C">
              <w:rPr>
                <w:rFonts w:ascii="Times New Roman" w:hAnsi="Times New Roman" w:cs="Times New Roman"/>
              </w:rPr>
              <w:t>” care prezintă în timp real localizarea mijloacelor de transport public.</w:t>
            </w:r>
          </w:p>
          <w:p w14:paraId="2A0652CA" w14:textId="77777777" w:rsidR="00954E76" w:rsidRPr="008C5F1C" w:rsidRDefault="00954E76" w:rsidP="00742B97">
            <w:pPr>
              <w:spacing w:after="120" w:line="240" w:lineRule="auto"/>
              <w:jc w:val="both"/>
              <w:rPr>
                <w:rFonts w:ascii="Times New Roman" w:hAnsi="Times New Roman" w:cs="Times New Roman"/>
              </w:rPr>
            </w:pPr>
            <w:r w:rsidRPr="008C5F1C">
              <w:rPr>
                <w:rFonts w:ascii="Times New Roman" w:hAnsi="Times New Roman" w:cs="Times New Roman"/>
              </w:rPr>
              <w:t xml:space="preserve">Doar în cazul municipiilor Cluj-Napoca și Oradea liniile de transport public și orarul acestora sunt integrate în aplicația Google </w:t>
            </w:r>
            <w:proofErr w:type="spellStart"/>
            <w:r w:rsidRPr="008C5F1C">
              <w:rPr>
                <w:rFonts w:ascii="Times New Roman" w:hAnsi="Times New Roman" w:cs="Times New Roman"/>
              </w:rPr>
              <w:t>Maps</w:t>
            </w:r>
            <w:proofErr w:type="spellEnd"/>
            <w:r w:rsidRPr="008C5F1C">
              <w:rPr>
                <w:rFonts w:ascii="Times New Roman" w:hAnsi="Times New Roman" w:cs="Times New Roman"/>
              </w:rPr>
              <w:t xml:space="preserve"> asigurând astfel posibilitatea de „</w:t>
            </w:r>
            <w:proofErr w:type="spellStart"/>
            <w:r w:rsidRPr="008C5F1C">
              <w:rPr>
                <w:rFonts w:ascii="Times New Roman" w:hAnsi="Times New Roman" w:cs="Times New Roman"/>
              </w:rPr>
              <w:t>routing</w:t>
            </w:r>
            <w:proofErr w:type="spellEnd"/>
            <w:r w:rsidRPr="008C5F1C">
              <w:rPr>
                <w:rFonts w:ascii="Times New Roman" w:hAnsi="Times New Roman" w:cs="Times New Roman"/>
              </w:rPr>
              <w:t xml:space="preserve">”. </w:t>
            </w:r>
          </w:p>
          <w:p w14:paraId="4FA2CB66" w14:textId="1E1EA068" w:rsidR="00954E76" w:rsidRPr="008C5F1C" w:rsidRDefault="00954E76" w:rsidP="00742B97">
            <w:pPr>
              <w:spacing w:after="120" w:line="240" w:lineRule="auto"/>
              <w:jc w:val="both"/>
              <w:rPr>
                <w:rFonts w:ascii="Times New Roman" w:hAnsi="Times New Roman" w:cs="Times New Roman"/>
              </w:rPr>
            </w:pPr>
            <w:r w:rsidRPr="008C5F1C">
              <w:rPr>
                <w:rFonts w:ascii="Times New Roman" w:hAnsi="Times New Roman" w:cs="Times New Roman"/>
              </w:rPr>
              <w:t xml:space="preserve">Totuși, în aplicația </w:t>
            </w:r>
            <w:proofErr w:type="spellStart"/>
            <w:r w:rsidRPr="008C5F1C">
              <w:rPr>
                <w:rFonts w:ascii="Times New Roman" w:hAnsi="Times New Roman" w:cs="Times New Roman"/>
              </w:rPr>
              <w:t>Moovit</w:t>
            </w:r>
            <w:proofErr w:type="spellEnd"/>
            <w:r w:rsidRPr="008C5F1C">
              <w:rPr>
                <w:rFonts w:ascii="Times New Roman" w:hAnsi="Times New Roman" w:cs="Times New Roman"/>
              </w:rPr>
              <w:t xml:space="preserve"> sunt incluse toate municipiile reședință de județ, astfel încât se poate considera că locuitorii și vizitatorii acestora dețin acces facil în ceea ce privește rutele de transport public. În cazul </w:t>
            </w:r>
            <w:r w:rsidRPr="008C5F1C">
              <w:rPr>
                <w:rFonts w:ascii="Times New Roman" w:hAnsi="Times New Roman" w:cs="Times New Roman"/>
              </w:rPr>
              <w:lastRenderedPageBreak/>
              <w:t>Municipiului Cluj-Napoca există și o aplicație dedicată transportului public: CTP Cluj-Napoca. Un caz particular este reprezentat de județul Bihor care dispune de o aplicație cu rutele de transport public județean (</w:t>
            </w:r>
            <w:proofErr w:type="spellStart"/>
            <w:r w:rsidRPr="008C5F1C">
              <w:rPr>
                <w:rFonts w:ascii="Times New Roman" w:hAnsi="Times New Roman" w:cs="Times New Roman"/>
              </w:rPr>
              <w:t>BusBihor</w:t>
            </w:r>
            <w:proofErr w:type="spellEnd"/>
            <w:r w:rsidRPr="008C5F1C">
              <w:rPr>
                <w:rFonts w:ascii="Times New Roman" w:hAnsi="Times New Roman" w:cs="Times New Roman"/>
              </w:rPr>
              <w:t xml:space="preserve">). </w:t>
            </w:r>
          </w:p>
          <w:p w14:paraId="3361F4DA" w14:textId="08377C6F" w:rsidR="00954E76" w:rsidRPr="008C5F1C" w:rsidRDefault="00954E76" w:rsidP="00742B97">
            <w:pPr>
              <w:spacing w:after="120" w:line="240" w:lineRule="auto"/>
              <w:jc w:val="both"/>
              <w:rPr>
                <w:rFonts w:ascii="Times New Roman" w:hAnsi="Times New Roman" w:cs="Times New Roman"/>
              </w:rPr>
            </w:pPr>
            <w:r w:rsidRPr="008C5F1C">
              <w:rPr>
                <w:rFonts w:ascii="Times New Roman" w:hAnsi="Times New Roman" w:cs="Times New Roman"/>
              </w:rPr>
              <w:t>În cazul orașelor din Regiunea Nord-Vest, gestionarea parcării rămâne o provocare importantă. Măsurile care vizează ameliorarea parcării tind să fie încă orientate spre creșterea ofertei de parcări în loc de a ținti spre reducerea cererii. Situația este una valabilă la nivel național unde noile schimbări de abordare în ceea ce privește gestiunea parcării sunt abia la început. Proiecte care se încadrează sub egida „</w:t>
            </w:r>
            <w:proofErr w:type="spellStart"/>
            <w:r w:rsidRPr="008C5F1C">
              <w:rPr>
                <w:rFonts w:ascii="Times New Roman" w:hAnsi="Times New Roman" w:cs="Times New Roman"/>
              </w:rPr>
              <w:t>smart</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mobility</w:t>
            </w:r>
            <w:proofErr w:type="spellEnd"/>
            <w:r w:rsidRPr="008C5F1C">
              <w:rPr>
                <w:rFonts w:ascii="Times New Roman" w:hAnsi="Times New Roman" w:cs="Times New Roman"/>
              </w:rPr>
              <w:t xml:space="preserve"> / mobilitate inteligentă” se referă la plata parcării, închirierea locurilor de parcare sau disponibilitatea acestora în timp real. Mai multe detalii despre acest aspect se regăsesc la capitolul „1.12 Politica de parcare”.</w:t>
            </w:r>
          </w:p>
          <w:p w14:paraId="53AD6F23" w14:textId="5D4AC5F9" w:rsidR="00662410" w:rsidRPr="00E311F9" w:rsidRDefault="00662410" w:rsidP="00742B97">
            <w:pPr>
              <w:spacing w:after="120" w:line="240" w:lineRule="auto"/>
              <w:jc w:val="both"/>
              <w:rPr>
                <w:rFonts w:ascii="Times New Roman" w:hAnsi="Times New Roman" w:cs="Times New Roman"/>
              </w:rPr>
            </w:pPr>
            <w:r w:rsidRPr="008C5F1C">
              <w:rPr>
                <w:rFonts w:ascii="Times New Roman" w:hAnsi="Times New Roman" w:cs="Times New Roman"/>
              </w:rPr>
              <w:t xml:space="preserve">În ceea ce privește introducerea noilor tehnologii în amenajarea spațiilor publice, momentan un număr redus de orașe utilizează piese de mobilier inteligent precum pubele hidraulice subterane pentru colectarea </w:t>
            </w:r>
            <w:r w:rsidRPr="00E311F9">
              <w:rPr>
                <w:rFonts w:ascii="Times New Roman" w:hAnsi="Times New Roman" w:cs="Times New Roman"/>
              </w:rPr>
              <w:t>deșeurilor, toalete publice automate, bănci „</w:t>
            </w:r>
            <w:proofErr w:type="spellStart"/>
            <w:r w:rsidRPr="00E311F9">
              <w:rPr>
                <w:rFonts w:ascii="Times New Roman" w:hAnsi="Times New Roman" w:cs="Times New Roman"/>
              </w:rPr>
              <w:t>smart</w:t>
            </w:r>
            <w:proofErr w:type="spellEnd"/>
            <w:r w:rsidRPr="00E311F9">
              <w:rPr>
                <w:rFonts w:ascii="Times New Roman" w:hAnsi="Times New Roman" w:cs="Times New Roman"/>
              </w:rPr>
              <w:t xml:space="preserve">” (cu </w:t>
            </w:r>
            <w:proofErr w:type="spellStart"/>
            <w:r w:rsidRPr="00E311F9">
              <w:rPr>
                <w:rFonts w:ascii="Times New Roman" w:hAnsi="Times New Roman" w:cs="Times New Roman"/>
              </w:rPr>
              <w:t>wi</w:t>
            </w:r>
            <w:proofErr w:type="spellEnd"/>
            <w:r w:rsidRPr="00E311F9">
              <w:rPr>
                <w:rFonts w:ascii="Times New Roman" w:hAnsi="Times New Roman" w:cs="Times New Roman"/>
              </w:rPr>
              <w:t xml:space="preserve">-fi sau </w:t>
            </w:r>
            <w:proofErr w:type="spellStart"/>
            <w:r w:rsidRPr="00E311F9">
              <w:rPr>
                <w:rFonts w:ascii="Times New Roman" w:hAnsi="Times New Roman" w:cs="Times New Roman"/>
              </w:rPr>
              <w:t>încarcător</w:t>
            </w:r>
            <w:proofErr w:type="spellEnd"/>
            <w:r w:rsidRPr="00E311F9">
              <w:rPr>
                <w:rFonts w:ascii="Times New Roman" w:hAnsi="Times New Roman" w:cs="Times New Roman"/>
              </w:rPr>
              <w:t xml:space="preserve">), panouri de informare inteligente, </w:t>
            </w:r>
            <w:proofErr w:type="spellStart"/>
            <w:r w:rsidRPr="00E311F9">
              <w:rPr>
                <w:rFonts w:ascii="Times New Roman" w:hAnsi="Times New Roman" w:cs="Times New Roman"/>
              </w:rPr>
              <w:t>info</w:t>
            </w:r>
            <w:proofErr w:type="spellEnd"/>
            <w:r w:rsidRPr="00E311F9">
              <w:rPr>
                <w:rFonts w:ascii="Times New Roman" w:hAnsi="Times New Roman" w:cs="Times New Roman"/>
              </w:rPr>
              <w:t>-</w:t>
            </w:r>
            <w:proofErr w:type="spellStart"/>
            <w:r w:rsidRPr="00E311F9">
              <w:rPr>
                <w:rFonts w:ascii="Times New Roman" w:hAnsi="Times New Roman" w:cs="Times New Roman"/>
              </w:rPr>
              <w:t>kiosk</w:t>
            </w:r>
            <w:proofErr w:type="spellEnd"/>
            <w:r w:rsidRPr="00E311F9">
              <w:rPr>
                <w:rFonts w:ascii="Times New Roman" w:hAnsi="Times New Roman" w:cs="Times New Roman"/>
              </w:rPr>
              <w:t>-uri sau panouri de informare în stațiile de transport public sau în spațiile de parcare. Cu toate acestea, o pondere ridicată a orașelor din regiune au declarat că sunt interesate să introducă astfel de categorii de mobilier urban în perioada următoare.</w:t>
            </w:r>
          </w:p>
          <w:p w14:paraId="5412D06E" w14:textId="308C020E" w:rsidR="00653571" w:rsidRPr="00E311F9" w:rsidRDefault="00E22FF2" w:rsidP="00742B97">
            <w:pPr>
              <w:spacing w:after="120" w:line="240" w:lineRule="auto"/>
              <w:jc w:val="both"/>
              <w:rPr>
                <w:rFonts w:ascii="Times New Roman" w:hAnsi="Times New Roman" w:cs="Times New Roman"/>
                <w:b/>
                <w:bCs/>
              </w:rPr>
            </w:pPr>
            <w:r w:rsidRPr="00E311F9">
              <w:rPr>
                <w:rFonts w:ascii="Times New Roman" w:hAnsi="Times New Roman" w:cs="Times New Roman"/>
              </w:rPr>
              <w:t>Ț</w:t>
            </w:r>
            <w:r w:rsidR="00653571" w:rsidRPr="00E311F9">
              <w:rPr>
                <w:rFonts w:ascii="Times New Roman" w:hAnsi="Times New Roman" w:cs="Times New Roman"/>
              </w:rPr>
              <w:t>inând seama de priorit</w:t>
            </w:r>
            <w:r w:rsidR="00BA7827" w:rsidRPr="00E311F9">
              <w:rPr>
                <w:rFonts w:ascii="Times New Roman" w:hAnsi="Times New Roman" w:cs="Times New Roman"/>
              </w:rPr>
              <w:t>ă</w:t>
            </w:r>
            <w:r w:rsidRPr="00E311F9">
              <w:rPr>
                <w:rFonts w:ascii="Times New Roman" w:hAnsi="Times New Roman" w:cs="Times New Roman"/>
              </w:rPr>
              <w:t>ț</w:t>
            </w:r>
            <w:r w:rsidR="00653571" w:rsidRPr="00E311F9">
              <w:rPr>
                <w:rFonts w:ascii="Times New Roman" w:hAnsi="Times New Roman" w:cs="Times New Roman"/>
              </w:rPr>
              <w:t>ile strategice de la nivel regional, ac</w:t>
            </w:r>
            <w:r w:rsidRPr="00E311F9">
              <w:rPr>
                <w:rFonts w:ascii="Times New Roman" w:hAnsi="Times New Roman" w:cs="Times New Roman"/>
              </w:rPr>
              <w:t>ț</w:t>
            </w:r>
            <w:r w:rsidR="00653571" w:rsidRPr="00E311F9">
              <w:rPr>
                <w:rFonts w:ascii="Times New Roman" w:hAnsi="Times New Roman" w:cs="Times New Roman"/>
              </w:rPr>
              <w:t>iunile prev</w:t>
            </w:r>
            <w:r w:rsidR="00BA7827" w:rsidRPr="00E311F9">
              <w:rPr>
                <w:rFonts w:ascii="Times New Roman" w:hAnsi="Times New Roman" w:cs="Times New Roman"/>
              </w:rPr>
              <w:t>ă</w:t>
            </w:r>
            <w:r w:rsidR="00653571" w:rsidRPr="00E311F9">
              <w:rPr>
                <w:rFonts w:ascii="Times New Roman" w:hAnsi="Times New Roman" w:cs="Times New Roman"/>
              </w:rPr>
              <w:t>zute în cadrul acestui obiectiv specific vizeaz</w:t>
            </w:r>
            <w:r w:rsidR="00BA7827" w:rsidRPr="00E311F9">
              <w:rPr>
                <w:rFonts w:ascii="Times New Roman" w:hAnsi="Times New Roman" w:cs="Times New Roman"/>
              </w:rPr>
              <w:t>ă</w:t>
            </w:r>
            <w:r w:rsidR="00653571" w:rsidRPr="00E311F9">
              <w:rPr>
                <w:rFonts w:ascii="Times New Roman" w:hAnsi="Times New Roman" w:cs="Times New Roman"/>
              </w:rPr>
              <w:t xml:space="preserve"> cre</w:t>
            </w:r>
            <w:r w:rsidR="00106240" w:rsidRPr="00E311F9">
              <w:rPr>
                <w:rFonts w:ascii="Times New Roman" w:hAnsi="Times New Roman" w:cs="Times New Roman"/>
              </w:rPr>
              <w:t>ș</w:t>
            </w:r>
            <w:r w:rsidR="00653571" w:rsidRPr="00E311F9">
              <w:rPr>
                <w:rFonts w:ascii="Times New Roman" w:hAnsi="Times New Roman" w:cs="Times New Roman"/>
              </w:rPr>
              <w:t>terea utiliz</w:t>
            </w:r>
            <w:r w:rsidR="00BA7827" w:rsidRPr="00E311F9">
              <w:rPr>
                <w:rFonts w:ascii="Times New Roman" w:hAnsi="Times New Roman" w:cs="Times New Roman"/>
              </w:rPr>
              <w:t>ă</w:t>
            </w:r>
            <w:r w:rsidR="00653571" w:rsidRPr="00E311F9">
              <w:rPr>
                <w:rFonts w:ascii="Times New Roman" w:hAnsi="Times New Roman" w:cs="Times New Roman"/>
              </w:rPr>
              <w:t xml:space="preserve">rii serviciilor de e-guvernare </w:t>
            </w:r>
            <w:r w:rsidR="00106240" w:rsidRPr="00E311F9">
              <w:rPr>
                <w:rFonts w:ascii="Times New Roman" w:hAnsi="Times New Roman" w:cs="Times New Roman"/>
              </w:rPr>
              <w:t>ș</w:t>
            </w:r>
            <w:r w:rsidR="00653571" w:rsidRPr="00E311F9">
              <w:rPr>
                <w:rFonts w:ascii="Times New Roman" w:hAnsi="Times New Roman" w:cs="Times New Roman"/>
              </w:rPr>
              <w:t>i favorizarea transform</w:t>
            </w:r>
            <w:r w:rsidR="00BA7827" w:rsidRPr="00E311F9">
              <w:rPr>
                <w:rFonts w:ascii="Times New Roman" w:hAnsi="Times New Roman" w:cs="Times New Roman"/>
              </w:rPr>
              <w:t>ă</w:t>
            </w:r>
            <w:r w:rsidR="00653571" w:rsidRPr="00E311F9">
              <w:rPr>
                <w:rFonts w:ascii="Times New Roman" w:hAnsi="Times New Roman" w:cs="Times New Roman"/>
              </w:rPr>
              <w:t>rii digitale la nivelul administra</w:t>
            </w:r>
            <w:r w:rsidRPr="00E311F9">
              <w:rPr>
                <w:rFonts w:ascii="Times New Roman" w:hAnsi="Times New Roman" w:cs="Times New Roman"/>
              </w:rPr>
              <w:t>ț</w:t>
            </w:r>
            <w:r w:rsidR="00653571" w:rsidRPr="00E311F9">
              <w:rPr>
                <w:rFonts w:ascii="Times New Roman" w:hAnsi="Times New Roman" w:cs="Times New Roman"/>
              </w:rPr>
              <w:t>iei publice locale, pe urm</w:t>
            </w:r>
            <w:r w:rsidR="00BA7827" w:rsidRPr="00E311F9">
              <w:rPr>
                <w:rFonts w:ascii="Times New Roman" w:hAnsi="Times New Roman" w:cs="Times New Roman"/>
              </w:rPr>
              <w:t>ă</w:t>
            </w:r>
            <w:r w:rsidR="00653571" w:rsidRPr="00E311F9">
              <w:rPr>
                <w:rFonts w:ascii="Times New Roman" w:hAnsi="Times New Roman" w:cs="Times New Roman"/>
              </w:rPr>
              <w:t>toarele paliere:</w:t>
            </w:r>
          </w:p>
          <w:p w14:paraId="70D30185" w14:textId="0A1618C2" w:rsidR="00653571" w:rsidRPr="00E311F9" w:rsidRDefault="003B29CE" w:rsidP="00742B97">
            <w:pPr>
              <w:spacing w:after="120" w:line="240" w:lineRule="auto"/>
              <w:jc w:val="both"/>
              <w:rPr>
                <w:rFonts w:ascii="Times New Roman" w:hAnsi="Times New Roman" w:cs="Times New Roman"/>
              </w:rPr>
            </w:pPr>
            <w:r w:rsidRPr="00E311F9">
              <w:rPr>
                <w:rFonts w:ascii="Times New Roman" w:hAnsi="Times New Roman" w:cs="Times New Roman"/>
                <w:b/>
                <w:bCs/>
              </w:rPr>
              <w:t>a</w:t>
            </w:r>
            <w:r w:rsidR="00653571" w:rsidRPr="00E311F9">
              <w:rPr>
                <w:rFonts w:ascii="Times New Roman" w:hAnsi="Times New Roman" w:cs="Times New Roman"/>
                <w:b/>
                <w:bCs/>
              </w:rPr>
              <w:t xml:space="preserve">) </w:t>
            </w:r>
            <w:r w:rsidR="00ED2F99" w:rsidRPr="00E311F9">
              <w:rPr>
                <w:rFonts w:ascii="Times New Roman" w:hAnsi="Times New Roman" w:cs="Times New Roman"/>
                <w:b/>
                <w:bCs/>
              </w:rPr>
              <w:t>Interven</w:t>
            </w:r>
            <w:r w:rsidR="00E22FF2" w:rsidRPr="00E311F9">
              <w:rPr>
                <w:rFonts w:ascii="Times New Roman" w:hAnsi="Times New Roman" w:cs="Times New Roman"/>
                <w:b/>
                <w:bCs/>
              </w:rPr>
              <w:t>ț</w:t>
            </w:r>
            <w:r w:rsidR="00ED2F99" w:rsidRPr="00E311F9">
              <w:rPr>
                <w:rFonts w:ascii="Times New Roman" w:hAnsi="Times New Roman" w:cs="Times New Roman"/>
                <w:b/>
                <w:bCs/>
              </w:rPr>
              <w:t>ii</w:t>
            </w:r>
            <w:r w:rsidR="00395330" w:rsidRPr="00E311F9">
              <w:rPr>
                <w:rFonts w:ascii="Times New Roman" w:hAnsi="Times New Roman" w:cs="Times New Roman"/>
                <w:b/>
                <w:bCs/>
              </w:rPr>
              <w:t xml:space="preserve"> de tip SMART CITY</w:t>
            </w:r>
            <w:r w:rsidR="00653571" w:rsidRPr="00E311F9">
              <w:rPr>
                <w:rFonts w:ascii="Times New Roman" w:hAnsi="Times New Roman" w:cs="Times New Roman"/>
                <w:b/>
                <w:bCs/>
              </w:rPr>
              <w:t xml:space="preserve">. </w:t>
            </w:r>
            <w:r w:rsidRPr="00E311F9">
              <w:rPr>
                <w:rFonts w:ascii="Times New Roman" w:hAnsi="Times New Roman" w:cs="Times New Roman"/>
              </w:rPr>
              <w:t>Sunt avute în vedere ini</w:t>
            </w:r>
            <w:r w:rsidR="00E22FF2" w:rsidRPr="00E311F9">
              <w:rPr>
                <w:rFonts w:ascii="Times New Roman" w:hAnsi="Times New Roman" w:cs="Times New Roman"/>
              </w:rPr>
              <w:t>ț</w:t>
            </w:r>
            <w:r w:rsidRPr="00E311F9">
              <w:rPr>
                <w:rFonts w:ascii="Times New Roman" w:hAnsi="Times New Roman" w:cs="Times New Roman"/>
              </w:rPr>
              <w:t>iative care vizeaz</w:t>
            </w:r>
            <w:r w:rsidR="00BA7827" w:rsidRPr="00E311F9">
              <w:rPr>
                <w:rFonts w:ascii="Times New Roman" w:hAnsi="Times New Roman" w:cs="Times New Roman"/>
              </w:rPr>
              <w:t>ă</w:t>
            </w:r>
            <w:r w:rsidRPr="00E311F9">
              <w:rPr>
                <w:rFonts w:ascii="Times New Roman" w:hAnsi="Times New Roman" w:cs="Times New Roman"/>
              </w:rPr>
              <w:t xml:space="preserve"> calitatea mediului urban, </w:t>
            </w:r>
            <w:r w:rsidR="00933752" w:rsidRPr="00E311F9">
              <w:rPr>
                <w:rFonts w:ascii="Times New Roman" w:hAnsi="Times New Roman" w:cs="Times New Roman"/>
              </w:rPr>
              <w:t>acoperind inclusiv</w:t>
            </w:r>
            <w:r w:rsidR="00AA65B2" w:rsidRPr="00E311F9">
              <w:rPr>
                <w:rFonts w:ascii="Times New Roman" w:hAnsi="Times New Roman" w:cs="Times New Roman"/>
              </w:rPr>
              <w:t xml:space="preserve"> zonele</w:t>
            </w:r>
            <w:r w:rsidRPr="00E311F9">
              <w:rPr>
                <w:rFonts w:ascii="Times New Roman" w:hAnsi="Times New Roman" w:cs="Times New Roman"/>
              </w:rPr>
              <w:t xml:space="preserve"> </w:t>
            </w:r>
            <w:r w:rsidR="00933752" w:rsidRPr="00E311F9">
              <w:rPr>
                <w:rFonts w:ascii="Times New Roman" w:hAnsi="Times New Roman" w:cs="Times New Roman"/>
              </w:rPr>
              <w:t xml:space="preserve">rurale din zonele </w:t>
            </w:r>
            <w:r w:rsidRPr="00E311F9">
              <w:rPr>
                <w:rFonts w:ascii="Times New Roman" w:hAnsi="Times New Roman" w:cs="Times New Roman"/>
              </w:rPr>
              <w:t xml:space="preserve">metropolitane </w:t>
            </w:r>
            <w:r w:rsidR="00106240" w:rsidRPr="00E311F9">
              <w:rPr>
                <w:rFonts w:ascii="Times New Roman" w:hAnsi="Times New Roman" w:cs="Times New Roman"/>
              </w:rPr>
              <w:t>ș</w:t>
            </w:r>
            <w:r w:rsidRPr="00E311F9">
              <w:rPr>
                <w:rFonts w:ascii="Times New Roman" w:hAnsi="Times New Roman" w:cs="Times New Roman"/>
              </w:rPr>
              <w:t xml:space="preserve">i </w:t>
            </w:r>
            <w:r w:rsidR="006456BC">
              <w:rPr>
                <w:rFonts w:ascii="Times New Roman" w:hAnsi="Times New Roman" w:cs="Times New Roman"/>
              </w:rPr>
              <w:t>din</w:t>
            </w:r>
            <w:r w:rsidRPr="00E311F9">
              <w:rPr>
                <w:rFonts w:ascii="Times New Roman" w:hAnsi="Times New Roman" w:cs="Times New Roman"/>
              </w:rPr>
              <w:t xml:space="preserve"> zonele urbane func</w:t>
            </w:r>
            <w:r w:rsidR="00E22FF2" w:rsidRPr="00E311F9">
              <w:rPr>
                <w:rFonts w:ascii="Times New Roman" w:hAnsi="Times New Roman" w:cs="Times New Roman"/>
              </w:rPr>
              <w:t>ț</w:t>
            </w:r>
            <w:r w:rsidRPr="00E311F9">
              <w:rPr>
                <w:rFonts w:ascii="Times New Roman" w:hAnsi="Times New Roman" w:cs="Times New Roman"/>
              </w:rPr>
              <w:t>ionale, de ex: siguran</w:t>
            </w:r>
            <w:r w:rsidR="00E22FF2" w:rsidRPr="00E311F9">
              <w:rPr>
                <w:rFonts w:ascii="Times New Roman" w:hAnsi="Times New Roman" w:cs="Times New Roman"/>
              </w:rPr>
              <w:t>ț</w:t>
            </w:r>
            <w:r w:rsidRPr="00E311F9">
              <w:rPr>
                <w:rFonts w:ascii="Times New Roman" w:hAnsi="Times New Roman" w:cs="Times New Roman"/>
              </w:rPr>
              <w:t>a public</w:t>
            </w:r>
            <w:r w:rsidR="00BA7827" w:rsidRPr="00E311F9">
              <w:rPr>
                <w:rFonts w:ascii="Times New Roman" w:hAnsi="Times New Roman" w:cs="Times New Roman"/>
              </w:rPr>
              <w:t>ă</w:t>
            </w:r>
            <w:r w:rsidRPr="00E311F9">
              <w:rPr>
                <w:rFonts w:ascii="Times New Roman" w:hAnsi="Times New Roman" w:cs="Times New Roman"/>
              </w:rPr>
              <w:t xml:space="preserve">, servicii </w:t>
            </w:r>
            <w:r w:rsidR="00106240" w:rsidRPr="00E311F9">
              <w:rPr>
                <w:rFonts w:ascii="Times New Roman" w:hAnsi="Times New Roman" w:cs="Times New Roman"/>
              </w:rPr>
              <w:t>ș</w:t>
            </w:r>
            <w:r w:rsidRPr="00E311F9">
              <w:rPr>
                <w:rFonts w:ascii="Times New Roman" w:hAnsi="Times New Roman" w:cs="Times New Roman"/>
              </w:rPr>
              <w:t>i utilit</w:t>
            </w:r>
            <w:r w:rsidR="00BA7827" w:rsidRPr="00E311F9">
              <w:rPr>
                <w:rFonts w:ascii="Times New Roman" w:hAnsi="Times New Roman" w:cs="Times New Roman"/>
              </w:rPr>
              <w:t>ă</w:t>
            </w:r>
            <w:r w:rsidR="00E22FF2" w:rsidRPr="00E311F9">
              <w:rPr>
                <w:rFonts w:ascii="Times New Roman" w:hAnsi="Times New Roman" w:cs="Times New Roman"/>
              </w:rPr>
              <w:t>ț</w:t>
            </w:r>
            <w:r w:rsidRPr="00E311F9">
              <w:rPr>
                <w:rFonts w:ascii="Times New Roman" w:hAnsi="Times New Roman" w:cs="Times New Roman"/>
              </w:rPr>
              <w:t>i publice, monitorizarea consumului de energie, monitorizarea diferitelor componente ale calit</w:t>
            </w:r>
            <w:r w:rsidR="00BA7827" w:rsidRPr="00E311F9">
              <w:rPr>
                <w:rFonts w:ascii="Times New Roman" w:hAnsi="Times New Roman" w:cs="Times New Roman"/>
              </w:rPr>
              <w:t>ă</w:t>
            </w:r>
            <w:r w:rsidR="00E22FF2" w:rsidRPr="00E311F9">
              <w:rPr>
                <w:rFonts w:ascii="Times New Roman" w:hAnsi="Times New Roman" w:cs="Times New Roman"/>
              </w:rPr>
              <w:t>ț</w:t>
            </w:r>
            <w:r w:rsidRPr="00E311F9">
              <w:rPr>
                <w:rFonts w:ascii="Times New Roman" w:hAnsi="Times New Roman" w:cs="Times New Roman"/>
              </w:rPr>
              <w:t>ii mediului înconjur</w:t>
            </w:r>
            <w:r w:rsidR="00BA7827" w:rsidRPr="00E311F9">
              <w:rPr>
                <w:rFonts w:ascii="Times New Roman" w:hAnsi="Times New Roman" w:cs="Times New Roman"/>
              </w:rPr>
              <w:t>ă</w:t>
            </w:r>
            <w:r w:rsidRPr="00E311F9">
              <w:rPr>
                <w:rFonts w:ascii="Times New Roman" w:hAnsi="Times New Roman" w:cs="Times New Roman"/>
              </w:rPr>
              <w:t>tor, baze de date geospa</w:t>
            </w:r>
            <w:r w:rsidR="00E22FF2" w:rsidRPr="00E311F9">
              <w:rPr>
                <w:rFonts w:ascii="Times New Roman" w:hAnsi="Times New Roman" w:cs="Times New Roman"/>
              </w:rPr>
              <w:t>ț</w:t>
            </w:r>
            <w:r w:rsidRPr="00E311F9">
              <w:rPr>
                <w:rFonts w:ascii="Times New Roman" w:hAnsi="Times New Roman" w:cs="Times New Roman"/>
              </w:rPr>
              <w:t xml:space="preserve">iale, sisteme de management al traficului </w:t>
            </w:r>
            <w:r w:rsidR="00106240" w:rsidRPr="00E311F9">
              <w:rPr>
                <w:rFonts w:ascii="Times New Roman" w:hAnsi="Times New Roman" w:cs="Times New Roman"/>
              </w:rPr>
              <w:t>ș</w:t>
            </w:r>
            <w:r w:rsidRPr="00E311F9">
              <w:rPr>
                <w:rFonts w:ascii="Times New Roman" w:hAnsi="Times New Roman" w:cs="Times New Roman"/>
              </w:rPr>
              <w:t>i optimizarea transportului public, iluminat public etc. (lista nu este exhaustiv</w:t>
            </w:r>
            <w:r w:rsidR="00BA7827" w:rsidRPr="00E311F9">
              <w:rPr>
                <w:rFonts w:ascii="Times New Roman" w:hAnsi="Times New Roman" w:cs="Times New Roman"/>
              </w:rPr>
              <w:t>ă</w:t>
            </w:r>
            <w:r w:rsidRPr="00E311F9">
              <w:rPr>
                <w:rFonts w:ascii="Times New Roman" w:hAnsi="Times New Roman" w:cs="Times New Roman"/>
              </w:rPr>
              <w:t>).</w:t>
            </w:r>
            <w:r w:rsidR="00505F9B" w:rsidRPr="00E311F9">
              <w:rPr>
                <w:rFonts w:ascii="Times New Roman" w:hAnsi="Times New Roman" w:cs="Times New Roman"/>
              </w:rPr>
              <w:t xml:space="preserve"> </w:t>
            </w:r>
            <w:r w:rsidR="00653571" w:rsidRPr="00E311F9">
              <w:rPr>
                <w:rFonts w:ascii="Times New Roman" w:hAnsi="Times New Roman" w:cs="Times New Roman"/>
              </w:rPr>
              <w:t>Ac</w:t>
            </w:r>
            <w:r w:rsidR="00E22FF2" w:rsidRPr="00E311F9">
              <w:rPr>
                <w:rFonts w:ascii="Times New Roman" w:hAnsi="Times New Roman" w:cs="Times New Roman"/>
              </w:rPr>
              <w:t>ț</w:t>
            </w:r>
            <w:r w:rsidR="00653571" w:rsidRPr="00E311F9">
              <w:rPr>
                <w:rFonts w:ascii="Times New Roman" w:hAnsi="Times New Roman" w:cs="Times New Roman"/>
              </w:rPr>
              <w:t>iunile vizeaz</w:t>
            </w:r>
            <w:r w:rsidR="00BA7827" w:rsidRPr="00E311F9">
              <w:rPr>
                <w:rFonts w:ascii="Times New Roman" w:hAnsi="Times New Roman" w:cs="Times New Roman"/>
              </w:rPr>
              <w:t>ă</w:t>
            </w:r>
            <w:r w:rsidR="00661A43" w:rsidRPr="00E311F9">
              <w:rPr>
                <w:rFonts w:ascii="Times New Roman" w:hAnsi="Times New Roman" w:cs="Times New Roman"/>
              </w:rPr>
              <w:t xml:space="preserve"> </w:t>
            </w:r>
            <w:proofErr w:type="spellStart"/>
            <w:r w:rsidR="00661A43" w:rsidRPr="00E311F9">
              <w:rPr>
                <w:rFonts w:ascii="Times New Roman" w:hAnsi="Times New Roman" w:cs="Times New Roman"/>
              </w:rPr>
              <w:t>fara</w:t>
            </w:r>
            <w:proofErr w:type="spellEnd"/>
            <w:r w:rsidR="00661A43" w:rsidRPr="00E311F9">
              <w:rPr>
                <w:rFonts w:ascii="Times New Roman" w:hAnsi="Times New Roman" w:cs="Times New Roman"/>
              </w:rPr>
              <w:t xml:space="preserve"> a se limita</w:t>
            </w:r>
            <w:r w:rsidR="00653571" w:rsidRPr="00E311F9">
              <w:rPr>
                <w:rFonts w:ascii="Times New Roman" w:hAnsi="Times New Roman" w:cs="Times New Roman"/>
              </w:rPr>
              <w:t>:</w:t>
            </w:r>
          </w:p>
          <w:p w14:paraId="45FE426E" w14:textId="6F49C19D" w:rsidR="00C4078A" w:rsidRPr="008C5F1C" w:rsidRDefault="00C4078A" w:rsidP="00742B97">
            <w:pPr>
              <w:pStyle w:val="ListParagraph"/>
              <w:numPr>
                <w:ilvl w:val="0"/>
                <w:numId w:val="58"/>
              </w:numPr>
              <w:spacing w:before="0" w:line="240" w:lineRule="auto"/>
              <w:jc w:val="both"/>
              <w:rPr>
                <w:sz w:val="22"/>
                <w:lang w:val="ro-RO"/>
              </w:rPr>
            </w:pPr>
            <w:r w:rsidRPr="008C5F1C">
              <w:rPr>
                <w:sz w:val="22"/>
                <w:lang w:val="ro-RO"/>
              </w:rPr>
              <w:t>Mobilitate inteligenta:</w:t>
            </w:r>
            <w:r w:rsidR="00D65231" w:rsidRPr="008C5F1C">
              <w:rPr>
                <w:sz w:val="22"/>
                <w:lang w:val="ro-RO"/>
              </w:rPr>
              <w:t xml:space="preserve"> </w:t>
            </w:r>
            <w:proofErr w:type="spellStart"/>
            <w:r w:rsidR="00D65231" w:rsidRPr="008C5F1C">
              <w:rPr>
                <w:sz w:val="22"/>
                <w:lang w:val="ro-RO"/>
              </w:rPr>
              <w:t>aplicatii</w:t>
            </w:r>
            <w:proofErr w:type="spellEnd"/>
            <w:r w:rsidR="00D65231" w:rsidRPr="008C5F1C">
              <w:rPr>
                <w:sz w:val="22"/>
                <w:lang w:val="ro-RO"/>
              </w:rPr>
              <w:t xml:space="preserve"> pentru</w:t>
            </w:r>
            <w:r w:rsidRPr="008C5F1C">
              <w:rPr>
                <w:sz w:val="22"/>
                <w:lang w:val="ro-RO"/>
              </w:rPr>
              <w:t xml:space="preserve"> transportul public local, identificarea parcărilor, ghidarea spre acestea și afișarea disponibilității, plata </w:t>
            </w:r>
            <w:proofErr w:type="spellStart"/>
            <w:r w:rsidRPr="008C5F1C">
              <w:rPr>
                <w:sz w:val="22"/>
                <w:lang w:val="ro-RO"/>
              </w:rPr>
              <w:t>parcarii</w:t>
            </w:r>
            <w:proofErr w:type="spellEnd"/>
            <w:r w:rsidRPr="008C5F1C">
              <w:rPr>
                <w:sz w:val="22"/>
                <w:lang w:val="ro-RO"/>
              </w:rPr>
              <w:t xml:space="preserve">, treceri de pietoni </w:t>
            </w:r>
            <w:proofErr w:type="spellStart"/>
            <w:r w:rsidRPr="008C5F1C">
              <w:rPr>
                <w:sz w:val="22"/>
                <w:lang w:val="ro-RO"/>
              </w:rPr>
              <w:t>smart</w:t>
            </w:r>
            <w:proofErr w:type="spellEnd"/>
            <w:r w:rsidRPr="008C5F1C">
              <w:rPr>
                <w:sz w:val="22"/>
                <w:lang w:val="ro-RO"/>
              </w:rPr>
              <w:t xml:space="preserve"> pe baza de senzori, </w:t>
            </w:r>
            <w:proofErr w:type="spellStart"/>
            <w:r w:rsidRPr="008C5F1C">
              <w:rPr>
                <w:sz w:val="22"/>
                <w:lang w:val="ro-RO"/>
              </w:rPr>
              <w:t>mobility</w:t>
            </w:r>
            <w:proofErr w:type="spellEnd"/>
            <w:r w:rsidRPr="008C5F1C">
              <w:rPr>
                <w:sz w:val="22"/>
                <w:lang w:val="ro-RO"/>
              </w:rPr>
              <w:t xml:space="preserve"> as a service, sistem</w:t>
            </w:r>
            <w:r w:rsidR="00D65231" w:rsidRPr="008C5F1C">
              <w:rPr>
                <w:sz w:val="22"/>
                <w:lang w:val="ro-RO"/>
              </w:rPr>
              <w:t>e</w:t>
            </w:r>
            <w:r w:rsidRPr="008C5F1C">
              <w:rPr>
                <w:sz w:val="22"/>
                <w:lang w:val="ro-RO"/>
              </w:rPr>
              <w:t xml:space="preserve"> de management al traficului, garaje </w:t>
            </w:r>
            <w:proofErr w:type="spellStart"/>
            <w:r w:rsidRPr="008C5F1C">
              <w:rPr>
                <w:sz w:val="22"/>
                <w:lang w:val="ro-RO"/>
              </w:rPr>
              <w:t>smart</w:t>
            </w:r>
            <w:proofErr w:type="spellEnd"/>
            <w:r w:rsidRPr="008C5F1C">
              <w:rPr>
                <w:sz w:val="22"/>
                <w:lang w:val="ro-RO"/>
              </w:rPr>
              <w:t xml:space="preserve"> pentru biciclete, etc</w:t>
            </w:r>
          </w:p>
          <w:p w14:paraId="77ACCA09" w14:textId="388ECC65" w:rsidR="004C5DDA" w:rsidRPr="008C5F1C" w:rsidRDefault="00C4078A" w:rsidP="00742B97">
            <w:pPr>
              <w:pStyle w:val="ListParagraph"/>
              <w:numPr>
                <w:ilvl w:val="0"/>
                <w:numId w:val="58"/>
              </w:numPr>
              <w:spacing w:before="0" w:line="240" w:lineRule="auto"/>
              <w:jc w:val="both"/>
              <w:rPr>
                <w:sz w:val="22"/>
                <w:lang w:val="ro-RO"/>
              </w:rPr>
            </w:pPr>
            <w:r w:rsidRPr="008C5F1C">
              <w:rPr>
                <w:sz w:val="22"/>
                <w:lang w:val="ro-RO"/>
              </w:rPr>
              <w:t xml:space="preserve">Locuire inteligenta: </w:t>
            </w:r>
            <w:proofErr w:type="spellStart"/>
            <w:r w:rsidRPr="008C5F1C">
              <w:rPr>
                <w:sz w:val="22"/>
                <w:lang w:val="ro-RO"/>
              </w:rPr>
              <w:t>solutii</w:t>
            </w:r>
            <w:proofErr w:type="spellEnd"/>
            <w:r w:rsidRPr="008C5F1C">
              <w:rPr>
                <w:sz w:val="22"/>
                <w:lang w:val="ro-RO"/>
              </w:rPr>
              <w:t xml:space="preserve"> de  tipul </w:t>
            </w:r>
            <w:proofErr w:type="spellStart"/>
            <w:r w:rsidRPr="008C5F1C">
              <w:rPr>
                <w:sz w:val="22"/>
                <w:lang w:val="ro-RO"/>
              </w:rPr>
              <w:t>city</w:t>
            </w:r>
            <w:proofErr w:type="spellEnd"/>
            <w:r w:rsidRPr="008C5F1C">
              <w:rPr>
                <w:sz w:val="22"/>
                <w:lang w:val="ro-RO"/>
              </w:rPr>
              <w:t xml:space="preserve"> </w:t>
            </w:r>
            <w:proofErr w:type="spellStart"/>
            <w:r w:rsidRPr="008C5F1C">
              <w:rPr>
                <w:sz w:val="22"/>
                <w:lang w:val="ro-RO"/>
              </w:rPr>
              <w:t>pass</w:t>
            </w:r>
            <w:proofErr w:type="spellEnd"/>
            <w:r w:rsidRPr="008C5F1C">
              <w:rPr>
                <w:sz w:val="22"/>
                <w:lang w:val="ro-RO"/>
              </w:rPr>
              <w:t xml:space="preserve"> turistic, s</w:t>
            </w:r>
            <w:r w:rsidR="00D65231" w:rsidRPr="008C5F1C">
              <w:rPr>
                <w:sz w:val="22"/>
                <w:lang w:val="ro-RO"/>
              </w:rPr>
              <w:t>i</w:t>
            </w:r>
            <w:r w:rsidRPr="008C5F1C">
              <w:rPr>
                <w:sz w:val="22"/>
                <w:lang w:val="ro-RO"/>
              </w:rPr>
              <w:t>steme de gestiune inteligenta a spatii</w:t>
            </w:r>
            <w:r w:rsidR="00661A43" w:rsidRPr="008C5F1C">
              <w:rPr>
                <w:sz w:val="22"/>
                <w:lang w:val="ro-RO"/>
              </w:rPr>
              <w:t>lor</w:t>
            </w:r>
            <w:r w:rsidRPr="008C5F1C">
              <w:rPr>
                <w:sz w:val="22"/>
                <w:lang w:val="ro-RO"/>
              </w:rPr>
              <w:t xml:space="preserve"> verzi, </w:t>
            </w:r>
            <w:proofErr w:type="spellStart"/>
            <w:r w:rsidR="004C5DDA" w:rsidRPr="008C5F1C">
              <w:rPr>
                <w:sz w:val="22"/>
                <w:lang w:val="ro-RO"/>
              </w:rPr>
              <w:t>WiFi</w:t>
            </w:r>
            <w:proofErr w:type="spellEnd"/>
            <w:r w:rsidR="004C5DDA" w:rsidRPr="008C5F1C">
              <w:rPr>
                <w:sz w:val="22"/>
                <w:lang w:val="ro-RO"/>
              </w:rPr>
              <w:t xml:space="preserve"> in spatii publice, dezvoltarea bazelor de date geospațiale și centrelor de date urbane, mobilier urban </w:t>
            </w:r>
            <w:proofErr w:type="spellStart"/>
            <w:r w:rsidR="004C5DDA" w:rsidRPr="008C5F1C">
              <w:rPr>
                <w:sz w:val="22"/>
                <w:lang w:val="ro-RO"/>
              </w:rPr>
              <w:t>smart</w:t>
            </w:r>
            <w:proofErr w:type="spellEnd"/>
            <w:r w:rsidR="004C5DDA" w:rsidRPr="008C5F1C">
              <w:rPr>
                <w:sz w:val="22"/>
                <w:lang w:val="ro-RO"/>
              </w:rPr>
              <w:t>, sistem</w:t>
            </w:r>
            <w:r w:rsidR="00D65231" w:rsidRPr="008C5F1C">
              <w:rPr>
                <w:sz w:val="22"/>
                <w:lang w:val="ro-RO"/>
              </w:rPr>
              <w:t>e</w:t>
            </w:r>
            <w:r w:rsidR="004C5DDA" w:rsidRPr="008C5F1C">
              <w:rPr>
                <w:sz w:val="22"/>
                <w:lang w:val="ro-RO"/>
              </w:rPr>
              <w:t xml:space="preserve"> de monitorizare si </w:t>
            </w:r>
            <w:proofErr w:type="spellStart"/>
            <w:r w:rsidR="004C5DDA" w:rsidRPr="008C5F1C">
              <w:rPr>
                <w:sz w:val="22"/>
                <w:lang w:val="ro-RO"/>
              </w:rPr>
              <w:t>siguranta</w:t>
            </w:r>
            <w:proofErr w:type="spellEnd"/>
            <w:r w:rsidR="004C5DDA" w:rsidRPr="008C5F1C">
              <w:rPr>
                <w:sz w:val="22"/>
                <w:lang w:val="ro-RO"/>
              </w:rPr>
              <w:t xml:space="preserve"> a </w:t>
            </w:r>
            <w:proofErr w:type="spellStart"/>
            <w:r w:rsidR="004C5DDA" w:rsidRPr="008C5F1C">
              <w:rPr>
                <w:sz w:val="22"/>
                <w:lang w:val="ro-RO"/>
              </w:rPr>
              <w:t>spatiului</w:t>
            </w:r>
            <w:proofErr w:type="spellEnd"/>
            <w:r w:rsidR="004C5DDA" w:rsidRPr="008C5F1C">
              <w:rPr>
                <w:sz w:val="22"/>
                <w:lang w:val="ro-RO"/>
              </w:rPr>
              <w:t xml:space="preserve"> public, digitalizarea si </w:t>
            </w:r>
            <w:proofErr w:type="spellStart"/>
            <w:r w:rsidR="004C5DDA" w:rsidRPr="008C5F1C">
              <w:rPr>
                <w:sz w:val="22"/>
                <w:lang w:val="ro-RO"/>
              </w:rPr>
              <w:t>reconstructia</w:t>
            </w:r>
            <w:proofErr w:type="spellEnd"/>
            <w:r w:rsidR="004C5DDA" w:rsidRPr="008C5F1C">
              <w:rPr>
                <w:sz w:val="22"/>
                <w:lang w:val="ro-RO"/>
              </w:rPr>
              <w:t xml:space="preserve"> digitala a  obiectivelor de patrimoniu, </w:t>
            </w:r>
            <w:proofErr w:type="spellStart"/>
            <w:r w:rsidR="004C5DDA" w:rsidRPr="008C5F1C">
              <w:rPr>
                <w:sz w:val="22"/>
                <w:lang w:val="ro-RO"/>
              </w:rPr>
              <w:t>aplicatii</w:t>
            </w:r>
            <w:proofErr w:type="spellEnd"/>
            <w:r w:rsidR="004C5DDA" w:rsidRPr="008C5F1C">
              <w:rPr>
                <w:sz w:val="22"/>
                <w:lang w:val="ro-RO"/>
              </w:rPr>
              <w:t xml:space="preserve"> de informare a </w:t>
            </w:r>
            <w:proofErr w:type="spellStart"/>
            <w:r w:rsidR="004C5DDA" w:rsidRPr="008C5F1C">
              <w:rPr>
                <w:sz w:val="22"/>
                <w:lang w:val="ro-RO"/>
              </w:rPr>
              <w:t>cetatenilor</w:t>
            </w:r>
            <w:proofErr w:type="spellEnd"/>
            <w:r w:rsidR="004C5DDA" w:rsidRPr="008C5F1C">
              <w:rPr>
                <w:sz w:val="22"/>
                <w:lang w:val="ro-RO"/>
              </w:rPr>
              <w:t xml:space="preserve"> asupra serviciilor medicale si de </w:t>
            </w:r>
            <w:proofErr w:type="spellStart"/>
            <w:r w:rsidR="004C5DDA" w:rsidRPr="008C5F1C">
              <w:rPr>
                <w:sz w:val="22"/>
                <w:lang w:val="ro-RO"/>
              </w:rPr>
              <w:t>sanatate</w:t>
            </w:r>
            <w:proofErr w:type="spellEnd"/>
            <w:r w:rsidR="004C5DDA" w:rsidRPr="008C5F1C">
              <w:rPr>
                <w:sz w:val="22"/>
                <w:lang w:val="ro-RO"/>
              </w:rPr>
              <w:t>, centr</w:t>
            </w:r>
            <w:r w:rsidR="00D65231" w:rsidRPr="008C5F1C">
              <w:rPr>
                <w:sz w:val="22"/>
                <w:lang w:val="ro-RO"/>
              </w:rPr>
              <w:t>e</w:t>
            </w:r>
            <w:r w:rsidR="004C5DDA" w:rsidRPr="008C5F1C">
              <w:rPr>
                <w:sz w:val="22"/>
                <w:lang w:val="ro-RO"/>
              </w:rPr>
              <w:t xml:space="preserve"> pentru monitorizarea </w:t>
            </w:r>
            <w:proofErr w:type="spellStart"/>
            <w:r w:rsidR="004C5DDA" w:rsidRPr="008C5F1C">
              <w:rPr>
                <w:sz w:val="22"/>
                <w:lang w:val="ro-RO"/>
              </w:rPr>
              <w:t>situatiei</w:t>
            </w:r>
            <w:proofErr w:type="spellEnd"/>
            <w:r w:rsidR="004C5DDA" w:rsidRPr="008C5F1C">
              <w:rPr>
                <w:sz w:val="22"/>
                <w:lang w:val="ro-RO"/>
              </w:rPr>
              <w:t xml:space="preserve"> </w:t>
            </w:r>
            <w:proofErr w:type="spellStart"/>
            <w:r w:rsidR="004C5DDA" w:rsidRPr="008C5F1C">
              <w:rPr>
                <w:sz w:val="22"/>
                <w:lang w:val="ro-RO"/>
              </w:rPr>
              <w:t>orasului</w:t>
            </w:r>
            <w:proofErr w:type="spellEnd"/>
            <w:r w:rsidR="004C5DDA" w:rsidRPr="008C5F1C">
              <w:rPr>
                <w:sz w:val="22"/>
                <w:lang w:val="ro-RO"/>
              </w:rPr>
              <w:t xml:space="preserve"> in timp real, etc</w:t>
            </w:r>
          </w:p>
          <w:p w14:paraId="54CC1AE8" w14:textId="7352733B" w:rsidR="004C5DDA" w:rsidRPr="008C5F1C" w:rsidRDefault="004C5DDA" w:rsidP="00742B97">
            <w:pPr>
              <w:pStyle w:val="ListParagraph"/>
              <w:numPr>
                <w:ilvl w:val="0"/>
                <w:numId w:val="58"/>
              </w:numPr>
              <w:spacing w:before="0" w:line="240" w:lineRule="auto"/>
              <w:jc w:val="both"/>
              <w:rPr>
                <w:sz w:val="22"/>
                <w:lang w:val="ro-RO"/>
              </w:rPr>
            </w:pPr>
            <w:r w:rsidRPr="008C5F1C">
              <w:rPr>
                <w:sz w:val="22"/>
                <w:lang w:val="ro-RO"/>
              </w:rPr>
              <w:t xml:space="preserve">Economie inteligenta: </w:t>
            </w:r>
            <w:proofErr w:type="spellStart"/>
            <w:r w:rsidRPr="008C5F1C">
              <w:rPr>
                <w:sz w:val="22"/>
                <w:lang w:val="ro-RO"/>
              </w:rPr>
              <w:t>aplicatii</w:t>
            </w:r>
            <w:proofErr w:type="spellEnd"/>
            <w:r w:rsidRPr="008C5F1C">
              <w:rPr>
                <w:sz w:val="22"/>
                <w:lang w:val="ro-RO"/>
              </w:rPr>
              <w:t xml:space="preserve"> de tipul </w:t>
            </w:r>
            <w:proofErr w:type="spellStart"/>
            <w:r w:rsidRPr="008C5F1C">
              <w:rPr>
                <w:sz w:val="22"/>
                <w:lang w:val="ro-RO"/>
              </w:rPr>
              <w:t>one</w:t>
            </w:r>
            <w:proofErr w:type="spellEnd"/>
            <w:r w:rsidRPr="008C5F1C">
              <w:rPr>
                <w:sz w:val="22"/>
                <w:lang w:val="ro-RO"/>
              </w:rPr>
              <w:t xml:space="preserve"> stop shop pentru mediul de afaceri, platform</w:t>
            </w:r>
            <w:r w:rsidR="00D65231" w:rsidRPr="008C5F1C">
              <w:rPr>
                <w:sz w:val="22"/>
                <w:lang w:val="ro-RO"/>
              </w:rPr>
              <w:t>e</w:t>
            </w:r>
            <w:r w:rsidRPr="008C5F1C">
              <w:rPr>
                <w:sz w:val="22"/>
                <w:lang w:val="ro-RO"/>
              </w:rPr>
              <w:t xml:space="preserve"> de atragere </w:t>
            </w:r>
            <w:proofErr w:type="spellStart"/>
            <w:r w:rsidRPr="008C5F1C">
              <w:rPr>
                <w:sz w:val="22"/>
                <w:lang w:val="ro-RO"/>
              </w:rPr>
              <w:t>investitii</w:t>
            </w:r>
            <w:proofErr w:type="spellEnd"/>
            <w:r w:rsidRPr="008C5F1C">
              <w:rPr>
                <w:sz w:val="22"/>
                <w:lang w:val="ro-RO"/>
              </w:rPr>
              <w:t xml:space="preserve">, centre de inovare locala, </w:t>
            </w:r>
            <w:proofErr w:type="spellStart"/>
            <w:r w:rsidRPr="008C5F1C">
              <w:rPr>
                <w:sz w:val="22"/>
                <w:lang w:val="ro-RO"/>
              </w:rPr>
              <w:t>marketplace</w:t>
            </w:r>
            <w:proofErr w:type="spellEnd"/>
            <w:r w:rsidRPr="008C5F1C">
              <w:rPr>
                <w:sz w:val="22"/>
                <w:lang w:val="ro-RO"/>
              </w:rPr>
              <w:t xml:space="preserve">, </w:t>
            </w:r>
            <w:proofErr w:type="spellStart"/>
            <w:r w:rsidRPr="008C5F1C">
              <w:rPr>
                <w:sz w:val="22"/>
                <w:lang w:val="ro-RO"/>
              </w:rPr>
              <w:t>FABlab</w:t>
            </w:r>
            <w:proofErr w:type="spellEnd"/>
            <w:r w:rsidRPr="008C5F1C">
              <w:rPr>
                <w:sz w:val="22"/>
                <w:lang w:val="ro-RO"/>
              </w:rPr>
              <w:t xml:space="preserve">, dezvoltarea laboratoarelor vii  (living </w:t>
            </w:r>
            <w:proofErr w:type="spellStart"/>
            <w:r w:rsidRPr="008C5F1C">
              <w:rPr>
                <w:sz w:val="22"/>
                <w:lang w:val="ro-RO"/>
              </w:rPr>
              <w:t>labs</w:t>
            </w:r>
            <w:proofErr w:type="spellEnd"/>
            <w:r w:rsidRPr="008C5F1C">
              <w:rPr>
                <w:sz w:val="22"/>
                <w:lang w:val="ro-RO"/>
              </w:rPr>
              <w:t xml:space="preserve">) pentru soluții de tip </w:t>
            </w:r>
            <w:proofErr w:type="spellStart"/>
            <w:r w:rsidRPr="008C5F1C">
              <w:rPr>
                <w:sz w:val="22"/>
                <w:lang w:val="ro-RO"/>
              </w:rPr>
              <w:t>smart</w:t>
            </w:r>
            <w:proofErr w:type="spellEnd"/>
            <w:r w:rsidRPr="008C5F1C">
              <w:rPr>
                <w:sz w:val="22"/>
                <w:lang w:val="ro-RO"/>
              </w:rPr>
              <w:t xml:space="preserve"> </w:t>
            </w:r>
            <w:proofErr w:type="spellStart"/>
            <w:r w:rsidRPr="008C5F1C">
              <w:rPr>
                <w:sz w:val="22"/>
                <w:lang w:val="ro-RO"/>
              </w:rPr>
              <w:t>city</w:t>
            </w:r>
            <w:proofErr w:type="spellEnd"/>
            <w:r w:rsidRPr="008C5F1C">
              <w:rPr>
                <w:sz w:val="22"/>
                <w:lang w:val="ro-RO"/>
              </w:rPr>
              <w:t>, etc</w:t>
            </w:r>
          </w:p>
          <w:p w14:paraId="142DCD12" w14:textId="7881E48A" w:rsidR="00B81FFA" w:rsidRPr="008C5F1C" w:rsidRDefault="004C5DDA" w:rsidP="00742B97">
            <w:pPr>
              <w:pStyle w:val="ListParagraph"/>
              <w:numPr>
                <w:ilvl w:val="0"/>
                <w:numId w:val="58"/>
              </w:numPr>
              <w:spacing w:before="0" w:line="240" w:lineRule="auto"/>
              <w:jc w:val="both"/>
              <w:rPr>
                <w:sz w:val="22"/>
                <w:lang w:val="ro-RO"/>
              </w:rPr>
            </w:pPr>
            <w:proofErr w:type="spellStart"/>
            <w:r w:rsidRPr="008C5F1C">
              <w:rPr>
                <w:sz w:val="22"/>
                <w:lang w:val="ro-RO"/>
              </w:rPr>
              <w:t>Cetatateni</w:t>
            </w:r>
            <w:proofErr w:type="spellEnd"/>
            <w:r w:rsidRPr="008C5F1C">
              <w:rPr>
                <w:sz w:val="22"/>
                <w:lang w:val="ro-RO"/>
              </w:rPr>
              <w:t xml:space="preserve"> </w:t>
            </w:r>
            <w:proofErr w:type="spellStart"/>
            <w:r w:rsidRPr="008C5F1C">
              <w:rPr>
                <w:sz w:val="22"/>
                <w:lang w:val="ro-RO"/>
              </w:rPr>
              <w:t>inteligenti</w:t>
            </w:r>
            <w:proofErr w:type="spellEnd"/>
            <w:r w:rsidRPr="008C5F1C">
              <w:rPr>
                <w:sz w:val="22"/>
                <w:lang w:val="ro-RO"/>
              </w:rPr>
              <w:t xml:space="preserve">: platforme de comunicare cu cetățenii și formare de inițiative comunitare, centre de inovare și imaginație civica, platforme pentru implicare civică și voluntariat, raportare de probleme, </w:t>
            </w:r>
            <w:r w:rsidR="00B81FFA" w:rsidRPr="008C5F1C">
              <w:rPr>
                <w:sz w:val="22"/>
                <w:lang w:val="ro-RO"/>
              </w:rPr>
              <w:t xml:space="preserve">dezvoltarea de aplicații și platforme pentru optimizarea interacțiunii cetățenilor cu orașul, inclusiv pentru facilitatea accesului comunităților din zonele metropolitane la servicii, </w:t>
            </w:r>
          </w:p>
          <w:p w14:paraId="2F360655" w14:textId="5B16CE6A" w:rsidR="00C4078A" w:rsidRPr="008C5F1C" w:rsidRDefault="004C5DDA" w:rsidP="00742B97">
            <w:pPr>
              <w:pStyle w:val="ListParagraph"/>
              <w:numPr>
                <w:ilvl w:val="0"/>
                <w:numId w:val="58"/>
              </w:numPr>
              <w:spacing w:before="0" w:line="240" w:lineRule="auto"/>
              <w:jc w:val="both"/>
              <w:rPr>
                <w:sz w:val="22"/>
                <w:lang w:val="ro-RO"/>
              </w:rPr>
            </w:pPr>
            <w:r w:rsidRPr="008C5F1C">
              <w:rPr>
                <w:sz w:val="22"/>
                <w:lang w:val="ro-RO"/>
              </w:rPr>
              <w:t xml:space="preserve">Guvernanta inteligenta: sisteme de management a proiectelor / ERP, platforme de servicii publice digitale, sisteme pentru înregistrare și emitere documente, centre de date urbane și monitorizare în timp real a stării orașului corelate cu datele </w:t>
            </w:r>
            <w:proofErr w:type="spellStart"/>
            <w:r w:rsidRPr="008C5F1C">
              <w:rPr>
                <w:sz w:val="22"/>
                <w:lang w:val="ro-RO"/>
              </w:rPr>
              <w:t>geospatiale</w:t>
            </w:r>
            <w:proofErr w:type="spellEnd"/>
            <w:r w:rsidRPr="008C5F1C">
              <w:rPr>
                <w:sz w:val="22"/>
                <w:lang w:val="ro-RO"/>
              </w:rPr>
              <w:t xml:space="preserve">, </w:t>
            </w:r>
            <w:proofErr w:type="spellStart"/>
            <w:r w:rsidRPr="008C5F1C">
              <w:rPr>
                <w:sz w:val="22"/>
                <w:lang w:val="ro-RO"/>
              </w:rPr>
              <w:t>aplicatii</w:t>
            </w:r>
            <w:proofErr w:type="spellEnd"/>
            <w:r w:rsidRPr="008C5F1C">
              <w:rPr>
                <w:sz w:val="22"/>
                <w:lang w:val="ro-RO"/>
              </w:rPr>
              <w:t xml:space="preserve"> de tipul </w:t>
            </w:r>
            <w:proofErr w:type="spellStart"/>
            <w:r w:rsidRPr="008C5F1C">
              <w:rPr>
                <w:sz w:val="22"/>
                <w:lang w:val="ro-RO"/>
              </w:rPr>
              <w:t>city</w:t>
            </w:r>
            <w:proofErr w:type="spellEnd"/>
            <w:r w:rsidRPr="008C5F1C">
              <w:rPr>
                <w:sz w:val="22"/>
                <w:lang w:val="ro-RO"/>
              </w:rPr>
              <w:t xml:space="preserve"> </w:t>
            </w:r>
            <w:proofErr w:type="spellStart"/>
            <w:r w:rsidRPr="008C5F1C">
              <w:rPr>
                <w:sz w:val="22"/>
                <w:lang w:val="ro-RO"/>
              </w:rPr>
              <w:t>app</w:t>
            </w:r>
            <w:proofErr w:type="spellEnd"/>
            <w:r w:rsidRPr="008C5F1C">
              <w:rPr>
                <w:sz w:val="22"/>
                <w:lang w:val="ro-RO"/>
              </w:rPr>
              <w:t>, plata online a taxelor si impozitelor</w:t>
            </w:r>
            <w:r w:rsidR="00266C35" w:rsidRPr="008C5F1C">
              <w:rPr>
                <w:sz w:val="22"/>
                <w:lang w:val="ro-RO"/>
              </w:rPr>
              <w:t>, siste</w:t>
            </w:r>
            <w:r w:rsidR="00D65231" w:rsidRPr="008C5F1C">
              <w:rPr>
                <w:sz w:val="22"/>
                <w:lang w:val="ro-RO"/>
              </w:rPr>
              <w:t>me</w:t>
            </w:r>
            <w:r w:rsidR="00266C35" w:rsidRPr="008C5F1C">
              <w:rPr>
                <w:sz w:val="22"/>
                <w:lang w:val="ro-RO"/>
              </w:rPr>
              <w:t xml:space="preserve"> de </w:t>
            </w:r>
            <w:proofErr w:type="spellStart"/>
            <w:r w:rsidR="00266C35" w:rsidRPr="008C5F1C">
              <w:rPr>
                <w:sz w:val="22"/>
                <w:lang w:val="ro-RO"/>
              </w:rPr>
              <w:t>programari</w:t>
            </w:r>
            <w:proofErr w:type="spellEnd"/>
            <w:r w:rsidR="00266C35" w:rsidRPr="008C5F1C">
              <w:rPr>
                <w:sz w:val="22"/>
                <w:lang w:val="ro-RO"/>
              </w:rPr>
              <w:t xml:space="preserve"> online, open data, </w:t>
            </w:r>
            <w:proofErr w:type="spellStart"/>
            <w:r w:rsidR="00266C35" w:rsidRPr="008C5F1C">
              <w:rPr>
                <w:sz w:val="22"/>
                <w:lang w:val="ro-RO"/>
              </w:rPr>
              <w:t>aplicatii</w:t>
            </w:r>
            <w:proofErr w:type="spellEnd"/>
            <w:r w:rsidR="00266C35" w:rsidRPr="008C5F1C">
              <w:rPr>
                <w:sz w:val="22"/>
                <w:lang w:val="ro-RO"/>
              </w:rPr>
              <w:t xml:space="preserve"> de tipul </w:t>
            </w:r>
            <w:proofErr w:type="spellStart"/>
            <w:r w:rsidR="00266C35" w:rsidRPr="008C5F1C">
              <w:rPr>
                <w:sz w:val="22"/>
                <w:lang w:val="ro-RO"/>
              </w:rPr>
              <w:t>functionar</w:t>
            </w:r>
            <w:proofErr w:type="spellEnd"/>
            <w:r w:rsidR="00266C35" w:rsidRPr="008C5F1C">
              <w:rPr>
                <w:sz w:val="22"/>
                <w:lang w:val="ro-RO"/>
              </w:rPr>
              <w:t xml:space="preserve"> public virtual, </w:t>
            </w:r>
            <w:proofErr w:type="spellStart"/>
            <w:r w:rsidR="00266C35" w:rsidRPr="008C5F1C">
              <w:rPr>
                <w:sz w:val="22"/>
                <w:lang w:val="ro-RO"/>
              </w:rPr>
              <w:t>machine</w:t>
            </w:r>
            <w:proofErr w:type="spellEnd"/>
            <w:r w:rsidR="00266C35" w:rsidRPr="008C5F1C">
              <w:rPr>
                <w:sz w:val="22"/>
                <w:lang w:val="ro-RO"/>
              </w:rPr>
              <w:t xml:space="preserve"> </w:t>
            </w:r>
            <w:proofErr w:type="spellStart"/>
            <w:r w:rsidR="00266C35" w:rsidRPr="008C5F1C">
              <w:rPr>
                <w:sz w:val="22"/>
                <w:lang w:val="ro-RO"/>
              </w:rPr>
              <w:t>learning</w:t>
            </w:r>
            <w:proofErr w:type="spellEnd"/>
            <w:r w:rsidR="00266C35" w:rsidRPr="008C5F1C">
              <w:rPr>
                <w:sz w:val="22"/>
                <w:lang w:val="ro-RO"/>
              </w:rPr>
              <w:t xml:space="preserve"> pentru proiectare / dezvoltare urbana, servicii </w:t>
            </w:r>
            <w:proofErr w:type="spellStart"/>
            <w:r w:rsidR="00266C35" w:rsidRPr="008C5F1C">
              <w:rPr>
                <w:sz w:val="22"/>
                <w:lang w:val="ro-RO"/>
              </w:rPr>
              <w:t>cloud</w:t>
            </w:r>
            <w:proofErr w:type="spellEnd"/>
            <w:r w:rsidR="00266C35" w:rsidRPr="008C5F1C">
              <w:rPr>
                <w:sz w:val="22"/>
                <w:lang w:val="ro-RO"/>
              </w:rPr>
              <w:t xml:space="preserve"> pentru </w:t>
            </w:r>
            <w:proofErr w:type="spellStart"/>
            <w:r w:rsidR="00266C35" w:rsidRPr="008C5F1C">
              <w:rPr>
                <w:sz w:val="22"/>
                <w:lang w:val="ro-RO"/>
              </w:rPr>
              <w:t>administratia</w:t>
            </w:r>
            <w:proofErr w:type="spellEnd"/>
            <w:r w:rsidR="00266C35" w:rsidRPr="008C5F1C">
              <w:rPr>
                <w:sz w:val="22"/>
                <w:lang w:val="ro-RO"/>
              </w:rPr>
              <w:t xml:space="preserve"> publica</w:t>
            </w:r>
          </w:p>
          <w:p w14:paraId="5209DF4E" w14:textId="75E5C52C" w:rsidR="00C4078A" w:rsidRPr="008C5F1C" w:rsidRDefault="00266C35" w:rsidP="00742B97">
            <w:pPr>
              <w:pStyle w:val="ListParagraph"/>
              <w:numPr>
                <w:ilvl w:val="0"/>
                <w:numId w:val="58"/>
              </w:numPr>
              <w:spacing w:before="0" w:line="240" w:lineRule="auto"/>
              <w:jc w:val="both"/>
              <w:rPr>
                <w:sz w:val="22"/>
                <w:lang w:val="ro-RO"/>
              </w:rPr>
            </w:pPr>
            <w:r w:rsidRPr="008C5F1C">
              <w:rPr>
                <w:sz w:val="22"/>
                <w:lang w:val="ro-RO"/>
              </w:rPr>
              <w:t xml:space="preserve">Mediu inteligent: </w:t>
            </w:r>
            <w:proofErr w:type="spellStart"/>
            <w:r w:rsidRPr="008C5F1C">
              <w:rPr>
                <w:sz w:val="22"/>
                <w:lang w:val="ro-RO"/>
              </w:rPr>
              <w:t>aplicatii</w:t>
            </w:r>
            <w:proofErr w:type="spellEnd"/>
            <w:r w:rsidRPr="008C5F1C">
              <w:rPr>
                <w:sz w:val="22"/>
                <w:lang w:val="ro-RO"/>
              </w:rPr>
              <w:t xml:space="preserve"> pentru </w:t>
            </w:r>
            <w:r w:rsidR="00B81FFA" w:rsidRPr="008C5F1C">
              <w:rPr>
                <w:sz w:val="22"/>
                <w:lang w:val="ro-RO"/>
              </w:rPr>
              <w:t xml:space="preserve">colectarea si </w:t>
            </w:r>
            <w:proofErr w:type="spellStart"/>
            <w:r w:rsidRPr="008C5F1C">
              <w:rPr>
                <w:sz w:val="22"/>
              </w:rPr>
              <w:t>afișarea</w:t>
            </w:r>
            <w:proofErr w:type="spellEnd"/>
            <w:r w:rsidRPr="008C5F1C">
              <w:rPr>
                <w:sz w:val="22"/>
              </w:rPr>
              <w:t xml:space="preserve"> </w:t>
            </w:r>
            <w:proofErr w:type="spellStart"/>
            <w:r w:rsidRPr="008C5F1C">
              <w:rPr>
                <w:sz w:val="22"/>
              </w:rPr>
              <w:t>în</w:t>
            </w:r>
            <w:proofErr w:type="spellEnd"/>
            <w:r w:rsidRPr="008C5F1C">
              <w:rPr>
                <w:sz w:val="22"/>
              </w:rPr>
              <w:t xml:space="preserve"> </w:t>
            </w:r>
            <w:proofErr w:type="spellStart"/>
            <w:r w:rsidRPr="008C5F1C">
              <w:rPr>
                <w:sz w:val="22"/>
              </w:rPr>
              <w:t>timp</w:t>
            </w:r>
            <w:proofErr w:type="spellEnd"/>
            <w:r w:rsidRPr="008C5F1C">
              <w:rPr>
                <w:sz w:val="22"/>
              </w:rPr>
              <w:t xml:space="preserve"> real a </w:t>
            </w:r>
            <w:proofErr w:type="spellStart"/>
            <w:r w:rsidRPr="008C5F1C">
              <w:rPr>
                <w:sz w:val="22"/>
              </w:rPr>
              <w:t>datelor</w:t>
            </w:r>
            <w:proofErr w:type="spellEnd"/>
            <w:r w:rsidRPr="008C5F1C">
              <w:rPr>
                <w:sz w:val="22"/>
              </w:rPr>
              <w:t xml:space="preserve"> de </w:t>
            </w:r>
            <w:proofErr w:type="spellStart"/>
            <w:r w:rsidRPr="008C5F1C">
              <w:rPr>
                <w:sz w:val="22"/>
              </w:rPr>
              <w:t>mediu</w:t>
            </w:r>
            <w:proofErr w:type="spellEnd"/>
            <w:r w:rsidRPr="008C5F1C">
              <w:rPr>
                <w:sz w:val="22"/>
              </w:rPr>
              <w:t>, e</w:t>
            </w:r>
            <w:proofErr w:type="spellStart"/>
            <w:r w:rsidRPr="008C5F1C">
              <w:rPr>
                <w:sz w:val="22"/>
                <w:lang w:val="ro-RO"/>
              </w:rPr>
              <w:t>chiparea</w:t>
            </w:r>
            <w:proofErr w:type="spellEnd"/>
            <w:r w:rsidRPr="008C5F1C">
              <w:rPr>
                <w:sz w:val="22"/>
                <w:lang w:val="ro-RO"/>
              </w:rPr>
              <w:t xml:space="preserve"> orașelor și a zonelor metropolitane cu infrastructură pentru colectare date (senzori, camere, bucle inductive, etc.)</w:t>
            </w:r>
            <w:r w:rsidR="00B81FFA" w:rsidRPr="008C5F1C">
              <w:rPr>
                <w:sz w:val="22"/>
              </w:rPr>
              <w:t xml:space="preserve">, </w:t>
            </w:r>
            <w:proofErr w:type="spellStart"/>
            <w:r w:rsidR="00B81FFA" w:rsidRPr="008C5F1C">
              <w:rPr>
                <w:sz w:val="22"/>
              </w:rPr>
              <w:t>aplicatii</w:t>
            </w:r>
            <w:proofErr w:type="spellEnd"/>
            <w:r w:rsidR="00B81FFA" w:rsidRPr="008C5F1C">
              <w:rPr>
                <w:sz w:val="22"/>
              </w:rPr>
              <w:t xml:space="preserve"> </w:t>
            </w:r>
            <w:proofErr w:type="spellStart"/>
            <w:r w:rsidR="00B81FFA" w:rsidRPr="008C5F1C">
              <w:rPr>
                <w:sz w:val="22"/>
              </w:rPr>
              <w:t>pentru</w:t>
            </w:r>
            <w:proofErr w:type="spellEnd"/>
            <w:r w:rsidR="00B81FFA" w:rsidRPr="008C5F1C">
              <w:rPr>
                <w:sz w:val="22"/>
              </w:rPr>
              <w:t xml:space="preserve"> </w:t>
            </w:r>
            <w:r w:rsidR="00B81FFA" w:rsidRPr="008C5F1C">
              <w:rPr>
                <w:sz w:val="22"/>
                <w:lang w:val="ro-RO"/>
              </w:rPr>
              <w:t xml:space="preserve">încurajarea reciclării și colectării selective a deșeurilor, </w:t>
            </w:r>
            <w:proofErr w:type="spellStart"/>
            <w:r w:rsidR="00B81FFA" w:rsidRPr="008C5F1C">
              <w:rPr>
                <w:sz w:val="22"/>
                <w:lang w:val="ro-RO"/>
              </w:rPr>
              <w:t>aplicatii</w:t>
            </w:r>
            <w:proofErr w:type="spellEnd"/>
            <w:r w:rsidR="00B81FFA" w:rsidRPr="008C5F1C">
              <w:rPr>
                <w:sz w:val="22"/>
                <w:lang w:val="ro-RO"/>
              </w:rPr>
              <w:t xml:space="preserve"> pentru reducerea risipei alimentare, iluminat public inteligent prin telegestiune, măsurarea și reducerea consumului de energie la nivel de gospodărie, </w:t>
            </w:r>
            <w:proofErr w:type="spellStart"/>
            <w:r w:rsidR="00B81FFA" w:rsidRPr="008C5F1C">
              <w:rPr>
                <w:sz w:val="22"/>
                <w:lang w:val="ro-RO"/>
              </w:rPr>
              <w:t>aplicatii</w:t>
            </w:r>
            <w:proofErr w:type="spellEnd"/>
            <w:r w:rsidR="00B81FFA" w:rsidRPr="008C5F1C">
              <w:rPr>
                <w:sz w:val="22"/>
                <w:lang w:val="ro-RO"/>
              </w:rPr>
              <w:t xml:space="preserve"> pentru monitorizare în timp real a stării infrastructurii </w:t>
            </w:r>
            <w:proofErr w:type="spellStart"/>
            <w:r w:rsidR="00B81FFA" w:rsidRPr="008C5F1C">
              <w:rPr>
                <w:sz w:val="22"/>
                <w:lang w:val="ro-RO"/>
              </w:rPr>
              <w:t>tehnico</w:t>
            </w:r>
            <w:proofErr w:type="spellEnd"/>
            <w:r w:rsidR="00B81FFA" w:rsidRPr="008C5F1C">
              <w:rPr>
                <w:sz w:val="22"/>
                <w:lang w:val="ro-RO"/>
              </w:rPr>
              <w:t xml:space="preserve">-edilitare și a consumului, platforme online și/sau aplicații mobile pentru cartarea consumului de energie, automatizarea sistemelor de </w:t>
            </w:r>
            <w:proofErr w:type="spellStart"/>
            <w:r w:rsidR="00B81FFA" w:rsidRPr="008C5F1C">
              <w:rPr>
                <w:sz w:val="22"/>
                <w:lang w:val="ro-RO"/>
              </w:rPr>
              <w:t>irigatii</w:t>
            </w:r>
            <w:proofErr w:type="spellEnd"/>
            <w:r w:rsidR="00B81FFA" w:rsidRPr="008C5F1C">
              <w:rPr>
                <w:sz w:val="22"/>
                <w:lang w:val="ro-RO"/>
              </w:rPr>
              <w:t xml:space="preserve"> pe baza de senzori.</w:t>
            </w:r>
          </w:p>
          <w:p w14:paraId="3D3D6D88" w14:textId="4C590A9D" w:rsidR="002B13AB" w:rsidRPr="008C5F1C" w:rsidRDefault="002B13AB" w:rsidP="00742B97">
            <w:pPr>
              <w:spacing w:after="120" w:line="240" w:lineRule="auto"/>
              <w:jc w:val="both"/>
            </w:pPr>
          </w:p>
          <w:p w14:paraId="0EF8FFBB" w14:textId="15FEB041" w:rsidR="002B13AB" w:rsidRPr="008C5F1C" w:rsidRDefault="002B13AB" w:rsidP="00742B97">
            <w:pPr>
              <w:spacing w:after="120" w:line="240" w:lineRule="auto"/>
              <w:jc w:val="both"/>
              <w:rPr>
                <w:rFonts w:ascii="Times New Roman" w:hAnsi="Times New Roman" w:cs="Times New Roman"/>
              </w:rPr>
            </w:pPr>
            <w:r w:rsidRPr="008C5F1C">
              <w:rPr>
                <w:rFonts w:ascii="Times New Roman" w:hAnsi="Times New Roman" w:cs="Times New Roman"/>
                <w:b/>
                <w:bCs/>
              </w:rPr>
              <w:t>b) Solu</w:t>
            </w:r>
            <w:r w:rsidR="00280F5D">
              <w:rPr>
                <w:rFonts w:ascii="Times New Roman" w:hAnsi="Times New Roman" w:cs="Times New Roman"/>
                <w:b/>
                <w:bCs/>
              </w:rPr>
              <w:t>ț</w:t>
            </w:r>
            <w:r w:rsidRPr="008C5F1C">
              <w:rPr>
                <w:rFonts w:ascii="Times New Roman" w:hAnsi="Times New Roman" w:cs="Times New Roman"/>
                <w:b/>
                <w:bCs/>
              </w:rPr>
              <w:t>ii de digitalizare la nivel regional, jude</w:t>
            </w:r>
            <w:r w:rsidR="00280F5D">
              <w:rPr>
                <w:rFonts w:ascii="Times New Roman" w:hAnsi="Times New Roman" w:cs="Times New Roman"/>
                <w:b/>
                <w:bCs/>
              </w:rPr>
              <w:t>ț</w:t>
            </w:r>
            <w:r w:rsidRPr="008C5F1C">
              <w:rPr>
                <w:rFonts w:ascii="Times New Roman" w:hAnsi="Times New Roman" w:cs="Times New Roman"/>
                <w:b/>
                <w:bCs/>
              </w:rPr>
              <w:t>ean sau local pentru administra</w:t>
            </w:r>
            <w:r w:rsidR="00280F5D">
              <w:rPr>
                <w:rFonts w:ascii="Times New Roman" w:hAnsi="Times New Roman" w:cs="Times New Roman"/>
                <w:b/>
                <w:bCs/>
              </w:rPr>
              <w:t>ț</w:t>
            </w:r>
            <w:r w:rsidRPr="008C5F1C">
              <w:rPr>
                <w:rFonts w:ascii="Times New Roman" w:hAnsi="Times New Roman" w:cs="Times New Roman"/>
                <w:b/>
                <w:bCs/>
              </w:rPr>
              <w:t>ia public</w:t>
            </w:r>
            <w:r w:rsidR="00280F5D">
              <w:rPr>
                <w:rFonts w:ascii="Times New Roman" w:hAnsi="Times New Roman" w:cs="Times New Roman"/>
                <w:b/>
                <w:bCs/>
              </w:rPr>
              <w:t>ă</w:t>
            </w:r>
            <w:r w:rsidRPr="008C5F1C">
              <w:rPr>
                <w:rFonts w:ascii="Times New Roman" w:hAnsi="Times New Roman" w:cs="Times New Roman"/>
                <w:b/>
                <w:bCs/>
              </w:rPr>
              <w:t xml:space="preserve">. </w:t>
            </w:r>
            <w:proofErr w:type="spellStart"/>
            <w:r w:rsidRPr="008C5F1C">
              <w:rPr>
                <w:rFonts w:ascii="Times New Roman" w:hAnsi="Times New Roman" w:cs="Times New Roman"/>
              </w:rPr>
              <w:t>Actiunile</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vizeaza</w:t>
            </w:r>
            <w:proofErr w:type="spellEnd"/>
            <w:r w:rsidRPr="008C5F1C">
              <w:rPr>
                <w:rFonts w:ascii="Times New Roman" w:hAnsi="Times New Roman" w:cs="Times New Roman"/>
              </w:rPr>
              <w:t>:</w:t>
            </w:r>
          </w:p>
          <w:p w14:paraId="7C2CE543" w14:textId="2293570C" w:rsidR="007F5237" w:rsidRDefault="002B13AB" w:rsidP="00742B97">
            <w:pPr>
              <w:pStyle w:val="ListParagraph"/>
              <w:numPr>
                <w:ilvl w:val="0"/>
                <w:numId w:val="58"/>
              </w:numPr>
              <w:spacing w:before="0" w:line="240" w:lineRule="auto"/>
              <w:jc w:val="both"/>
              <w:rPr>
                <w:sz w:val="22"/>
                <w:lang w:val="ro-RO"/>
              </w:rPr>
            </w:pPr>
            <w:r w:rsidRPr="008C5F1C">
              <w:rPr>
                <w:sz w:val="22"/>
                <w:lang w:val="ro-RO"/>
              </w:rPr>
              <w:t>Platform</w:t>
            </w:r>
            <w:r w:rsidR="000C7383">
              <w:rPr>
                <w:sz w:val="22"/>
                <w:lang w:val="ro-RO"/>
              </w:rPr>
              <w:t>e</w:t>
            </w:r>
            <w:r w:rsidRPr="008C5F1C">
              <w:rPr>
                <w:sz w:val="22"/>
                <w:lang w:val="ro-RO"/>
              </w:rPr>
              <w:t xml:space="preserve"> regional</w:t>
            </w:r>
            <w:r w:rsidR="006456BC">
              <w:rPr>
                <w:sz w:val="22"/>
                <w:lang w:val="ro-RO"/>
              </w:rPr>
              <w:t>e</w:t>
            </w:r>
            <w:r w:rsidRPr="008C5F1C">
              <w:rPr>
                <w:sz w:val="22"/>
                <w:lang w:val="ro-RO"/>
              </w:rPr>
              <w:t xml:space="preserve"> pentru inovare, specializare inteligentă, tranziție industrială și </w:t>
            </w:r>
            <w:proofErr w:type="spellStart"/>
            <w:r w:rsidRPr="008C5F1C">
              <w:rPr>
                <w:sz w:val="22"/>
                <w:lang w:val="ro-RO"/>
              </w:rPr>
              <w:t>antreprenoriat</w:t>
            </w:r>
            <w:proofErr w:type="spellEnd"/>
          </w:p>
          <w:p w14:paraId="7D0C7C10" w14:textId="2CE2DFCF" w:rsidR="002B13AB" w:rsidRPr="008C5F1C" w:rsidRDefault="007F5237" w:rsidP="00742B97">
            <w:pPr>
              <w:pStyle w:val="ListParagraph"/>
              <w:numPr>
                <w:ilvl w:val="0"/>
                <w:numId w:val="58"/>
              </w:numPr>
              <w:spacing w:before="0" w:line="240" w:lineRule="auto"/>
              <w:jc w:val="both"/>
              <w:rPr>
                <w:sz w:val="22"/>
                <w:lang w:val="ro-RO"/>
              </w:rPr>
            </w:pPr>
            <w:r>
              <w:rPr>
                <w:sz w:val="22"/>
                <w:lang w:val="ro-RO"/>
              </w:rPr>
              <w:t xml:space="preserve">Structuri de sprijin sub forma de </w:t>
            </w:r>
            <w:r w:rsidR="00BC6E23">
              <w:rPr>
                <w:sz w:val="22"/>
                <w:lang w:val="ro-RO"/>
              </w:rPr>
              <w:t>hub</w:t>
            </w:r>
            <w:r w:rsidR="000C7383">
              <w:rPr>
                <w:sz w:val="22"/>
                <w:lang w:val="ro-RO"/>
              </w:rPr>
              <w:t>-uri de inovare digitala</w:t>
            </w:r>
            <w:r w:rsidR="00412DB3">
              <w:rPr>
                <w:sz w:val="22"/>
                <w:lang w:val="ro-RO"/>
              </w:rPr>
              <w:t xml:space="preserve"> (DIH)</w:t>
            </w:r>
            <w:r w:rsidR="000C7383">
              <w:rPr>
                <w:sz w:val="22"/>
                <w:lang w:val="ro-RO"/>
              </w:rPr>
              <w:t>,</w:t>
            </w:r>
          </w:p>
          <w:p w14:paraId="630071A3" w14:textId="57A1681F" w:rsidR="002B13AB" w:rsidRPr="008C5F1C" w:rsidRDefault="002B13AB" w:rsidP="00742B97">
            <w:pPr>
              <w:pStyle w:val="ListParagraph"/>
              <w:numPr>
                <w:ilvl w:val="0"/>
                <w:numId w:val="58"/>
              </w:numPr>
              <w:spacing w:before="0" w:line="240" w:lineRule="auto"/>
              <w:jc w:val="both"/>
              <w:rPr>
                <w:sz w:val="22"/>
                <w:lang w:val="ro-RO"/>
              </w:rPr>
            </w:pPr>
            <w:r w:rsidRPr="008C5F1C">
              <w:rPr>
                <w:sz w:val="22"/>
                <w:lang w:val="ro-RO"/>
              </w:rPr>
              <w:t>Platform</w:t>
            </w:r>
            <w:r w:rsidR="00787B84" w:rsidRPr="008C5F1C">
              <w:rPr>
                <w:sz w:val="22"/>
                <w:lang w:val="ro-RO"/>
              </w:rPr>
              <w:t>e</w:t>
            </w:r>
            <w:r w:rsidRPr="008C5F1C">
              <w:rPr>
                <w:sz w:val="22"/>
                <w:lang w:val="ro-RO"/>
              </w:rPr>
              <w:t xml:space="preserve"> pentru eficientizarea </w:t>
            </w:r>
            <w:proofErr w:type="spellStart"/>
            <w:r w:rsidRPr="008C5F1C">
              <w:rPr>
                <w:sz w:val="22"/>
                <w:lang w:val="ro-RO"/>
              </w:rPr>
              <w:t>utilizarii</w:t>
            </w:r>
            <w:proofErr w:type="spellEnd"/>
            <w:r w:rsidRPr="008C5F1C">
              <w:rPr>
                <w:sz w:val="22"/>
                <w:lang w:val="ro-RO"/>
              </w:rPr>
              <w:t xml:space="preserve"> resurselor</w:t>
            </w:r>
            <w:r w:rsidR="000C7383">
              <w:rPr>
                <w:sz w:val="22"/>
                <w:lang w:val="ro-RO"/>
              </w:rPr>
              <w:t>,</w:t>
            </w:r>
          </w:p>
          <w:p w14:paraId="62FCB44D" w14:textId="1BDA26AF" w:rsidR="002B13AB" w:rsidRPr="008C5F1C" w:rsidRDefault="002B13AB" w:rsidP="00742B97">
            <w:pPr>
              <w:pStyle w:val="ListParagraph"/>
              <w:numPr>
                <w:ilvl w:val="0"/>
                <w:numId w:val="58"/>
              </w:numPr>
              <w:spacing w:before="0" w:line="240" w:lineRule="auto"/>
              <w:jc w:val="both"/>
              <w:rPr>
                <w:sz w:val="22"/>
                <w:lang w:val="ro-RO"/>
              </w:rPr>
            </w:pPr>
            <w:proofErr w:type="spellStart"/>
            <w:r w:rsidRPr="008C5F1C">
              <w:rPr>
                <w:sz w:val="22"/>
                <w:lang w:val="ro-RO"/>
              </w:rPr>
              <w:t>Aplicatii</w:t>
            </w:r>
            <w:proofErr w:type="spellEnd"/>
            <w:r w:rsidRPr="008C5F1C">
              <w:rPr>
                <w:sz w:val="22"/>
                <w:lang w:val="ro-RO"/>
              </w:rPr>
              <w:t xml:space="preserve"> regionale / </w:t>
            </w:r>
            <w:proofErr w:type="spellStart"/>
            <w:r w:rsidRPr="008C5F1C">
              <w:rPr>
                <w:sz w:val="22"/>
                <w:lang w:val="ro-RO"/>
              </w:rPr>
              <w:t>judetene</w:t>
            </w:r>
            <w:proofErr w:type="spellEnd"/>
            <w:r w:rsidRPr="008C5F1C">
              <w:rPr>
                <w:sz w:val="22"/>
                <w:lang w:val="ro-RO"/>
              </w:rPr>
              <w:t xml:space="preserve"> pentru transportul public interurban, pentru atragerea si informarea investitorilor, pentru promovarea obiectivelor turistice</w:t>
            </w:r>
          </w:p>
          <w:p w14:paraId="609E1041" w14:textId="225A60A9" w:rsidR="002B13AB" w:rsidRPr="008C5F1C" w:rsidRDefault="002B13AB" w:rsidP="00742B97">
            <w:pPr>
              <w:pStyle w:val="ListParagraph"/>
              <w:numPr>
                <w:ilvl w:val="0"/>
                <w:numId w:val="58"/>
              </w:numPr>
              <w:spacing w:before="0" w:line="240" w:lineRule="auto"/>
              <w:jc w:val="both"/>
              <w:rPr>
                <w:sz w:val="22"/>
                <w:lang w:val="ro-RO"/>
              </w:rPr>
            </w:pPr>
            <w:r w:rsidRPr="008C5F1C">
              <w:rPr>
                <w:sz w:val="22"/>
                <w:lang w:val="ro-RO"/>
              </w:rPr>
              <w:t>Platform</w:t>
            </w:r>
            <w:r w:rsidR="00787B84" w:rsidRPr="008C5F1C">
              <w:rPr>
                <w:sz w:val="22"/>
                <w:lang w:val="ro-RO"/>
              </w:rPr>
              <w:t>e</w:t>
            </w:r>
            <w:r w:rsidRPr="008C5F1C">
              <w:rPr>
                <w:sz w:val="22"/>
                <w:lang w:val="ro-RO"/>
              </w:rPr>
              <w:t xml:space="preserve"> pentru promovarea si </w:t>
            </w:r>
            <w:proofErr w:type="spellStart"/>
            <w:r w:rsidRPr="008C5F1C">
              <w:rPr>
                <w:sz w:val="22"/>
                <w:lang w:val="ro-RO"/>
              </w:rPr>
              <w:t>vanzarea</w:t>
            </w:r>
            <w:proofErr w:type="spellEnd"/>
            <w:r w:rsidRPr="008C5F1C">
              <w:rPr>
                <w:sz w:val="22"/>
                <w:lang w:val="ro-RO"/>
              </w:rPr>
              <w:t xml:space="preserve"> produselor locale, pentru </w:t>
            </w:r>
            <w:proofErr w:type="spellStart"/>
            <w:r w:rsidRPr="008C5F1C">
              <w:rPr>
                <w:sz w:val="22"/>
                <w:lang w:val="ro-RO"/>
              </w:rPr>
              <w:t>invatare</w:t>
            </w:r>
            <w:proofErr w:type="spellEnd"/>
            <w:r w:rsidRPr="008C5F1C">
              <w:rPr>
                <w:sz w:val="22"/>
                <w:lang w:val="ro-RO"/>
              </w:rPr>
              <w:t xml:space="preserve"> pe tot parcursul </w:t>
            </w:r>
            <w:proofErr w:type="spellStart"/>
            <w:r w:rsidRPr="008C5F1C">
              <w:rPr>
                <w:sz w:val="22"/>
                <w:lang w:val="ro-RO"/>
              </w:rPr>
              <w:t>vietii</w:t>
            </w:r>
            <w:proofErr w:type="spellEnd"/>
            <w:r w:rsidRPr="008C5F1C">
              <w:rPr>
                <w:sz w:val="22"/>
                <w:lang w:val="ro-RO"/>
              </w:rPr>
              <w:t xml:space="preserve"> si dezvoltarea competentelor digitale</w:t>
            </w:r>
          </w:p>
          <w:p w14:paraId="0574965F" w14:textId="66DEF05F" w:rsidR="002B13AB" w:rsidRPr="008C5F1C" w:rsidRDefault="002B13AB" w:rsidP="00742B97">
            <w:pPr>
              <w:pStyle w:val="ListParagraph"/>
              <w:numPr>
                <w:ilvl w:val="0"/>
                <w:numId w:val="58"/>
              </w:numPr>
              <w:spacing w:before="0" w:line="240" w:lineRule="auto"/>
              <w:jc w:val="both"/>
              <w:rPr>
                <w:sz w:val="22"/>
                <w:lang w:val="ro-RO"/>
              </w:rPr>
            </w:pPr>
            <w:r w:rsidRPr="008C5F1C">
              <w:rPr>
                <w:sz w:val="22"/>
                <w:lang w:val="ro-RO"/>
              </w:rPr>
              <w:t xml:space="preserve">Baze de date </w:t>
            </w:r>
            <w:proofErr w:type="spellStart"/>
            <w:r w:rsidRPr="008C5F1C">
              <w:rPr>
                <w:sz w:val="22"/>
                <w:lang w:val="ro-RO"/>
              </w:rPr>
              <w:t>geospatiale</w:t>
            </w:r>
            <w:proofErr w:type="spellEnd"/>
            <w:r w:rsidRPr="008C5F1C">
              <w:rPr>
                <w:sz w:val="22"/>
                <w:lang w:val="ro-RO"/>
              </w:rPr>
              <w:t xml:space="preserve"> la nivel regional</w:t>
            </w:r>
          </w:p>
          <w:p w14:paraId="0B31FA78" w14:textId="77777777" w:rsidR="00933752" w:rsidRPr="008C5F1C" w:rsidRDefault="002B13AB" w:rsidP="00742B97">
            <w:pPr>
              <w:pStyle w:val="ListParagraph"/>
              <w:numPr>
                <w:ilvl w:val="0"/>
                <w:numId w:val="58"/>
              </w:numPr>
              <w:spacing w:before="0" w:line="240" w:lineRule="auto"/>
              <w:jc w:val="both"/>
              <w:rPr>
                <w:sz w:val="22"/>
              </w:rPr>
            </w:pPr>
            <w:proofErr w:type="spellStart"/>
            <w:r w:rsidRPr="008C5F1C">
              <w:rPr>
                <w:sz w:val="22"/>
                <w:lang w:val="ro-RO"/>
              </w:rPr>
              <w:t>Solutii</w:t>
            </w:r>
            <w:proofErr w:type="spellEnd"/>
            <w:r w:rsidRPr="008C5F1C">
              <w:rPr>
                <w:sz w:val="22"/>
                <w:lang w:val="ro-RO"/>
              </w:rPr>
              <w:t xml:space="preserve"> de digitalizare a serviciilor oferite </w:t>
            </w:r>
            <w:proofErr w:type="spellStart"/>
            <w:r w:rsidRPr="008C5F1C">
              <w:rPr>
                <w:sz w:val="22"/>
                <w:lang w:val="ro-RO"/>
              </w:rPr>
              <w:t>cetatenilor</w:t>
            </w:r>
            <w:proofErr w:type="spellEnd"/>
            <w:r w:rsidRPr="008C5F1C">
              <w:rPr>
                <w:sz w:val="22"/>
                <w:lang w:val="ro-RO"/>
              </w:rPr>
              <w:t xml:space="preserve"> de </w:t>
            </w:r>
            <w:proofErr w:type="spellStart"/>
            <w:r w:rsidRPr="008C5F1C">
              <w:rPr>
                <w:sz w:val="22"/>
                <w:lang w:val="ro-RO"/>
              </w:rPr>
              <w:t>catre</w:t>
            </w:r>
            <w:proofErr w:type="spellEnd"/>
            <w:r w:rsidRPr="008C5F1C">
              <w:rPr>
                <w:sz w:val="22"/>
                <w:lang w:val="ro-RO"/>
              </w:rPr>
              <w:t xml:space="preserve"> </w:t>
            </w:r>
            <w:proofErr w:type="spellStart"/>
            <w:r w:rsidRPr="008C5F1C">
              <w:rPr>
                <w:sz w:val="22"/>
                <w:lang w:val="ro-RO"/>
              </w:rPr>
              <w:t>administratiile</w:t>
            </w:r>
            <w:proofErr w:type="spellEnd"/>
            <w:r w:rsidRPr="008C5F1C">
              <w:rPr>
                <w:sz w:val="22"/>
                <w:lang w:val="ro-RO"/>
              </w:rPr>
              <w:t xml:space="preserve"> publice din cadrul regiunii</w:t>
            </w:r>
          </w:p>
          <w:p w14:paraId="176278FB" w14:textId="77777777" w:rsidR="00C4078A" w:rsidRPr="008C5F1C" w:rsidRDefault="00C4078A" w:rsidP="00742B97">
            <w:pPr>
              <w:pStyle w:val="ListParagraph"/>
              <w:numPr>
                <w:ilvl w:val="0"/>
                <w:numId w:val="58"/>
              </w:numPr>
              <w:spacing w:before="0" w:line="240" w:lineRule="auto"/>
              <w:jc w:val="both"/>
              <w:rPr>
                <w:sz w:val="22"/>
                <w:lang w:val="ro-RO"/>
              </w:rPr>
            </w:pPr>
            <w:r w:rsidRPr="008C5F1C">
              <w:rPr>
                <w:sz w:val="22"/>
                <w:lang w:val="ro-RO"/>
              </w:rPr>
              <w:t>Arhivare digitală, platformă servicii publice digitale, semnătură digitală, aparatură hardware, etc:</w:t>
            </w:r>
          </w:p>
          <w:p w14:paraId="37C7EF2E" w14:textId="77777777" w:rsidR="00C4078A" w:rsidRPr="008C5F1C" w:rsidRDefault="00C4078A" w:rsidP="00742B97">
            <w:pPr>
              <w:pStyle w:val="ListParagraph"/>
              <w:numPr>
                <w:ilvl w:val="0"/>
                <w:numId w:val="58"/>
              </w:numPr>
              <w:spacing w:before="0" w:line="240" w:lineRule="auto"/>
              <w:jc w:val="both"/>
              <w:rPr>
                <w:sz w:val="22"/>
                <w:lang w:val="ro-RO"/>
              </w:rPr>
            </w:pPr>
            <w:r w:rsidRPr="008C5F1C">
              <w:rPr>
                <w:sz w:val="22"/>
                <w:lang w:val="ro-RO"/>
              </w:rPr>
              <w:t>Securitate cibernetică, interoperabilitate a proiectelor de digitalizare a serviciilor publice</w:t>
            </w:r>
          </w:p>
          <w:p w14:paraId="693D67D9" w14:textId="77777777" w:rsidR="00C4078A" w:rsidRPr="008C5F1C" w:rsidRDefault="00C4078A" w:rsidP="00742B97">
            <w:pPr>
              <w:pStyle w:val="ListParagraph"/>
              <w:numPr>
                <w:ilvl w:val="0"/>
                <w:numId w:val="58"/>
              </w:numPr>
              <w:spacing w:before="0" w:line="240" w:lineRule="auto"/>
              <w:jc w:val="both"/>
              <w:rPr>
                <w:sz w:val="22"/>
                <w:lang w:val="ro-RO"/>
              </w:rPr>
            </w:pPr>
            <w:r w:rsidRPr="008C5F1C">
              <w:rPr>
                <w:sz w:val="22"/>
                <w:lang w:val="ro-RO"/>
              </w:rPr>
              <w:t>Susținerea luării deciziilor pe bază de date în toate etapele ciclului politicilor publice;</w:t>
            </w:r>
          </w:p>
          <w:p w14:paraId="4F5D1249" w14:textId="23B45158" w:rsidR="00486B8C" w:rsidRPr="000C7383" w:rsidRDefault="00C4078A" w:rsidP="000C7383">
            <w:pPr>
              <w:pStyle w:val="ListParagraph"/>
              <w:numPr>
                <w:ilvl w:val="0"/>
                <w:numId w:val="58"/>
              </w:numPr>
              <w:spacing w:before="0" w:line="240" w:lineRule="auto"/>
              <w:jc w:val="both"/>
              <w:rPr>
                <w:sz w:val="22"/>
                <w:lang w:val="ro-RO"/>
              </w:rPr>
            </w:pPr>
            <w:r w:rsidRPr="008C5F1C">
              <w:rPr>
                <w:sz w:val="22"/>
                <w:lang w:val="ro-RO"/>
              </w:rPr>
              <w:t>Promovarea transparenței, prin inițiative de tip open-data.</w:t>
            </w:r>
          </w:p>
        </w:tc>
      </w:tr>
    </w:tbl>
    <w:p w14:paraId="6E60275E" w14:textId="77777777" w:rsidR="00653571" w:rsidRPr="008C5F1C" w:rsidRDefault="00653571" w:rsidP="00653571">
      <w:pPr>
        <w:spacing w:before="120" w:after="120" w:line="360" w:lineRule="auto"/>
        <w:rPr>
          <w:rFonts w:ascii="Times New Roman" w:eastAsia="Times New Roman" w:hAnsi="Times New Roman" w:cs="Times New Roman"/>
          <w:b/>
          <w:i/>
          <w:iCs/>
          <w:noProof/>
          <w:sz w:val="24"/>
          <w:szCs w:val="24"/>
        </w:rPr>
      </w:pPr>
      <w:r w:rsidRPr="008C5F1C">
        <w:rPr>
          <w:rFonts w:ascii="Times New Roman" w:eastAsia="Times New Roman" w:hAnsi="Times New Roman" w:cs="Times New Roman"/>
          <w:i/>
          <w:noProof/>
          <w:sz w:val="24"/>
          <w:szCs w:val="24"/>
        </w:rPr>
        <w:lastRenderedPageBreak/>
        <w:t>The main target groups - Article 17(3)(d)(iii):</w:t>
      </w:r>
    </w:p>
    <w:p w14:paraId="79D33C1A" w14:textId="77777777" w:rsidR="00653571" w:rsidRPr="008C5F1C" w:rsidRDefault="0059100C" w:rsidP="0065357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iCs/>
          <w:noProof/>
          <w:sz w:val="24"/>
          <w:szCs w:val="24"/>
        </w:rPr>
      </w:pPr>
      <w:r w:rsidRPr="008C5F1C">
        <w:rPr>
          <w:rFonts w:ascii="Times New Roman" w:eastAsia="Times New Roman" w:hAnsi="Times New Roman" w:cs="Times New Roman"/>
          <w:noProof/>
        </w:rPr>
        <w:t>Popula</w:t>
      </w:r>
      <w:r w:rsidR="00E22FF2" w:rsidRPr="008C5F1C">
        <w:rPr>
          <w:rFonts w:ascii="Times New Roman" w:eastAsia="Times New Roman" w:hAnsi="Times New Roman" w:cs="Times New Roman"/>
          <w:noProof/>
        </w:rPr>
        <w:t>ț</w:t>
      </w:r>
      <w:r w:rsidRPr="008C5F1C">
        <w:rPr>
          <w:rFonts w:ascii="Times New Roman" w:eastAsia="Times New Roman" w:hAnsi="Times New Roman" w:cs="Times New Roman"/>
          <w:noProof/>
        </w:rPr>
        <w:t>ia din localită</w:t>
      </w:r>
      <w:r w:rsidR="00E22FF2" w:rsidRPr="008C5F1C">
        <w:rPr>
          <w:rFonts w:ascii="Times New Roman" w:eastAsia="Times New Roman" w:hAnsi="Times New Roman" w:cs="Times New Roman"/>
          <w:noProof/>
        </w:rPr>
        <w:t>ț</w:t>
      </w:r>
      <w:r w:rsidRPr="008C5F1C">
        <w:rPr>
          <w:rFonts w:ascii="Times New Roman" w:eastAsia="Times New Roman" w:hAnsi="Times New Roman" w:cs="Times New Roman"/>
          <w:noProof/>
        </w:rPr>
        <w:t>ile deservite de infrastructura îmbunătă</w:t>
      </w:r>
      <w:r w:rsidR="00E22FF2" w:rsidRPr="008C5F1C">
        <w:rPr>
          <w:rFonts w:ascii="Times New Roman" w:eastAsia="Times New Roman" w:hAnsi="Times New Roman" w:cs="Times New Roman"/>
          <w:noProof/>
        </w:rPr>
        <w:t>ț</w:t>
      </w:r>
      <w:r w:rsidRPr="008C5F1C">
        <w:rPr>
          <w:rFonts w:ascii="Times New Roman" w:eastAsia="Times New Roman" w:hAnsi="Times New Roman" w:cs="Times New Roman"/>
          <w:noProof/>
        </w:rPr>
        <w:t>ită</w:t>
      </w:r>
      <w:r w:rsidRPr="008C5F1C" w:rsidDel="0059100C">
        <w:rPr>
          <w:rFonts w:ascii="Times New Roman" w:eastAsia="Times New Roman" w:hAnsi="Times New Roman" w:cs="Times New Roman"/>
          <w:i/>
          <w:iCs/>
          <w:noProof/>
          <w:sz w:val="24"/>
          <w:szCs w:val="24"/>
        </w:rPr>
        <w:t xml:space="preserve"> </w:t>
      </w:r>
    </w:p>
    <w:p w14:paraId="37B5B47F" w14:textId="77777777" w:rsidR="00653571" w:rsidRPr="008C5F1C" w:rsidRDefault="00653571" w:rsidP="00653571">
      <w:pPr>
        <w:spacing w:before="120" w:after="120" w:line="360" w:lineRule="auto"/>
        <w:rPr>
          <w:rFonts w:ascii="Times New Roman" w:eastAsia="Times New Roman" w:hAnsi="Times New Roman" w:cs="Times New Roman"/>
          <w:i/>
          <w:noProof/>
          <w:sz w:val="24"/>
          <w:szCs w:val="24"/>
        </w:rPr>
      </w:pPr>
      <w:r w:rsidRPr="008C5F1C">
        <w:rPr>
          <w:rFonts w:ascii="Times New Roman" w:eastAsia="Times New Roman" w:hAnsi="Times New Roman" w:cs="Times New Roman"/>
          <w:i/>
          <w:noProof/>
          <w:sz w:val="24"/>
          <w:szCs w:val="24"/>
        </w:rPr>
        <w:t>Specific territories tageted, including the planned use of territorial tools – Article 17(3)(d)(iv)</w:t>
      </w:r>
    </w:p>
    <w:p w14:paraId="3836C981" w14:textId="2B2A79DC" w:rsidR="00647EF4" w:rsidRPr="008C5F1C" w:rsidRDefault="00647EF4" w:rsidP="00647EF4">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iCs/>
          <w:noProof/>
          <w:sz w:val="24"/>
          <w:szCs w:val="24"/>
        </w:rPr>
      </w:pPr>
      <w:r w:rsidRPr="008C5F1C">
        <w:rPr>
          <w:rFonts w:ascii="Times New Roman" w:eastAsia="Times New Roman" w:hAnsi="Times New Roman" w:cs="Times New Roman"/>
          <w:i/>
          <w:iCs/>
          <w:noProof/>
          <w:sz w:val="24"/>
          <w:szCs w:val="24"/>
        </w:rPr>
        <w:t>Zone metropolitane, zone urbane funcționale, cartiere urbane.</w:t>
      </w:r>
    </w:p>
    <w:p w14:paraId="50DA3A23" w14:textId="3F5BC748" w:rsidR="00653571" w:rsidRPr="008C5F1C" w:rsidRDefault="00647EF4" w:rsidP="00F664A9">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noProof/>
          <w:sz w:val="24"/>
        </w:rPr>
      </w:pPr>
      <w:r w:rsidRPr="008C5F1C">
        <w:rPr>
          <w:rFonts w:ascii="Times New Roman" w:eastAsia="Times New Roman" w:hAnsi="Times New Roman" w:cs="Times New Roman"/>
          <w:iCs/>
          <w:noProof/>
          <w:szCs w:val="20"/>
        </w:rPr>
        <w:t>Accesarea fondurilor va continua să fie condiționată de existența Strategiilor Integrate de Dezvoltare Urbană (SIDU) și de justificări bazate pe dovezi în ceea ce privește oportunitatea și rolul investițiilor în ansamblul dezvoltării. În funcție de situație, SIDU vor fi însoțite de Planuri de Mobilitate Urbană Durabilă</w:t>
      </w:r>
      <w:r w:rsidR="00F664A9" w:rsidRPr="008C5F1C">
        <w:rPr>
          <w:rFonts w:ascii="Times New Roman" w:eastAsia="Times New Roman" w:hAnsi="Times New Roman" w:cs="Times New Roman"/>
          <w:iCs/>
          <w:noProof/>
          <w:szCs w:val="20"/>
        </w:rPr>
        <w:t xml:space="preserve"> (PMUD)</w:t>
      </w:r>
      <w:r w:rsidRPr="008C5F1C">
        <w:rPr>
          <w:rFonts w:ascii="Times New Roman" w:eastAsia="Times New Roman" w:hAnsi="Times New Roman" w:cs="Times New Roman"/>
          <w:iCs/>
          <w:noProof/>
          <w:szCs w:val="20"/>
        </w:rPr>
        <w:t xml:space="preserve"> sau de alte  și alte strategii relevante la nivel regional sau local</w:t>
      </w:r>
      <w:r w:rsidR="00F664A9" w:rsidRPr="008C5F1C">
        <w:rPr>
          <w:rFonts w:ascii="Times New Roman" w:eastAsia="Times New Roman" w:hAnsi="Times New Roman" w:cs="Times New Roman"/>
          <w:iCs/>
          <w:noProof/>
          <w:szCs w:val="20"/>
        </w:rPr>
        <w:t>.</w:t>
      </w:r>
    </w:p>
    <w:p w14:paraId="5EF52DED" w14:textId="77777777" w:rsidR="00653571" w:rsidRPr="008C5F1C" w:rsidRDefault="00653571" w:rsidP="00653571">
      <w:pPr>
        <w:spacing w:before="120" w:after="120" w:line="360" w:lineRule="auto"/>
        <w:rPr>
          <w:rFonts w:ascii="Times New Roman" w:eastAsia="Times New Roman" w:hAnsi="Times New Roman" w:cs="Times New Roman"/>
          <w:b/>
          <w:i/>
          <w:iCs/>
          <w:noProof/>
          <w:sz w:val="24"/>
          <w:szCs w:val="24"/>
        </w:rPr>
      </w:pPr>
      <w:r w:rsidRPr="008C5F1C">
        <w:rPr>
          <w:rFonts w:ascii="Times New Roman" w:eastAsia="Times New Roman" w:hAnsi="Times New Roman" w:cs="Times New Roman"/>
          <w:i/>
          <w:noProof/>
          <w:sz w:val="24"/>
          <w:szCs w:val="24"/>
        </w:rPr>
        <w:t>The interregional and transnational actions  –Article – 17(3)(d)(v)</w:t>
      </w:r>
    </w:p>
    <w:p w14:paraId="7EEFB56F" w14:textId="77777777" w:rsidR="00653571" w:rsidRPr="008C5F1C" w:rsidRDefault="00653571" w:rsidP="0065357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rPr>
      </w:pPr>
      <w:r w:rsidRPr="008C5F1C">
        <w:rPr>
          <w:rFonts w:ascii="Times New Roman" w:eastAsia="Times New Roman" w:hAnsi="Times New Roman" w:cs="Times New Roman"/>
          <w:i/>
          <w:iCs/>
          <w:noProof/>
          <w:sz w:val="24"/>
          <w:szCs w:val="24"/>
        </w:rPr>
        <w:t>Nu este cazul</w:t>
      </w:r>
    </w:p>
    <w:p w14:paraId="4D106972" w14:textId="77777777" w:rsidR="00653571" w:rsidRPr="008C5F1C" w:rsidRDefault="00653571" w:rsidP="00653571">
      <w:pPr>
        <w:spacing w:before="120" w:after="120" w:line="360" w:lineRule="auto"/>
        <w:rPr>
          <w:rFonts w:ascii="Times New Roman" w:eastAsia="Times New Roman" w:hAnsi="Times New Roman" w:cs="Times New Roman"/>
          <w:b/>
          <w:i/>
          <w:iCs/>
          <w:noProof/>
          <w:sz w:val="24"/>
          <w:szCs w:val="24"/>
        </w:rPr>
      </w:pPr>
      <w:r w:rsidRPr="008C5F1C">
        <w:rPr>
          <w:rFonts w:ascii="Times New Roman" w:eastAsia="Times New Roman" w:hAnsi="Times New Roman" w:cs="Times New Roman"/>
          <w:i/>
          <w:noProof/>
          <w:sz w:val="24"/>
          <w:szCs w:val="24"/>
        </w:rPr>
        <w:t>The planned use of financial instruments – Article – 17(3)(d)(vi)</w:t>
      </w:r>
    </w:p>
    <w:p w14:paraId="09AA19A7" w14:textId="77777777" w:rsidR="00653571" w:rsidRPr="008C5F1C" w:rsidRDefault="00653571" w:rsidP="0065357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rPr>
      </w:pPr>
      <w:r w:rsidRPr="008C5F1C">
        <w:rPr>
          <w:rFonts w:ascii="Times New Roman" w:eastAsia="Times New Roman" w:hAnsi="Times New Roman" w:cs="Times New Roman"/>
          <w:i/>
          <w:iCs/>
          <w:noProof/>
          <w:sz w:val="24"/>
          <w:szCs w:val="24"/>
        </w:rPr>
        <w:t>Nu este cazul</w:t>
      </w:r>
    </w:p>
    <w:p w14:paraId="5DA6C9F9" w14:textId="77777777" w:rsidR="00653571" w:rsidRPr="008C5F1C" w:rsidRDefault="00653571" w:rsidP="00653571">
      <w:pPr>
        <w:pStyle w:val="Heading4"/>
        <w:numPr>
          <w:ilvl w:val="0"/>
          <w:numId w:val="0"/>
        </w:numPr>
        <w:ind w:left="851" w:hanging="851"/>
        <w:rPr>
          <w:rFonts w:cs="Times New Roman"/>
          <w:b/>
          <w:bCs/>
          <w:lang w:val="ro-RO"/>
        </w:rPr>
      </w:pPr>
      <w:r w:rsidRPr="008C5F1C">
        <w:rPr>
          <w:rFonts w:cs="Times New Roman"/>
          <w:b/>
          <w:bCs/>
          <w:lang w:val="ro-RO"/>
        </w:rPr>
        <w:t xml:space="preserve">2.A.3.2 </w:t>
      </w:r>
      <w:proofErr w:type="spellStart"/>
      <w:r w:rsidRPr="008C5F1C">
        <w:rPr>
          <w:rFonts w:cs="Times New Roman"/>
          <w:b/>
          <w:bCs/>
          <w:lang w:val="ro-RO"/>
        </w:rPr>
        <w:t>Indicators</w:t>
      </w:r>
      <w:proofErr w:type="spellEnd"/>
    </w:p>
    <w:p w14:paraId="629F3909" w14:textId="77777777" w:rsidR="00653571" w:rsidRPr="008C5F1C" w:rsidRDefault="00653571" w:rsidP="00653571">
      <w:pPr>
        <w:rPr>
          <w:rFonts w:ascii="Times New Roman" w:hAnsi="Times New Roman" w:cs="Times New Roman"/>
          <w:b/>
          <w:bCs/>
          <w:i/>
          <w:u w:val="single"/>
        </w:rPr>
      </w:pPr>
      <w:proofErr w:type="spellStart"/>
      <w:r w:rsidRPr="008C5F1C">
        <w:rPr>
          <w:rFonts w:ascii="Times New Roman" w:hAnsi="Times New Roman" w:cs="Times New Roman"/>
          <w:i/>
        </w:rPr>
        <w:t>Reference</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Article</w:t>
      </w:r>
      <w:proofErr w:type="spellEnd"/>
      <w:r w:rsidRPr="008C5F1C">
        <w:rPr>
          <w:rFonts w:ascii="Times New Roman" w:hAnsi="Times New Roman" w:cs="Times New Roman"/>
          <w:i/>
        </w:rPr>
        <w:t xml:space="preserve"> 17(3)(d)(ii) CPR </w:t>
      </w:r>
    </w:p>
    <w:tbl>
      <w:tblPr>
        <w:tblW w:w="50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8"/>
        <w:gridCol w:w="1221"/>
        <w:gridCol w:w="625"/>
        <w:gridCol w:w="874"/>
        <w:gridCol w:w="546"/>
        <w:gridCol w:w="2242"/>
        <w:gridCol w:w="1158"/>
        <w:gridCol w:w="1078"/>
        <w:gridCol w:w="1315"/>
      </w:tblGrid>
      <w:tr w:rsidR="00653571" w:rsidRPr="008C5F1C" w14:paraId="10319156" w14:textId="77777777" w:rsidTr="00DA6B93">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115BF779" w14:textId="77777777" w:rsidR="00653571" w:rsidRPr="008C5F1C" w:rsidRDefault="00653571" w:rsidP="00534127">
            <w:pPr>
              <w:rPr>
                <w:rFonts w:ascii="Times New Roman" w:hAnsi="Times New Roman" w:cs="Times New Roman"/>
                <w:b/>
              </w:rPr>
            </w:pPr>
            <w:r w:rsidRPr="008C5F1C">
              <w:rPr>
                <w:rFonts w:ascii="Times New Roman" w:hAnsi="Times New Roman" w:cs="Times New Roman"/>
                <w:b/>
                <w:iCs/>
              </w:rPr>
              <w:t xml:space="preserve">Table 2: Output </w:t>
            </w:r>
            <w:proofErr w:type="spellStart"/>
            <w:r w:rsidRPr="008C5F1C">
              <w:rPr>
                <w:rFonts w:ascii="Times New Roman" w:hAnsi="Times New Roman" w:cs="Times New Roman"/>
                <w:b/>
                <w:iCs/>
              </w:rPr>
              <w:t>indicators</w:t>
            </w:r>
            <w:proofErr w:type="spellEnd"/>
          </w:p>
        </w:tc>
      </w:tr>
      <w:tr w:rsidR="00653571" w:rsidRPr="008C5F1C" w14:paraId="63F495BF" w14:textId="77777777" w:rsidTr="00DA6B93">
        <w:trPr>
          <w:trHeight w:val="1222"/>
        </w:trPr>
        <w:tc>
          <w:tcPr>
            <w:tcW w:w="386" w:type="pct"/>
            <w:tcBorders>
              <w:top w:val="single" w:sz="4" w:space="0" w:color="auto"/>
              <w:left w:val="single" w:sz="4" w:space="0" w:color="auto"/>
              <w:bottom w:val="single" w:sz="4" w:space="0" w:color="auto"/>
              <w:right w:val="single" w:sz="4" w:space="0" w:color="auto"/>
            </w:tcBorders>
            <w:hideMark/>
          </w:tcPr>
          <w:p w14:paraId="58A14271"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Priority</w:t>
            </w:r>
            <w:proofErr w:type="spellEnd"/>
            <w:r w:rsidRPr="008C5F1C">
              <w:rPr>
                <w:rFonts w:ascii="Times New Roman" w:hAnsi="Times New Roman" w:cs="Times New Roman"/>
                <w:b/>
                <w:sz w:val="16"/>
                <w:szCs w:val="16"/>
              </w:rPr>
              <w:t xml:space="preserve"> </w:t>
            </w:r>
          </w:p>
        </w:tc>
        <w:tc>
          <w:tcPr>
            <w:tcW w:w="622" w:type="pct"/>
            <w:tcBorders>
              <w:top w:val="single" w:sz="4" w:space="0" w:color="auto"/>
              <w:left w:val="single" w:sz="4" w:space="0" w:color="auto"/>
              <w:bottom w:val="single" w:sz="4" w:space="0" w:color="auto"/>
              <w:right w:val="single" w:sz="4" w:space="0" w:color="auto"/>
            </w:tcBorders>
            <w:hideMark/>
          </w:tcPr>
          <w:p w14:paraId="3D7EDDB7"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 xml:space="preserve">Specific </w:t>
            </w:r>
            <w:proofErr w:type="spellStart"/>
            <w:r w:rsidRPr="008C5F1C">
              <w:rPr>
                <w:rFonts w:ascii="Times New Roman" w:hAnsi="Times New Roman" w:cs="Times New Roman"/>
                <w:b/>
                <w:sz w:val="16"/>
                <w:szCs w:val="16"/>
              </w:rPr>
              <w:t>objective</w:t>
            </w:r>
            <w:proofErr w:type="spellEnd"/>
            <w:r w:rsidRPr="008C5F1C">
              <w:rPr>
                <w:rFonts w:ascii="Times New Roman" w:hAnsi="Times New Roman" w:cs="Times New Roman"/>
                <w:b/>
                <w:sz w:val="16"/>
                <w:szCs w:val="16"/>
              </w:rPr>
              <w:t xml:space="preserve"> (Investment for </w:t>
            </w:r>
            <w:proofErr w:type="spellStart"/>
            <w:r w:rsidRPr="008C5F1C">
              <w:rPr>
                <w:rFonts w:ascii="Times New Roman" w:hAnsi="Times New Roman" w:cs="Times New Roman"/>
                <w:b/>
                <w:sz w:val="16"/>
                <w:szCs w:val="16"/>
              </w:rPr>
              <w:t>Jobs</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and</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Growth</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goal</w:t>
            </w:r>
            <w:proofErr w:type="spellEnd"/>
            <w:r w:rsidRPr="008C5F1C">
              <w:rPr>
                <w:rFonts w:ascii="Times New Roman" w:hAnsi="Times New Roman" w:cs="Times New Roman"/>
                <w:b/>
                <w:sz w:val="16"/>
                <w:szCs w:val="16"/>
              </w:rPr>
              <w:t xml:space="preserve"> or EMFF)</w:t>
            </w:r>
          </w:p>
        </w:tc>
        <w:tc>
          <w:tcPr>
            <w:tcW w:w="318" w:type="pct"/>
            <w:tcBorders>
              <w:top w:val="single" w:sz="4" w:space="0" w:color="auto"/>
              <w:left w:val="single" w:sz="4" w:space="0" w:color="auto"/>
              <w:bottom w:val="single" w:sz="4" w:space="0" w:color="auto"/>
              <w:right w:val="single" w:sz="4" w:space="0" w:color="auto"/>
            </w:tcBorders>
            <w:hideMark/>
          </w:tcPr>
          <w:p w14:paraId="470C8834"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Fund</w:t>
            </w:r>
          </w:p>
        </w:tc>
        <w:tc>
          <w:tcPr>
            <w:tcW w:w="445" w:type="pct"/>
            <w:tcBorders>
              <w:top w:val="single" w:sz="4" w:space="0" w:color="auto"/>
              <w:left w:val="single" w:sz="4" w:space="0" w:color="auto"/>
              <w:bottom w:val="single" w:sz="4" w:space="0" w:color="auto"/>
              <w:right w:val="single" w:sz="4" w:space="0" w:color="auto"/>
            </w:tcBorders>
            <w:hideMark/>
          </w:tcPr>
          <w:p w14:paraId="46D1FABF"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Category</w:t>
            </w:r>
            <w:proofErr w:type="spellEnd"/>
            <w:r w:rsidRPr="008C5F1C">
              <w:rPr>
                <w:rFonts w:ascii="Times New Roman" w:hAnsi="Times New Roman" w:cs="Times New Roman"/>
                <w:b/>
                <w:sz w:val="16"/>
                <w:szCs w:val="16"/>
              </w:rPr>
              <w:t xml:space="preserve"> of </w:t>
            </w:r>
            <w:proofErr w:type="spellStart"/>
            <w:r w:rsidRPr="008C5F1C">
              <w:rPr>
                <w:rFonts w:ascii="Times New Roman" w:hAnsi="Times New Roman" w:cs="Times New Roman"/>
                <w:b/>
                <w:sz w:val="16"/>
                <w:szCs w:val="16"/>
              </w:rPr>
              <w:t>region</w:t>
            </w:r>
            <w:proofErr w:type="spellEnd"/>
          </w:p>
        </w:tc>
        <w:tc>
          <w:tcPr>
            <w:tcW w:w="278" w:type="pct"/>
            <w:tcBorders>
              <w:top w:val="single" w:sz="4" w:space="0" w:color="auto"/>
              <w:left w:val="single" w:sz="4" w:space="0" w:color="auto"/>
              <w:bottom w:val="single" w:sz="4" w:space="0" w:color="auto"/>
              <w:right w:val="single" w:sz="4" w:space="0" w:color="auto"/>
            </w:tcBorders>
            <w:hideMark/>
          </w:tcPr>
          <w:p w14:paraId="008D52A6"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ID [5]</w:t>
            </w:r>
          </w:p>
        </w:tc>
        <w:tc>
          <w:tcPr>
            <w:tcW w:w="1142" w:type="pct"/>
            <w:tcBorders>
              <w:top w:val="single" w:sz="4" w:space="0" w:color="auto"/>
              <w:left w:val="single" w:sz="4" w:space="0" w:color="auto"/>
              <w:bottom w:val="single" w:sz="4" w:space="0" w:color="auto"/>
              <w:right w:val="single" w:sz="4" w:space="0" w:color="auto"/>
            </w:tcBorders>
            <w:hideMark/>
          </w:tcPr>
          <w:p w14:paraId="48A854F0"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 xml:space="preserve">Indicator [255] </w:t>
            </w:r>
          </w:p>
        </w:tc>
        <w:tc>
          <w:tcPr>
            <w:tcW w:w="590" w:type="pct"/>
            <w:tcBorders>
              <w:top w:val="single" w:sz="4" w:space="0" w:color="auto"/>
              <w:left w:val="single" w:sz="4" w:space="0" w:color="auto"/>
              <w:bottom w:val="single" w:sz="4" w:space="0" w:color="auto"/>
              <w:right w:val="single" w:sz="4" w:space="0" w:color="auto"/>
            </w:tcBorders>
            <w:hideMark/>
          </w:tcPr>
          <w:p w14:paraId="7CCF6296"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Measurement</w:t>
            </w:r>
            <w:proofErr w:type="spellEnd"/>
            <w:r w:rsidRPr="008C5F1C">
              <w:rPr>
                <w:rFonts w:ascii="Times New Roman" w:hAnsi="Times New Roman" w:cs="Times New Roman"/>
                <w:b/>
                <w:sz w:val="16"/>
                <w:szCs w:val="16"/>
              </w:rPr>
              <w:t xml:space="preserve"> unit</w:t>
            </w:r>
          </w:p>
        </w:tc>
        <w:tc>
          <w:tcPr>
            <w:tcW w:w="549" w:type="pct"/>
            <w:tcBorders>
              <w:top w:val="single" w:sz="4" w:space="0" w:color="auto"/>
              <w:left w:val="single" w:sz="4" w:space="0" w:color="auto"/>
              <w:bottom w:val="single" w:sz="4" w:space="0" w:color="auto"/>
              <w:right w:val="single" w:sz="4" w:space="0" w:color="auto"/>
            </w:tcBorders>
          </w:tcPr>
          <w:p w14:paraId="3B061345"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Milestone</w:t>
            </w:r>
            <w:proofErr w:type="spellEnd"/>
            <w:r w:rsidRPr="008C5F1C">
              <w:rPr>
                <w:rFonts w:ascii="Times New Roman" w:hAnsi="Times New Roman" w:cs="Times New Roman"/>
                <w:b/>
                <w:sz w:val="16"/>
                <w:szCs w:val="16"/>
              </w:rPr>
              <w:t xml:space="preserve"> (2024)</w:t>
            </w:r>
          </w:p>
          <w:p w14:paraId="731E24CA" w14:textId="77777777" w:rsidR="00653571" w:rsidRPr="008C5F1C" w:rsidRDefault="00653571" w:rsidP="00534127">
            <w:pPr>
              <w:rPr>
                <w:rFonts w:ascii="Times New Roman" w:hAnsi="Times New Roman" w:cs="Times New Roman"/>
                <w:b/>
                <w:sz w:val="16"/>
                <w:szCs w:val="16"/>
              </w:rPr>
            </w:pPr>
          </w:p>
        </w:tc>
        <w:tc>
          <w:tcPr>
            <w:tcW w:w="670" w:type="pct"/>
            <w:tcBorders>
              <w:top w:val="single" w:sz="4" w:space="0" w:color="auto"/>
              <w:left w:val="single" w:sz="4" w:space="0" w:color="auto"/>
              <w:bottom w:val="single" w:sz="4" w:space="0" w:color="auto"/>
              <w:right w:val="single" w:sz="4" w:space="0" w:color="auto"/>
            </w:tcBorders>
          </w:tcPr>
          <w:p w14:paraId="66765AB5"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Target (2029)</w:t>
            </w:r>
          </w:p>
          <w:p w14:paraId="6582BF5F" w14:textId="77777777" w:rsidR="00653571" w:rsidRPr="008C5F1C" w:rsidRDefault="00653571" w:rsidP="00534127">
            <w:pPr>
              <w:rPr>
                <w:rFonts w:ascii="Times New Roman" w:hAnsi="Times New Roman" w:cs="Times New Roman"/>
                <w:b/>
                <w:sz w:val="16"/>
                <w:szCs w:val="16"/>
              </w:rPr>
            </w:pPr>
          </w:p>
        </w:tc>
      </w:tr>
      <w:tr w:rsidR="00653571" w:rsidRPr="008C5F1C" w14:paraId="578E4414" w14:textId="77777777" w:rsidTr="00DA6B93">
        <w:trPr>
          <w:trHeight w:val="340"/>
        </w:trPr>
        <w:tc>
          <w:tcPr>
            <w:tcW w:w="386" w:type="pct"/>
            <w:tcBorders>
              <w:top w:val="single" w:sz="4" w:space="0" w:color="auto"/>
              <w:left w:val="single" w:sz="4" w:space="0" w:color="auto"/>
              <w:bottom w:val="single" w:sz="4" w:space="0" w:color="auto"/>
              <w:right w:val="single" w:sz="4" w:space="0" w:color="auto"/>
            </w:tcBorders>
          </w:tcPr>
          <w:p w14:paraId="3921B25A" w14:textId="77777777" w:rsidR="00653571" w:rsidRPr="008C5F1C" w:rsidRDefault="006F2A71" w:rsidP="00534127">
            <w:pPr>
              <w:rPr>
                <w:rFonts w:ascii="Times New Roman" w:hAnsi="Times New Roman" w:cs="Times New Roman"/>
                <w:bCs/>
                <w:iCs/>
                <w:sz w:val="16"/>
                <w:szCs w:val="16"/>
              </w:rPr>
            </w:pPr>
            <w:r w:rsidRPr="008C5F1C">
              <w:rPr>
                <w:rFonts w:ascii="Times New Roman" w:hAnsi="Times New Roman" w:cs="Times New Roman"/>
                <w:bCs/>
                <w:iCs/>
                <w:sz w:val="16"/>
                <w:szCs w:val="16"/>
              </w:rPr>
              <w:t>2</w:t>
            </w:r>
          </w:p>
        </w:tc>
        <w:tc>
          <w:tcPr>
            <w:tcW w:w="622" w:type="pct"/>
            <w:tcBorders>
              <w:top w:val="single" w:sz="4" w:space="0" w:color="auto"/>
              <w:left w:val="single" w:sz="4" w:space="0" w:color="auto"/>
              <w:bottom w:val="single" w:sz="4" w:space="0" w:color="auto"/>
              <w:right w:val="single" w:sz="4" w:space="0" w:color="auto"/>
            </w:tcBorders>
          </w:tcPr>
          <w:p w14:paraId="5CC40B19"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noProof/>
                <w:sz w:val="16"/>
                <w:szCs w:val="16"/>
              </w:rPr>
              <w:t xml:space="preserve">a (ii) Fructificarea </w:t>
            </w:r>
            <w:r w:rsidRPr="008C5F1C">
              <w:rPr>
                <w:rFonts w:ascii="Times New Roman" w:hAnsi="Times New Roman" w:cs="Times New Roman"/>
                <w:noProof/>
                <w:sz w:val="16"/>
                <w:szCs w:val="16"/>
              </w:rPr>
              <w:lastRenderedPageBreak/>
              <w:t>avantajelor digitaliz</w:t>
            </w:r>
            <w:r w:rsidR="00BA7827" w:rsidRPr="008C5F1C">
              <w:rPr>
                <w:rFonts w:ascii="Times New Roman" w:hAnsi="Times New Roman" w:cs="Times New Roman"/>
                <w:noProof/>
                <w:sz w:val="16"/>
                <w:szCs w:val="16"/>
              </w:rPr>
              <w:t>ă</w:t>
            </w:r>
            <w:r w:rsidRPr="008C5F1C">
              <w:rPr>
                <w:rFonts w:ascii="Times New Roman" w:hAnsi="Times New Roman" w:cs="Times New Roman"/>
                <w:noProof/>
                <w:sz w:val="16"/>
                <w:szCs w:val="16"/>
              </w:rPr>
              <w:t>rii, în beneficiul cet</w:t>
            </w:r>
            <w:r w:rsidR="00BA7827" w:rsidRPr="008C5F1C">
              <w:rPr>
                <w:rFonts w:ascii="Times New Roman" w:hAnsi="Times New Roman" w:cs="Times New Roman"/>
                <w:noProof/>
                <w:sz w:val="16"/>
                <w:szCs w:val="16"/>
              </w:rPr>
              <w:t>ă</w:t>
            </w:r>
            <w:r w:rsidR="00E22FF2" w:rsidRPr="008C5F1C">
              <w:rPr>
                <w:rFonts w:ascii="Times New Roman" w:hAnsi="Times New Roman" w:cs="Times New Roman"/>
                <w:noProof/>
                <w:sz w:val="16"/>
                <w:szCs w:val="16"/>
              </w:rPr>
              <w:t>ț</w:t>
            </w:r>
            <w:r w:rsidRPr="008C5F1C">
              <w:rPr>
                <w:rFonts w:ascii="Times New Roman" w:hAnsi="Times New Roman" w:cs="Times New Roman"/>
                <w:noProof/>
                <w:sz w:val="16"/>
                <w:szCs w:val="16"/>
              </w:rPr>
              <w:t xml:space="preserve">enilor, al companiilor </w:t>
            </w:r>
            <w:r w:rsidR="00106240" w:rsidRPr="008C5F1C">
              <w:rPr>
                <w:rFonts w:ascii="Times New Roman" w:hAnsi="Times New Roman" w:cs="Times New Roman"/>
                <w:noProof/>
                <w:sz w:val="16"/>
                <w:szCs w:val="16"/>
              </w:rPr>
              <w:t>ș</w:t>
            </w:r>
            <w:r w:rsidRPr="008C5F1C">
              <w:rPr>
                <w:rFonts w:ascii="Times New Roman" w:hAnsi="Times New Roman" w:cs="Times New Roman"/>
                <w:noProof/>
                <w:sz w:val="16"/>
                <w:szCs w:val="16"/>
              </w:rPr>
              <w:t>i al guvernelor</w:t>
            </w:r>
          </w:p>
        </w:tc>
        <w:tc>
          <w:tcPr>
            <w:tcW w:w="318" w:type="pct"/>
            <w:tcBorders>
              <w:top w:val="single" w:sz="4" w:space="0" w:color="auto"/>
              <w:left w:val="single" w:sz="4" w:space="0" w:color="auto"/>
              <w:bottom w:val="single" w:sz="4" w:space="0" w:color="auto"/>
              <w:right w:val="single" w:sz="4" w:space="0" w:color="auto"/>
            </w:tcBorders>
          </w:tcPr>
          <w:p w14:paraId="67EAA734"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noProof/>
                <w:sz w:val="16"/>
                <w:szCs w:val="16"/>
              </w:rPr>
              <w:lastRenderedPageBreak/>
              <w:t>FEDR</w:t>
            </w:r>
          </w:p>
        </w:tc>
        <w:tc>
          <w:tcPr>
            <w:tcW w:w="445" w:type="pct"/>
            <w:tcBorders>
              <w:top w:val="single" w:sz="4" w:space="0" w:color="auto"/>
              <w:left w:val="single" w:sz="4" w:space="0" w:color="auto"/>
              <w:bottom w:val="single" w:sz="4" w:space="0" w:color="auto"/>
              <w:right w:val="single" w:sz="4" w:space="0" w:color="auto"/>
            </w:tcBorders>
          </w:tcPr>
          <w:p w14:paraId="301D7006"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noProof/>
                <w:sz w:val="16"/>
                <w:szCs w:val="16"/>
              </w:rPr>
              <w:t>Mai pu</w:t>
            </w:r>
            <w:r w:rsidR="00E22FF2" w:rsidRPr="008C5F1C">
              <w:rPr>
                <w:rFonts w:ascii="Times New Roman" w:hAnsi="Times New Roman" w:cs="Times New Roman"/>
                <w:noProof/>
                <w:sz w:val="16"/>
                <w:szCs w:val="16"/>
              </w:rPr>
              <w:t>ț</w:t>
            </w:r>
            <w:r w:rsidRPr="008C5F1C">
              <w:rPr>
                <w:rFonts w:ascii="Times New Roman" w:hAnsi="Times New Roman" w:cs="Times New Roman"/>
                <w:noProof/>
                <w:sz w:val="16"/>
                <w:szCs w:val="16"/>
              </w:rPr>
              <w:t>in dezvoltate</w:t>
            </w:r>
          </w:p>
        </w:tc>
        <w:tc>
          <w:tcPr>
            <w:tcW w:w="278" w:type="pct"/>
            <w:tcBorders>
              <w:top w:val="single" w:sz="4" w:space="0" w:color="auto"/>
              <w:left w:val="single" w:sz="4" w:space="0" w:color="auto"/>
              <w:bottom w:val="single" w:sz="4" w:space="0" w:color="auto"/>
              <w:right w:val="single" w:sz="4" w:space="0" w:color="auto"/>
            </w:tcBorders>
          </w:tcPr>
          <w:p w14:paraId="745F72DD"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noProof/>
                <w:sz w:val="16"/>
                <w:szCs w:val="16"/>
              </w:rPr>
              <w:t>RCO 14</w:t>
            </w:r>
          </w:p>
        </w:tc>
        <w:tc>
          <w:tcPr>
            <w:tcW w:w="1142" w:type="pct"/>
            <w:tcBorders>
              <w:top w:val="single" w:sz="4" w:space="0" w:color="auto"/>
              <w:left w:val="single" w:sz="4" w:space="0" w:color="auto"/>
              <w:bottom w:val="single" w:sz="4" w:space="0" w:color="auto"/>
              <w:right w:val="single" w:sz="4" w:space="0" w:color="auto"/>
            </w:tcBorders>
          </w:tcPr>
          <w:p w14:paraId="0CC67C94"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noProof/>
                <w:sz w:val="16"/>
                <w:szCs w:val="16"/>
              </w:rPr>
              <w:t>RCO 14 - Institu</w:t>
            </w:r>
            <w:r w:rsidR="00E22FF2" w:rsidRPr="008C5F1C">
              <w:rPr>
                <w:rFonts w:ascii="Times New Roman" w:hAnsi="Times New Roman" w:cs="Times New Roman"/>
                <w:noProof/>
                <w:sz w:val="16"/>
                <w:szCs w:val="16"/>
              </w:rPr>
              <w:t>ț</w:t>
            </w:r>
            <w:r w:rsidRPr="008C5F1C">
              <w:rPr>
                <w:rFonts w:ascii="Times New Roman" w:hAnsi="Times New Roman" w:cs="Times New Roman"/>
                <w:noProof/>
                <w:sz w:val="16"/>
                <w:szCs w:val="16"/>
              </w:rPr>
              <w:t>ii publice care beneficiaz</w:t>
            </w:r>
            <w:r w:rsidR="00BA7827" w:rsidRPr="008C5F1C">
              <w:rPr>
                <w:rFonts w:ascii="Times New Roman" w:hAnsi="Times New Roman" w:cs="Times New Roman"/>
                <w:noProof/>
                <w:sz w:val="16"/>
                <w:szCs w:val="16"/>
              </w:rPr>
              <w:t>ă</w:t>
            </w:r>
            <w:r w:rsidRPr="008C5F1C">
              <w:rPr>
                <w:rFonts w:ascii="Times New Roman" w:hAnsi="Times New Roman" w:cs="Times New Roman"/>
                <w:noProof/>
                <w:sz w:val="16"/>
                <w:szCs w:val="16"/>
              </w:rPr>
              <w:t xml:space="preserve"> de sprijin pentru a </w:t>
            </w:r>
            <w:r w:rsidRPr="008C5F1C">
              <w:rPr>
                <w:rFonts w:ascii="Times New Roman" w:hAnsi="Times New Roman" w:cs="Times New Roman"/>
                <w:noProof/>
                <w:sz w:val="16"/>
                <w:szCs w:val="16"/>
              </w:rPr>
              <w:lastRenderedPageBreak/>
              <w:t xml:space="preserve">dezvolta servicii </w:t>
            </w:r>
            <w:r w:rsidR="00106240" w:rsidRPr="008C5F1C">
              <w:rPr>
                <w:rFonts w:ascii="Times New Roman" w:hAnsi="Times New Roman" w:cs="Times New Roman"/>
                <w:noProof/>
                <w:sz w:val="16"/>
                <w:szCs w:val="16"/>
              </w:rPr>
              <w:t>ș</w:t>
            </w:r>
            <w:r w:rsidRPr="008C5F1C">
              <w:rPr>
                <w:rFonts w:ascii="Times New Roman" w:hAnsi="Times New Roman" w:cs="Times New Roman"/>
                <w:noProof/>
                <w:sz w:val="16"/>
                <w:szCs w:val="16"/>
              </w:rPr>
              <w:t>i aplica</w:t>
            </w:r>
            <w:r w:rsidR="00E22FF2" w:rsidRPr="008C5F1C">
              <w:rPr>
                <w:rFonts w:ascii="Times New Roman" w:hAnsi="Times New Roman" w:cs="Times New Roman"/>
                <w:noProof/>
                <w:sz w:val="16"/>
                <w:szCs w:val="16"/>
              </w:rPr>
              <w:t>ț</w:t>
            </w:r>
            <w:r w:rsidRPr="008C5F1C">
              <w:rPr>
                <w:rFonts w:ascii="Times New Roman" w:hAnsi="Times New Roman" w:cs="Times New Roman"/>
                <w:noProof/>
                <w:sz w:val="16"/>
                <w:szCs w:val="16"/>
              </w:rPr>
              <w:t>ii digitale</w:t>
            </w:r>
          </w:p>
        </w:tc>
        <w:tc>
          <w:tcPr>
            <w:tcW w:w="590" w:type="pct"/>
            <w:tcBorders>
              <w:top w:val="single" w:sz="4" w:space="0" w:color="auto"/>
              <w:left w:val="single" w:sz="4" w:space="0" w:color="auto"/>
              <w:bottom w:val="single" w:sz="4" w:space="0" w:color="auto"/>
              <w:right w:val="single" w:sz="4" w:space="0" w:color="auto"/>
            </w:tcBorders>
          </w:tcPr>
          <w:p w14:paraId="35A5E9A5" w14:textId="77777777" w:rsidR="00653571" w:rsidRPr="008C5F1C" w:rsidRDefault="00DB5303" w:rsidP="00534127">
            <w:pPr>
              <w:rPr>
                <w:rFonts w:ascii="Times New Roman" w:hAnsi="Times New Roman" w:cs="Times New Roman"/>
                <w:bCs/>
                <w:iCs/>
                <w:sz w:val="16"/>
                <w:szCs w:val="16"/>
              </w:rPr>
            </w:pPr>
            <w:r w:rsidRPr="008C5F1C">
              <w:rPr>
                <w:rFonts w:ascii="Times New Roman" w:hAnsi="Times New Roman" w:cs="Times New Roman"/>
                <w:bCs/>
                <w:iCs/>
                <w:sz w:val="16"/>
                <w:szCs w:val="16"/>
              </w:rPr>
              <w:lastRenderedPageBreak/>
              <w:t xml:space="preserve">Public </w:t>
            </w:r>
            <w:proofErr w:type="spellStart"/>
            <w:r w:rsidRPr="008C5F1C">
              <w:rPr>
                <w:rFonts w:ascii="Times New Roman" w:hAnsi="Times New Roman" w:cs="Times New Roman"/>
                <w:bCs/>
                <w:iCs/>
                <w:sz w:val="16"/>
                <w:szCs w:val="16"/>
              </w:rPr>
              <w:t>institutions</w:t>
            </w:r>
            <w:proofErr w:type="spellEnd"/>
          </w:p>
        </w:tc>
        <w:tc>
          <w:tcPr>
            <w:tcW w:w="549" w:type="pct"/>
            <w:tcBorders>
              <w:top w:val="single" w:sz="4" w:space="0" w:color="auto"/>
              <w:left w:val="single" w:sz="4" w:space="0" w:color="auto"/>
              <w:bottom w:val="single" w:sz="4" w:space="0" w:color="auto"/>
              <w:right w:val="single" w:sz="4" w:space="0" w:color="auto"/>
            </w:tcBorders>
          </w:tcPr>
          <w:p w14:paraId="39013B67" w14:textId="6C29688A" w:rsidR="00653571" w:rsidRPr="008C5F1C" w:rsidRDefault="009B746B" w:rsidP="00534127">
            <w:pPr>
              <w:rPr>
                <w:rFonts w:ascii="Times New Roman" w:hAnsi="Times New Roman" w:cs="Times New Roman"/>
                <w:bCs/>
                <w:iCs/>
                <w:sz w:val="16"/>
                <w:szCs w:val="16"/>
              </w:rPr>
            </w:pPr>
            <w:r w:rsidRPr="008C5F1C">
              <w:rPr>
                <w:rFonts w:ascii="Times New Roman" w:hAnsi="Times New Roman" w:cs="Times New Roman"/>
                <w:bCs/>
                <w:iCs/>
                <w:sz w:val="16"/>
                <w:szCs w:val="16"/>
              </w:rPr>
              <w:t>2</w:t>
            </w:r>
          </w:p>
        </w:tc>
        <w:tc>
          <w:tcPr>
            <w:tcW w:w="670" w:type="pct"/>
            <w:tcBorders>
              <w:top w:val="single" w:sz="4" w:space="0" w:color="auto"/>
              <w:left w:val="single" w:sz="4" w:space="0" w:color="auto"/>
              <w:bottom w:val="single" w:sz="4" w:space="0" w:color="auto"/>
              <w:right w:val="single" w:sz="4" w:space="0" w:color="auto"/>
            </w:tcBorders>
          </w:tcPr>
          <w:p w14:paraId="7F50BDCC" w14:textId="0B9C646E" w:rsidR="00653571" w:rsidRPr="008C5F1C" w:rsidRDefault="009B746B" w:rsidP="00534127">
            <w:pPr>
              <w:rPr>
                <w:rFonts w:ascii="Times New Roman" w:hAnsi="Times New Roman" w:cs="Times New Roman"/>
                <w:bCs/>
                <w:iCs/>
                <w:sz w:val="16"/>
                <w:szCs w:val="16"/>
              </w:rPr>
            </w:pPr>
            <w:r w:rsidRPr="008C5F1C">
              <w:rPr>
                <w:rFonts w:ascii="Times New Roman" w:hAnsi="Times New Roman" w:cs="Times New Roman"/>
                <w:bCs/>
                <w:iCs/>
                <w:sz w:val="16"/>
                <w:szCs w:val="16"/>
              </w:rPr>
              <w:t>10</w:t>
            </w:r>
          </w:p>
        </w:tc>
      </w:tr>
    </w:tbl>
    <w:p w14:paraId="07D68E9B" w14:textId="77777777" w:rsidR="00653571" w:rsidRPr="008C5F1C" w:rsidRDefault="00653571" w:rsidP="00653571">
      <w:pPr>
        <w:rPr>
          <w:rFonts w:ascii="Times New Roman" w:hAnsi="Times New Roman" w:cs="Times New Roman"/>
        </w:rPr>
      </w:pPr>
    </w:p>
    <w:tbl>
      <w:tblPr>
        <w:tblW w:w="54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8"/>
        <w:gridCol w:w="1414"/>
        <w:gridCol w:w="625"/>
        <w:gridCol w:w="874"/>
        <w:gridCol w:w="537"/>
        <w:gridCol w:w="926"/>
        <w:gridCol w:w="1158"/>
        <w:gridCol w:w="856"/>
        <w:gridCol w:w="900"/>
        <w:gridCol w:w="736"/>
        <w:gridCol w:w="812"/>
        <w:gridCol w:w="954"/>
      </w:tblGrid>
      <w:tr w:rsidR="00653571" w:rsidRPr="008C5F1C" w14:paraId="4F1B8BE3" w14:textId="77777777" w:rsidTr="00123ED4">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14:paraId="4D2993E5" w14:textId="77777777" w:rsidR="00653571" w:rsidRPr="008C5F1C" w:rsidRDefault="00653571" w:rsidP="00534127">
            <w:pPr>
              <w:rPr>
                <w:rFonts w:ascii="Times New Roman" w:hAnsi="Times New Roman" w:cs="Times New Roman"/>
                <w:b/>
              </w:rPr>
            </w:pPr>
            <w:r w:rsidRPr="008C5F1C">
              <w:rPr>
                <w:rFonts w:ascii="Times New Roman" w:hAnsi="Times New Roman" w:cs="Times New Roman"/>
                <w:b/>
                <w:iCs/>
              </w:rPr>
              <w:t xml:space="preserve">Table 3: </w:t>
            </w:r>
            <w:proofErr w:type="spellStart"/>
            <w:r w:rsidRPr="008C5F1C">
              <w:rPr>
                <w:rFonts w:ascii="Times New Roman" w:hAnsi="Times New Roman" w:cs="Times New Roman"/>
                <w:b/>
                <w:iCs/>
              </w:rPr>
              <w:t>Result</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indicators</w:t>
            </w:r>
            <w:proofErr w:type="spellEnd"/>
          </w:p>
        </w:tc>
      </w:tr>
      <w:tr w:rsidR="00653571" w:rsidRPr="008C5F1C" w14:paraId="5219402E" w14:textId="77777777" w:rsidTr="00C8533F">
        <w:trPr>
          <w:trHeight w:val="929"/>
        </w:trPr>
        <w:tc>
          <w:tcPr>
            <w:tcW w:w="359" w:type="pct"/>
            <w:tcBorders>
              <w:top w:val="single" w:sz="4" w:space="0" w:color="auto"/>
              <w:left w:val="single" w:sz="4" w:space="0" w:color="auto"/>
              <w:bottom w:val="single" w:sz="4" w:space="0" w:color="auto"/>
              <w:right w:val="single" w:sz="4" w:space="0" w:color="auto"/>
            </w:tcBorders>
            <w:hideMark/>
          </w:tcPr>
          <w:p w14:paraId="6ED2592E"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Priority</w:t>
            </w:r>
            <w:proofErr w:type="spellEnd"/>
            <w:r w:rsidRPr="008C5F1C">
              <w:rPr>
                <w:rFonts w:ascii="Times New Roman" w:hAnsi="Times New Roman" w:cs="Times New Roman"/>
                <w:b/>
                <w:sz w:val="16"/>
                <w:szCs w:val="16"/>
              </w:rPr>
              <w:t xml:space="preserve"> </w:t>
            </w:r>
          </w:p>
        </w:tc>
        <w:tc>
          <w:tcPr>
            <w:tcW w:w="713" w:type="pct"/>
            <w:tcBorders>
              <w:top w:val="single" w:sz="4" w:space="0" w:color="auto"/>
              <w:left w:val="single" w:sz="4" w:space="0" w:color="auto"/>
              <w:bottom w:val="single" w:sz="4" w:space="0" w:color="auto"/>
              <w:right w:val="single" w:sz="4" w:space="0" w:color="auto"/>
            </w:tcBorders>
            <w:hideMark/>
          </w:tcPr>
          <w:p w14:paraId="16B43220"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 xml:space="preserve">Specific </w:t>
            </w:r>
            <w:proofErr w:type="spellStart"/>
            <w:r w:rsidRPr="008C5F1C">
              <w:rPr>
                <w:rFonts w:ascii="Times New Roman" w:hAnsi="Times New Roman" w:cs="Times New Roman"/>
                <w:b/>
                <w:sz w:val="16"/>
                <w:szCs w:val="16"/>
              </w:rPr>
              <w:t>objective</w:t>
            </w:r>
            <w:proofErr w:type="spellEnd"/>
            <w:r w:rsidRPr="008C5F1C">
              <w:rPr>
                <w:rFonts w:ascii="Times New Roman" w:hAnsi="Times New Roman" w:cs="Times New Roman"/>
                <w:b/>
                <w:sz w:val="16"/>
                <w:szCs w:val="16"/>
              </w:rPr>
              <w:t xml:space="preserve"> (Investment for </w:t>
            </w:r>
            <w:proofErr w:type="spellStart"/>
            <w:r w:rsidRPr="008C5F1C">
              <w:rPr>
                <w:rFonts w:ascii="Times New Roman" w:hAnsi="Times New Roman" w:cs="Times New Roman"/>
                <w:b/>
                <w:sz w:val="16"/>
                <w:szCs w:val="16"/>
              </w:rPr>
              <w:t>Jobs</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and</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Growth</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goal</w:t>
            </w:r>
            <w:proofErr w:type="spellEnd"/>
            <w:r w:rsidRPr="008C5F1C">
              <w:rPr>
                <w:rFonts w:ascii="Times New Roman" w:hAnsi="Times New Roman" w:cs="Times New Roman"/>
                <w:b/>
                <w:sz w:val="16"/>
                <w:szCs w:val="16"/>
              </w:rPr>
              <w:t xml:space="preserve"> or EMFF)</w:t>
            </w:r>
          </w:p>
        </w:tc>
        <w:tc>
          <w:tcPr>
            <w:tcW w:w="296" w:type="pct"/>
            <w:tcBorders>
              <w:top w:val="single" w:sz="4" w:space="0" w:color="auto"/>
              <w:left w:val="single" w:sz="4" w:space="0" w:color="auto"/>
              <w:bottom w:val="single" w:sz="4" w:space="0" w:color="auto"/>
              <w:right w:val="single" w:sz="4" w:space="0" w:color="auto"/>
            </w:tcBorders>
            <w:hideMark/>
          </w:tcPr>
          <w:p w14:paraId="19F3A535"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Fund</w:t>
            </w:r>
          </w:p>
        </w:tc>
        <w:tc>
          <w:tcPr>
            <w:tcW w:w="414" w:type="pct"/>
            <w:tcBorders>
              <w:top w:val="single" w:sz="4" w:space="0" w:color="auto"/>
              <w:left w:val="single" w:sz="4" w:space="0" w:color="auto"/>
              <w:bottom w:val="single" w:sz="4" w:space="0" w:color="auto"/>
              <w:right w:val="single" w:sz="4" w:space="0" w:color="auto"/>
            </w:tcBorders>
            <w:hideMark/>
          </w:tcPr>
          <w:p w14:paraId="3315A2D8"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Category</w:t>
            </w:r>
            <w:proofErr w:type="spellEnd"/>
            <w:r w:rsidRPr="008C5F1C">
              <w:rPr>
                <w:rFonts w:ascii="Times New Roman" w:hAnsi="Times New Roman" w:cs="Times New Roman"/>
                <w:b/>
                <w:sz w:val="16"/>
                <w:szCs w:val="16"/>
              </w:rPr>
              <w:t xml:space="preserve"> of </w:t>
            </w:r>
            <w:proofErr w:type="spellStart"/>
            <w:r w:rsidRPr="008C5F1C">
              <w:rPr>
                <w:rFonts w:ascii="Times New Roman" w:hAnsi="Times New Roman" w:cs="Times New Roman"/>
                <w:b/>
                <w:sz w:val="16"/>
                <w:szCs w:val="16"/>
              </w:rPr>
              <w:t>region</w:t>
            </w:r>
            <w:proofErr w:type="spellEnd"/>
            <w:r w:rsidRPr="008C5F1C">
              <w:rPr>
                <w:rFonts w:ascii="Times New Roman" w:hAnsi="Times New Roman" w:cs="Times New Roman"/>
                <w:sz w:val="16"/>
                <w:szCs w:val="16"/>
              </w:rPr>
              <w:t xml:space="preserve"> </w:t>
            </w:r>
          </w:p>
        </w:tc>
        <w:tc>
          <w:tcPr>
            <w:tcW w:w="254" w:type="pct"/>
            <w:tcBorders>
              <w:top w:val="single" w:sz="4" w:space="0" w:color="auto"/>
              <w:left w:val="single" w:sz="4" w:space="0" w:color="auto"/>
              <w:bottom w:val="single" w:sz="4" w:space="0" w:color="auto"/>
              <w:right w:val="single" w:sz="4" w:space="0" w:color="auto"/>
            </w:tcBorders>
            <w:hideMark/>
          </w:tcPr>
          <w:p w14:paraId="601501F9"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ID [5]</w:t>
            </w:r>
          </w:p>
        </w:tc>
        <w:tc>
          <w:tcPr>
            <w:tcW w:w="481" w:type="pct"/>
            <w:tcBorders>
              <w:top w:val="single" w:sz="4" w:space="0" w:color="auto"/>
              <w:left w:val="single" w:sz="4" w:space="0" w:color="auto"/>
              <w:bottom w:val="single" w:sz="4" w:space="0" w:color="auto"/>
              <w:right w:val="single" w:sz="4" w:space="0" w:color="auto"/>
            </w:tcBorders>
            <w:hideMark/>
          </w:tcPr>
          <w:p w14:paraId="20F98E91"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Indicator [255]</w:t>
            </w:r>
          </w:p>
        </w:tc>
        <w:tc>
          <w:tcPr>
            <w:tcW w:w="549" w:type="pct"/>
            <w:tcBorders>
              <w:top w:val="single" w:sz="4" w:space="0" w:color="auto"/>
              <w:left w:val="single" w:sz="4" w:space="0" w:color="auto"/>
              <w:bottom w:val="single" w:sz="4" w:space="0" w:color="auto"/>
              <w:right w:val="single" w:sz="4" w:space="0" w:color="auto"/>
            </w:tcBorders>
            <w:hideMark/>
          </w:tcPr>
          <w:p w14:paraId="20DF13BD"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Measurement</w:t>
            </w:r>
            <w:proofErr w:type="spellEnd"/>
            <w:r w:rsidRPr="008C5F1C">
              <w:rPr>
                <w:rFonts w:ascii="Times New Roman" w:hAnsi="Times New Roman" w:cs="Times New Roman"/>
                <w:b/>
                <w:sz w:val="16"/>
                <w:szCs w:val="16"/>
              </w:rPr>
              <w:t xml:space="preserve"> unit</w:t>
            </w:r>
          </w:p>
        </w:tc>
        <w:tc>
          <w:tcPr>
            <w:tcW w:w="406" w:type="pct"/>
            <w:tcBorders>
              <w:top w:val="single" w:sz="4" w:space="0" w:color="auto"/>
              <w:left w:val="single" w:sz="4" w:space="0" w:color="auto"/>
              <w:bottom w:val="single" w:sz="4" w:space="0" w:color="auto"/>
              <w:right w:val="single" w:sz="4" w:space="0" w:color="auto"/>
            </w:tcBorders>
            <w:hideMark/>
          </w:tcPr>
          <w:p w14:paraId="290502F1"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Baseline</w:t>
            </w:r>
            <w:proofErr w:type="spellEnd"/>
            <w:r w:rsidRPr="008C5F1C">
              <w:rPr>
                <w:rFonts w:ascii="Times New Roman" w:hAnsi="Times New Roman" w:cs="Times New Roman"/>
                <w:b/>
                <w:sz w:val="16"/>
                <w:szCs w:val="16"/>
              </w:rPr>
              <w:t xml:space="preserve"> or </w:t>
            </w:r>
            <w:proofErr w:type="spellStart"/>
            <w:r w:rsidRPr="008C5F1C">
              <w:rPr>
                <w:rFonts w:ascii="Times New Roman" w:hAnsi="Times New Roman" w:cs="Times New Roman"/>
                <w:b/>
                <w:sz w:val="16"/>
                <w:szCs w:val="16"/>
              </w:rPr>
              <w:t>reference</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value</w:t>
            </w:r>
            <w:proofErr w:type="spellEnd"/>
          </w:p>
        </w:tc>
        <w:tc>
          <w:tcPr>
            <w:tcW w:w="426" w:type="pct"/>
            <w:tcBorders>
              <w:top w:val="single" w:sz="4" w:space="0" w:color="auto"/>
              <w:left w:val="single" w:sz="4" w:space="0" w:color="auto"/>
              <w:bottom w:val="single" w:sz="4" w:space="0" w:color="auto"/>
              <w:right w:val="single" w:sz="4" w:space="0" w:color="auto"/>
            </w:tcBorders>
            <w:hideMark/>
          </w:tcPr>
          <w:p w14:paraId="404EA3C1"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Reference</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year</w:t>
            </w:r>
            <w:proofErr w:type="spellEnd"/>
          </w:p>
        </w:tc>
        <w:tc>
          <w:tcPr>
            <w:tcW w:w="322" w:type="pct"/>
            <w:tcBorders>
              <w:top w:val="single" w:sz="4" w:space="0" w:color="auto"/>
              <w:left w:val="single" w:sz="4" w:space="0" w:color="auto"/>
              <w:bottom w:val="single" w:sz="4" w:space="0" w:color="auto"/>
              <w:right w:val="single" w:sz="4" w:space="0" w:color="auto"/>
            </w:tcBorders>
          </w:tcPr>
          <w:p w14:paraId="23ECF28A" w14:textId="77777777" w:rsidR="00653571" w:rsidRPr="008C5F1C" w:rsidRDefault="00CA1957" w:rsidP="00534127">
            <w:pPr>
              <w:rPr>
                <w:rFonts w:ascii="Times New Roman" w:hAnsi="Times New Roman" w:cs="Times New Roman"/>
                <w:b/>
                <w:sz w:val="16"/>
                <w:szCs w:val="16"/>
              </w:rPr>
            </w:pPr>
            <w:r w:rsidRPr="008C5F1C">
              <w:rPr>
                <w:rFonts w:ascii="Times New Roman" w:hAnsi="Times New Roman" w:cs="Times New Roman"/>
                <w:b/>
                <w:sz w:val="16"/>
                <w:szCs w:val="16"/>
              </w:rPr>
              <w:t>Target (2029)</w:t>
            </w:r>
          </w:p>
        </w:tc>
        <w:tc>
          <w:tcPr>
            <w:tcW w:w="326" w:type="pct"/>
            <w:tcBorders>
              <w:top w:val="single" w:sz="4" w:space="0" w:color="auto"/>
              <w:left w:val="single" w:sz="4" w:space="0" w:color="auto"/>
              <w:bottom w:val="single" w:sz="4" w:space="0" w:color="auto"/>
              <w:right w:val="single" w:sz="4" w:space="0" w:color="auto"/>
            </w:tcBorders>
            <w:hideMark/>
          </w:tcPr>
          <w:p w14:paraId="5421604A"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Source</w:t>
            </w:r>
            <w:proofErr w:type="spellEnd"/>
            <w:r w:rsidRPr="008C5F1C">
              <w:rPr>
                <w:rFonts w:ascii="Times New Roman" w:hAnsi="Times New Roman" w:cs="Times New Roman"/>
                <w:b/>
                <w:sz w:val="16"/>
                <w:szCs w:val="16"/>
              </w:rPr>
              <w:t xml:space="preserve"> of data [200]</w:t>
            </w:r>
          </w:p>
        </w:tc>
        <w:tc>
          <w:tcPr>
            <w:tcW w:w="454" w:type="pct"/>
            <w:tcBorders>
              <w:top w:val="single" w:sz="4" w:space="0" w:color="auto"/>
              <w:left w:val="single" w:sz="4" w:space="0" w:color="auto"/>
              <w:bottom w:val="single" w:sz="4" w:space="0" w:color="auto"/>
              <w:right w:val="single" w:sz="4" w:space="0" w:color="auto"/>
            </w:tcBorders>
            <w:hideMark/>
          </w:tcPr>
          <w:p w14:paraId="1F77CDA7"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Comments</w:t>
            </w:r>
            <w:proofErr w:type="spellEnd"/>
            <w:r w:rsidRPr="008C5F1C">
              <w:rPr>
                <w:rFonts w:ascii="Times New Roman" w:hAnsi="Times New Roman" w:cs="Times New Roman"/>
                <w:b/>
                <w:sz w:val="16"/>
                <w:szCs w:val="16"/>
              </w:rPr>
              <w:t xml:space="preserve"> [200]</w:t>
            </w:r>
          </w:p>
        </w:tc>
      </w:tr>
      <w:tr w:rsidR="00653571" w:rsidRPr="008C5F1C" w14:paraId="27D41F5B" w14:textId="77777777" w:rsidTr="00123ED4">
        <w:trPr>
          <w:trHeight w:val="434"/>
        </w:trPr>
        <w:tc>
          <w:tcPr>
            <w:tcW w:w="359" w:type="pct"/>
            <w:tcBorders>
              <w:top w:val="single" w:sz="4" w:space="0" w:color="auto"/>
              <w:left w:val="single" w:sz="4" w:space="0" w:color="auto"/>
              <w:bottom w:val="single" w:sz="4" w:space="0" w:color="auto"/>
              <w:right w:val="single" w:sz="4" w:space="0" w:color="auto"/>
            </w:tcBorders>
          </w:tcPr>
          <w:p w14:paraId="2DC00D9D" w14:textId="77777777" w:rsidR="00653571" w:rsidRPr="008C5F1C" w:rsidRDefault="006F2A71" w:rsidP="00534127">
            <w:pPr>
              <w:rPr>
                <w:rFonts w:ascii="Times New Roman" w:hAnsi="Times New Roman" w:cs="Times New Roman"/>
                <w:iCs/>
                <w:sz w:val="16"/>
                <w:szCs w:val="16"/>
              </w:rPr>
            </w:pPr>
            <w:r w:rsidRPr="008C5F1C">
              <w:rPr>
                <w:rFonts w:ascii="Times New Roman" w:hAnsi="Times New Roman" w:cs="Times New Roman"/>
                <w:iCs/>
                <w:sz w:val="16"/>
                <w:szCs w:val="16"/>
              </w:rPr>
              <w:t>2</w:t>
            </w:r>
          </w:p>
        </w:tc>
        <w:tc>
          <w:tcPr>
            <w:tcW w:w="713" w:type="pct"/>
            <w:tcBorders>
              <w:top w:val="single" w:sz="4" w:space="0" w:color="auto"/>
              <w:left w:val="single" w:sz="4" w:space="0" w:color="auto"/>
              <w:bottom w:val="single" w:sz="4" w:space="0" w:color="auto"/>
              <w:right w:val="single" w:sz="4" w:space="0" w:color="auto"/>
            </w:tcBorders>
          </w:tcPr>
          <w:p w14:paraId="3BD6FEE7" w14:textId="77777777" w:rsidR="00653571" w:rsidRPr="008C5F1C" w:rsidRDefault="00653571" w:rsidP="00534127">
            <w:pPr>
              <w:rPr>
                <w:rFonts w:ascii="Times New Roman" w:hAnsi="Times New Roman" w:cs="Times New Roman"/>
                <w:iCs/>
                <w:sz w:val="16"/>
                <w:szCs w:val="16"/>
              </w:rPr>
            </w:pPr>
            <w:r w:rsidRPr="008C5F1C">
              <w:rPr>
                <w:rFonts w:ascii="Times New Roman" w:hAnsi="Times New Roman" w:cs="Times New Roman"/>
                <w:noProof/>
                <w:sz w:val="16"/>
                <w:szCs w:val="16"/>
              </w:rPr>
              <w:t>a (ii) Fructificarea avantajelor digitaliz</w:t>
            </w:r>
            <w:r w:rsidR="00BA7827" w:rsidRPr="008C5F1C">
              <w:rPr>
                <w:rFonts w:ascii="Times New Roman" w:hAnsi="Times New Roman" w:cs="Times New Roman"/>
                <w:noProof/>
                <w:sz w:val="16"/>
                <w:szCs w:val="16"/>
              </w:rPr>
              <w:t>ă</w:t>
            </w:r>
            <w:r w:rsidRPr="008C5F1C">
              <w:rPr>
                <w:rFonts w:ascii="Times New Roman" w:hAnsi="Times New Roman" w:cs="Times New Roman"/>
                <w:noProof/>
                <w:sz w:val="16"/>
                <w:szCs w:val="16"/>
              </w:rPr>
              <w:t>rii, în beneficiul cet</w:t>
            </w:r>
            <w:r w:rsidR="00BA7827" w:rsidRPr="008C5F1C">
              <w:rPr>
                <w:rFonts w:ascii="Times New Roman" w:hAnsi="Times New Roman" w:cs="Times New Roman"/>
                <w:noProof/>
                <w:sz w:val="16"/>
                <w:szCs w:val="16"/>
              </w:rPr>
              <w:t>ă</w:t>
            </w:r>
            <w:r w:rsidR="00E22FF2" w:rsidRPr="008C5F1C">
              <w:rPr>
                <w:rFonts w:ascii="Times New Roman" w:hAnsi="Times New Roman" w:cs="Times New Roman"/>
                <w:noProof/>
                <w:sz w:val="16"/>
                <w:szCs w:val="16"/>
              </w:rPr>
              <w:t>ț</w:t>
            </w:r>
            <w:r w:rsidRPr="008C5F1C">
              <w:rPr>
                <w:rFonts w:ascii="Times New Roman" w:hAnsi="Times New Roman" w:cs="Times New Roman"/>
                <w:noProof/>
                <w:sz w:val="16"/>
                <w:szCs w:val="16"/>
              </w:rPr>
              <w:t xml:space="preserve">enilor, al companiilor </w:t>
            </w:r>
            <w:r w:rsidR="00106240" w:rsidRPr="008C5F1C">
              <w:rPr>
                <w:rFonts w:ascii="Times New Roman" w:hAnsi="Times New Roman" w:cs="Times New Roman"/>
                <w:noProof/>
                <w:sz w:val="16"/>
                <w:szCs w:val="16"/>
              </w:rPr>
              <w:t>ș</w:t>
            </w:r>
            <w:r w:rsidRPr="008C5F1C">
              <w:rPr>
                <w:rFonts w:ascii="Times New Roman" w:hAnsi="Times New Roman" w:cs="Times New Roman"/>
                <w:noProof/>
                <w:sz w:val="16"/>
                <w:szCs w:val="16"/>
              </w:rPr>
              <w:t>i al guvernelor</w:t>
            </w:r>
          </w:p>
        </w:tc>
        <w:tc>
          <w:tcPr>
            <w:tcW w:w="296" w:type="pct"/>
            <w:tcBorders>
              <w:top w:val="single" w:sz="4" w:space="0" w:color="auto"/>
              <w:left w:val="single" w:sz="4" w:space="0" w:color="auto"/>
              <w:bottom w:val="single" w:sz="4" w:space="0" w:color="auto"/>
              <w:right w:val="single" w:sz="4" w:space="0" w:color="auto"/>
            </w:tcBorders>
          </w:tcPr>
          <w:p w14:paraId="41FDA69B" w14:textId="77777777" w:rsidR="00653571" w:rsidRPr="008C5F1C" w:rsidRDefault="00653571" w:rsidP="00534127">
            <w:pPr>
              <w:rPr>
                <w:rFonts w:ascii="Times New Roman" w:hAnsi="Times New Roman" w:cs="Times New Roman"/>
                <w:iCs/>
                <w:sz w:val="16"/>
                <w:szCs w:val="16"/>
              </w:rPr>
            </w:pPr>
            <w:r w:rsidRPr="008C5F1C">
              <w:rPr>
                <w:rFonts w:ascii="Times New Roman" w:hAnsi="Times New Roman" w:cs="Times New Roman"/>
                <w:noProof/>
                <w:sz w:val="16"/>
                <w:szCs w:val="16"/>
              </w:rPr>
              <w:t>FEDR</w:t>
            </w:r>
          </w:p>
        </w:tc>
        <w:tc>
          <w:tcPr>
            <w:tcW w:w="414" w:type="pct"/>
            <w:tcBorders>
              <w:top w:val="single" w:sz="4" w:space="0" w:color="auto"/>
              <w:left w:val="single" w:sz="4" w:space="0" w:color="auto"/>
              <w:bottom w:val="single" w:sz="4" w:space="0" w:color="auto"/>
              <w:right w:val="single" w:sz="4" w:space="0" w:color="auto"/>
            </w:tcBorders>
          </w:tcPr>
          <w:p w14:paraId="3AED551C" w14:textId="77777777" w:rsidR="00653571" w:rsidRPr="008C5F1C" w:rsidRDefault="00653571" w:rsidP="00534127">
            <w:pPr>
              <w:rPr>
                <w:rFonts w:ascii="Times New Roman" w:hAnsi="Times New Roman" w:cs="Times New Roman"/>
                <w:iCs/>
                <w:sz w:val="16"/>
                <w:szCs w:val="16"/>
              </w:rPr>
            </w:pPr>
            <w:r w:rsidRPr="008C5F1C">
              <w:rPr>
                <w:rFonts w:ascii="Times New Roman" w:hAnsi="Times New Roman" w:cs="Times New Roman"/>
                <w:noProof/>
                <w:sz w:val="16"/>
                <w:szCs w:val="16"/>
              </w:rPr>
              <w:t>Mai pu</w:t>
            </w:r>
            <w:r w:rsidR="00E22FF2" w:rsidRPr="008C5F1C">
              <w:rPr>
                <w:rFonts w:ascii="Times New Roman" w:hAnsi="Times New Roman" w:cs="Times New Roman"/>
                <w:noProof/>
                <w:sz w:val="16"/>
                <w:szCs w:val="16"/>
              </w:rPr>
              <w:t>ț</w:t>
            </w:r>
            <w:r w:rsidRPr="008C5F1C">
              <w:rPr>
                <w:rFonts w:ascii="Times New Roman" w:hAnsi="Times New Roman" w:cs="Times New Roman"/>
                <w:noProof/>
                <w:sz w:val="16"/>
                <w:szCs w:val="16"/>
              </w:rPr>
              <w:t>in dezvoltate</w:t>
            </w:r>
          </w:p>
        </w:tc>
        <w:tc>
          <w:tcPr>
            <w:tcW w:w="254" w:type="pct"/>
            <w:tcBorders>
              <w:top w:val="single" w:sz="4" w:space="0" w:color="auto"/>
              <w:left w:val="single" w:sz="4" w:space="0" w:color="auto"/>
              <w:bottom w:val="single" w:sz="4" w:space="0" w:color="auto"/>
              <w:right w:val="single" w:sz="4" w:space="0" w:color="auto"/>
            </w:tcBorders>
          </w:tcPr>
          <w:p w14:paraId="3DE6F3FB" w14:textId="77777777" w:rsidR="00653571" w:rsidRPr="008C5F1C" w:rsidRDefault="00653571" w:rsidP="00534127">
            <w:pPr>
              <w:rPr>
                <w:rFonts w:ascii="Times New Roman" w:hAnsi="Times New Roman" w:cs="Times New Roman"/>
                <w:noProof/>
                <w:sz w:val="16"/>
                <w:szCs w:val="16"/>
              </w:rPr>
            </w:pPr>
            <w:r w:rsidRPr="008C5F1C">
              <w:rPr>
                <w:rFonts w:ascii="Times New Roman" w:hAnsi="Times New Roman" w:cs="Times New Roman"/>
                <w:noProof/>
                <w:sz w:val="16"/>
                <w:szCs w:val="16"/>
              </w:rPr>
              <w:t xml:space="preserve">RCR 11 </w:t>
            </w:r>
          </w:p>
          <w:p w14:paraId="602AB1BC" w14:textId="77777777" w:rsidR="00653571" w:rsidRPr="008C5F1C" w:rsidRDefault="00653571" w:rsidP="00534127">
            <w:pPr>
              <w:rPr>
                <w:rFonts w:ascii="Times New Roman" w:hAnsi="Times New Roman" w:cs="Times New Roman"/>
                <w:iCs/>
                <w:sz w:val="16"/>
                <w:szCs w:val="16"/>
              </w:rPr>
            </w:pPr>
          </w:p>
        </w:tc>
        <w:tc>
          <w:tcPr>
            <w:tcW w:w="481" w:type="pct"/>
            <w:tcBorders>
              <w:top w:val="single" w:sz="4" w:space="0" w:color="auto"/>
              <w:left w:val="single" w:sz="4" w:space="0" w:color="auto"/>
              <w:bottom w:val="single" w:sz="4" w:space="0" w:color="auto"/>
              <w:right w:val="single" w:sz="4" w:space="0" w:color="auto"/>
            </w:tcBorders>
          </w:tcPr>
          <w:p w14:paraId="60F1530F" w14:textId="77777777" w:rsidR="00653571" w:rsidRPr="008C5F1C" w:rsidRDefault="00653571" w:rsidP="00534127">
            <w:pPr>
              <w:rPr>
                <w:rFonts w:ascii="Times New Roman" w:hAnsi="Times New Roman" w:cs="Times New Roman"/>
                <w:noProof/>
                <w:sz w:val="16"/>
                <w:szCs w:val="16"/>
              </w:rPr>
            </w:pPr>
            <w:r w:rsidRPr="008C5F1C">
              <w:rPr>
                <w:rFonts w:ascii="Times New Roman" w:hAnsi="Times New Roman" w:cs="Times New Roman"/>
                <w:noProof/>
                <w:sz w:val="16"/>
                <w:szCs w:val="16"/>
              </w:rPr>
              <w:t xml:space="preserve">RCR 11 - Utilizatori de noi servicii </w:t>
            </w:r>
            <w:r w:rsidR="00106240" w:rsidRPr="008C5F1C">
              <w:rPr>
                <w:rFonts w:ascii="Times New Roman" w:hAnsi="Times New Roman" w:cs="Times New Roman"/>
                <w:noProof/>
                <w:sz w:val="16"/>
                <w:szCs w:val="16"/>
              </w:rPr>
              <w:t>ș</w:t>
            </w:r>
            <w:r w:rsidRPr="008C5F1C">
              <w:rPr>
                <w:rFonts w:ascii="Times New Roman" w:hAnsi="Times New Roman" w:cs="Times New Roman"/>
                <w:noProof/>
                <w:sz w:val="16"/>
                <w:szCs w:val="16"/>
              </w:rPr>
              <w:t>i aplica</w:t>
            </w:r>
            <w:r w:rsidR="00E22FF2" w:rsidRPr="008C5F1C">
              <w:rPr>
                <w:rFonts w:ascii="Times New Roman" w:hAnsi="Times New Roman" w:cs="Times New Roman"/>
                <w:noProof/>
                <w:sz w:val="16"/>
                <w:szCs w:val="16"/>
              </w:rPr>
              <w:t>ț</w:t>
            </w:r>
            <w:r w:rsidRPr="008C5F1C">
              <w:rPr>
                <w:rFonts w:ascii="Times New Roman" w:hAnsi="Times New Roman" w:cs="Times New Roman"/>
                <w:noProof/>
                <w:sz w:val="16"/>
                <w:szCs w:val="16"/>
              </w:rPr>
              <w:t>ii digitale publice</w:t>
            </w:r>
          </w:p>
        </w:tc>
        <w:tc>
          <w:tcPr>
            <w:tcW w:w="549" w:type="pct"/>
            <w:tcBorders>
              <w:top w:val="single" w:sz="4" w:space="0" w:color="auto"/>
              <w:left w:val="single" w:sz="4" w:space="0" w:color="auto"/>
              <w:bottom w:val="single" w:sz="4" w:space="0" w:color="auto"/>
              <w:right w:val="single" w:sz="4" w:space="0" w:color="auto"/>
            </w:tcBorders>
          </w:tcPr>
          <w:p w14:paraId="250C5785" w14:textId="77777777" w:rsidR="00653571" w:rsidRPr="008C5F1C" w:rsidRDefault="00DB5303" w:rsidP="00534127">
            <w:pPr>
              <w:rPr>
                <w:rFonts w:ascii="Times New Roman" w:hAnsi="Times New Roman" w:cs="Times New Roman"/>
                <w:iCs/>
                <w:sz w:val="16"/>
                <w:szCs w:val="16"/>
              </w:rPr>
            </w:pPr>
            <w:proofErr w:type="spellStart"/>
            <w:r w:rsidRPr="008C5F1C">
              <w:rPr>
                <w:rFonts w:ascii="Times New Roman" w:hAnsi="Times New Roman" w:cs="Times New Roman"/>
                <w:iCs/>
                <w:sz w:val="16"/>
                <w:szCs w:val="16"/>
              </w:rPr>
              <w:t>Annual</w:t>
            </w:r>
            <w:proofErr w:type="spellEnd"/>
            <w:r w:rsidRPr="008C5F1C">
              <w:rPr>
                <w:rFonts w:ascii="Times New Roman" w:hAnsi="Times New Roman" w:cs="Times New Roman"/>
                <w:iCs/>
                <w:sz w:val="16"/>
                <w:szCs w:val="16"/>
              </w:rPr>
              <w:t xml:space="preserve"> </w:t>
            </w:r>
            <w:proofErr w:type="spellStart"/>
            <w:r w:rsidRPr="008C5F1C">
              <w:rPr>
                <w:rFonts w:ascii="Times New Roman" w:hAnsi="Times New Roman" w:cs="Times New Roman"/>
                <w:iCs/>
                <w:sz w:val="16"/>
                <w:szCs w:val="16"/>
              </w:rPr>
              <w:t>users</w:t>
            </w:r>
            <w:proofErr w:type="spellEnd"/>
          </w:p>
        </w:tc>
        <w:tc>
          <w:tcPr>
            <w:tcW w:w="406" w:type="pct"/>
            <w:tcBorders>
              <w:top w:val="single" w:sz="4" w:space="0" w:color="auto"/>
              <w:left w:val="single" w:sz="4" w:space="0" w:color="auto"/>
              <w:bottom w:val="single" w:sz="4" w:space="0" w:color="auto"/>
              <w:right w:val="single" w:sz="4" w:space="0" w:color="auto"/>
            </w:tcBorders>
          </w:tcPr>
          <w:p w14:paraId="65864076" w14:textId="77777777" w:rsidR="00653571" w:rsidRPr="008C5F1C" w:rsidRDefault="00DB5303" w:rsidP="00534127">
            <w:pPr>
              <w:rPr>
                <w:rFonts w:ascii="Times New Roman" w:hAnsi="Times New Roman" w:cs="Times New Roman"/>
                <w:iCs/>
                <w:sz w:val="16"/>
                <w:szCs w:val="16"/>
              </w:rPr>
            </w:pPr>
            <w:r w:rsidRPr="008C5F1C">
              <w:rPr>
                <w:rFonts w:ascii="Times New Roman" w:hAnsi="Times New Roman" w:cs="Times New Roman"/>
                <w:iCs/>
                <w:sz w:val="16"/>
                <w:szCs w:val="16"/>
              </w:rPr>
              <w:t>0</w:t>
            </w:r>
          </w:p>
        </w:tc>
        <w:tc>
          <w:tcPr>
            <w:tcW w:w="426" w:type="pct"/>
            <w:tcBorders>
              <w:top w:val="single" w:sz="4" w:space="0" w:color="auto"/>
              <w:left w:val="single" w:sz="4" w:space="0" w:color="auto"/>
              <w:bottom w:val="single" w:sz="4" w:space="0" w:color="auto"/>
              <w:right w:val="single" w:sz="4" w:space="0" w:color="auto"/>
            </w:tcBorders>
          </w:tcPr>
          <w:p w14:paraId="6A63E314" w14:textId="77777777" w:rsidR="00653571" w:rsidRPr="00AB2458" w:rsidRDefault="00DB5303" w:rsidP="00534127">
            <w:pPr>
              <w:rPr>
                <w:rFonts w:ascii="Times New Roman" w:hAnsi="Times New Roman" w:cs="Times New Roman"/>
                <w:bCs/>
                <w:iCs/>
                <w:sz w:val="16"/>
                <w:szCs w:val="16"/>
              </w:rPr>
            </w:pPr>
            <w:r w:rsidRPr="00AB2458">
              <w:rPr>
                <w:rFonts w:ascii="Times New Roman" w:hAnsi="Times New Roman" w:cs="Times New Roman"/>
                <w:bCs/>
                <w:iCs/>
                <w:sz w:val="16"/>
                <w:szCs w:val="16"/>
              </w:rPr>
              <w:t>2021</w:t>
            </w:r>
          </w:p>
        </w:tc>
        <w:tc>
          <w:tcPr>
            <w:tcW w:w="322" w:type="pct"/>
            <w:tcBorders>
              <w:top w:val="single" w:sz="4" w:space="0" w:color="auto"/>
              <w:left w:val="single" w:sz="4" w:space="0" w:color="auto"/>
              <w:bottom w:val="single" w:sz="4" w:space="0" w:color="auto"/>
              <w:right w:val="single" w:sz="4" w:space="0" w:color="auto"/>
            </w:tcBorders>
          </w:tcPr>
          <w:p w14:paraId="150B6BE8" w14:textId="7B781887" w:rsidR="00653571" w:rsidRPr="00AB2458" w:rsidRDefault="009B746B" w:rsidP="00534127">
            <w:pPr>
              <w:rPr>
                <w:rFonts w:ascii="Times New Roman" w:hAnsi="Times New Roman" w:cs="Times New Roman"/>
                <w:bCs/>
                <w:iCs/>
                <w:sz w:val="16"/>
                <w:szCs w:val="16"/>
              </w:rPr>
            </w:pPr>
            <w:r w:rsidRPr="00AB2458">
              <w:rPr>
                <w:rFonts w:ascii="Times New Roman" w:hAnsi="Times New Roman" w:cs="Times New Roman"/>
                <w:bCs/>
                <w:iCs/>
                <w:sz w:val="16"/>
                <w:szCs w:val="16"/>
              </w:rPr>
              <w:t>134</w:t>
            </w:r>
            <w:r w:rsidR="00761529" w:rsidRPr="00AB2458">
              <w:rPr>
                <w:rFonts w:ascii="Times New Roman" w:hAnsi="Times New Roman" w:cs="Times New Roman"/>
                <w:bCs/>
                <w:iCs/>
                <w:sz w:val="16"/>
                <w:szCs w:val="16"/>
              </w:rPr>
              <w:t>.</w:t>
            </w:r>
            <w:r w:rsidRPr="00AB2458">
              <w:rPr>
                <w:rFonts w:ascii="Times New Roman" w:hAnsi="Times New Roman" w:cs="Times New Roman"/>
                <w:bCs/>
                <w:iCs/>
                <w:sz w:val="16"/>
                <w:szCs w:val="16"/>
              </w:rPr>
              <w:t>289</w:t>
            </w:r>
          </w:p>
        </w:tc>
        <w:tc>
          <w:tcPr>
            <w:tcW w:w="326" w:type="pct"/>
            <w:tcBorders>
              <w:top w:val="single" w:sz="4" w:space="0" w:color="auto"/>
              <w:left w:val="single" w:sz="4" w:space="0" w:color="auto"/>
              <w:bottom w:val="single" w:sz="4" w:space="0" w:color="auto"/>
              <w:right w:val="single" w:sz="4" w:space="0" w:color="auto"/>
            </w:tcBorders>
          </w:tcPr>
          <w:p w14:paraId="5EF23DE8" w14:textId="77777777" w:rsidR="00653571" w:rsidRPr="008C5F1C" w:rsidRDefault="00E03D76" w:rsidP="00534127">
            <w:pPr>
              <w:rPr>
                <w:rFonts w:ascii="Times New Roman" w:hAnsi="Times New Roman" w:cs="Times New Roman"/>
                <w:iCs/>
                <w:sz w:val="16"/>
                <w:szCs w:val="16"/>
              </w:rPr>
            </w:pPr>
            <w:r w:rsidRPr="008C5F1C">
              <w:rPr>
                <w:rFonts w:ascii="Times New Roman" w:hAnsi="Times New Roman" w:cs="Times New Roman"/>
                <w:iCs/>
                <w:sz w:val="16"/>
                <w:szCs w:val="16"/>
              </w:rPr>
              <w:t>RAI</w:t>
            </w:r>
          </w:p>
          <w:p w14:paraId="72375D7F" w14:textId="69128763" w:rsidR="00E03D76" w:rsidRPr="008C5F1C" w:rsidRDefault="00E03D76" w:rsidP="00534127">
            <w:pPr>
              <w:rPr>
                <w:rFonts w:ascii="Times New Roman" w:hAnsi="Times New Roman" w:cs="Times New Roman"/>
                <w:iCs/>
                <w:sz w:val="16"/>
                <w:szCs w:val="16"/>
              </w:rPr>
            </w:pPr>
            <w:proofErr w:type="spellStart"/>
            <w:r w:rsidRPr="008C5F1C">
              <w:rPr>
                <w:rFonts w:ascii="Times New Roman" w:hAnsi="Times New Roman" w:cs="Times New Roman"/>
                <w:iCs/>
                <w:sz w:val="16"/>
                <w:szCs w:val="16"/>
              </w:rPr>
              <w:t>MySMIS</w:t>
            </w:r>
            <w:proofErr w:type="spellEnd"/>
          </w:p>
        </w:tc>
        <w:tc>
          <w:tcPr>
            <w:tcW w:w="454" w:type="pct"/>
            <w:tcBorders>
              <w:top w:val="single" w:sz="4" w:space="0" w:color="auto"/>
              <w:left w:val="single" w:sz="4" w:space="0" w:color="auto"/>
              <w:bottom w:val="single" w:sz="4" w:space="0" w:color="auto"/>
              <w:right w:val="single" w:sz="4" w:space="0" w:color="auto"/>
            </w:tcBorders>
          </w:tcPr>
          <w:p w14:paraId="510AD682" w14:textId="08D11948" w:rsidR="00653571" w:rsidRPr="008C5F1C" w:rsidRDefault="00E03D76" w:rsidP="00534127">
            <w:pPr>
              <w:rPr>
                <w:rFonts w:ascii="Times New Roman" w:hAnsi="Times New Roman" w:cs="Times New Roman"/>
                <w:i/>
                <w:sz w:val="16"/>
                <w:szCs w:val="16"/>
              </w:rPr>
            </w:pPr>
            <w:r w:rsidRPr="008C5F1C">
              <w:rPr>
                <w:rFonts w:ascii="Times New Roman" w:hAnsi="Times New Roman" w:cs="Times New Roman"/>
                <w:i/>
                <w:sz w:val="16"/>
                <w:szCs w:val="16"/>
              </w:rPr>
              <w:t xml:space="preserve">10% din </w:t>
            </w:r>
            <w:proofErr w:type="spellStart"/>
            <w:r w:rsidRPr="008C5F1C">
              <w:rPr>
                <w:rFonts w:ascii="Times New Roman" w:hAnsi="Times New Roman" w:cs="Times New Roman"/>
                <w:i/>
                <w:sz w:val="16"/>
                <w:szCs w:val="16"/>
              </w:rPr>
              <w:t>populatia</w:t>
            </w:r>
            <w:proofErr w:type="spellEnd"/>
            <w:r w:rsidR="003D64F1" w:rsidRPr="008C5F1C">
              <w:rPr>
                <w:rFonts w:ascii="Times New Roman" w:hAnsi="Times New Roman" w:cs="Times New Roman"/>
                <w:i/>
                <w:sz w:val="16"/>
                <w:szCs w:val="16"/>
              </w:rPr>
              <w:t xml:space="preserve"> urbana a</w:t>
            </w:r>
            <w:r w:rsidRPr="008C5F1C">
              <w:rPr>
                <w:rFonts w:ascii="Times New Roman" w:hAnsi="Times New Roman" w:cs="Times New Roman"/>
                <w:i/>
                <w:sz w:val="16"/>
                <w:szCs w:val="16"/>
              </w:rPr>
              <w:t xml:space="preserve"> regiunii</w:t>
            </w:r>
          </w:p>
        </w:tc>
      </w:tr>
    </w:tbl>
    <w:p w14:paraId="0FC3AFA4" w14:textId="77777777" w:rsidR="00653571" w:rsidRPr="008C5F1C" w:rsidRDefault="00653571" w:rsidP="00653571">
      <w:pPr>
        <w:rPr>
          <w:rFonts w:ascii="Times New Roman" w:hAnsi="Times New Roman" w:cs="Times New Roman"/>
          <w:b/>
          <w:iCs/>
        </w:rPr>
      </w:pPr>
      <w:r w:rsidRPr="008C5F1C">
        <w:rPr>
          <w:rFonts w:ascii="Times New Roman" w:hAnsi="Times New Roman" w:cs="Times New Roman"/>
          <w:i/>
        </w:rPr>
        <w:t xml:space="preserve">[Point 2.1.1.3 in </w:t>
      </w:r>
      <w:proofErr w:type="spellStart"/>
      <w:r w:rsidRPr="008C5F1C">
        <w:rPr>
          <w:rFonts w:ascii="Times New Roman" w:hAnsi="Times New Roman" w:cs="Times New Roman"/>
          <w:i/>
        </w:rPr>
        <w:t>the</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Commission</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proposal</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has</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been</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moved</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up</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following</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changes</w:t>
      </w:r>
      <w:proofErr w:type="spellEnd"/>
      <w:r w:rsidRPr="008C5F1C">
        <w:rPr>
          <w:rFonts w:ascii="Times New Roman" w:hAnsi="Times New Roman" w:cs="Times New Roman"/>
          <w:i/>
        </w:rPr>
        <w:t xml:space="preserve"> in </w:t>
      </w:r>
      <w:proofErr w:type="spellStart"/>
      <w:r w:rsidRPr="008C5F1C">
        <w:rPr>
          <w:rFonts w:ascii="Times New Roman" w:hAnsi="Times New Roman" w:cs="Times New Roman"/>
          <w:i/>
        </w:rPr>
        <w:t>Article</w:t>
      </w:r>
      <w:proofErr w:type="spellEnd"/>
      <w:r w:rsidRPr="008C5F1C">
        <w:rPr>
          <w:rFonts w:ascii="Times New Roman" w:hAnsi="Times New Roman" w:cs="Times New Roman"/>
          <w:i/>
        </w:rPr>
        <w:t xml:space="preserve"> 17(3)(c) CPR </w:t>
      </w:r>
      <w:proofErr w:type="spellStart"/>
      <w:r w:rsidRPr="008C5F1C">
        <w:rPr>
          <w:rFonts w:ascii="Times New Roman" w:hAnsi="Times New Roman" w:cs="Times New Roman"/>
          <w:i/>
        </w:rPr>
        <w:t>and</w:t>
      </w:r>
      <w:proofErr w:type="spellEnd"/>
      <w:r w:rsidRPr="008C5F1C">
        <w:rPr>
          <w:rFonts w:ascii="Times New Roman" w:hAnsi="Times New Roman" w:cs="Times New Roman"/>
          <w:i/>
        </w:rPr>
        <w:t xml:space="preserve"> it </w:t>
      </w:r>
      <w:proofErr w:type="spellStart"/>
      <w:r w:rsidRPr="008C5F1C">
        <w:rPr>
          <w:rFonts w:ascii="Times New Roman" w:hAnsi="Times New Roman" w:cs="Times New Roman"/>
          <w:i/>
        </w:rPr>
        <w:t>is</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now</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point</w:t>
      </w:r>
      <w:proofErr w:type="spellEnd"/>
      <w:r w:rsidRPr="008C5F1C">
        <w:rPr>
          <w:rFonts w:ascii="Times New Roman" w:hAnsi="Times New Roman" w:cs="Times New Roman"/>
          <w:i/>
        </w:rPr>
        <w:t xml:space="preserve"> 2.1.1.bis]</w:t>
      </w:r>
    </w:p>
    <w:p w14:paraId="6135E84A" w14:textId="77777777" w:rsidR="00653571" w:rsidRPr="008C5F1C" w:rsidRDefault="00653571" w:rsidP="00653571">
      <w:pPr>
        <w:rPr>
          <w:rFonts w:ascii="Times New Roman" w:hAnsi="Times New Roman" w:cs="Times New Roman"/>
          <w:b/>
        </w:rPr>
      </w:pPr>
      <w:r w:rsidRPr="008C5F1C">
        <w:rPr>
          <w:rFonts w:ascii="Times New Roman" w:hAnsi="Times New Roman" w:cs="Times New Roman"/>
          <w:b/>
        </w:rPr>
        <w:t xml:space="preserve">2.B.1.2. </w:t>
      </w:r>
      <w:proofErr w:type="spellStart"/>
      <w:r w:rsidRPr="008C5F1C">
        <w:rPr>
          <w:rFonts w:ascii="Times New Roman" w:hAnsi="Times New Roman" w:cs="Times New Roman"/>
          <w:b/>
        </w:rPr>
        <w:t>Indicators</w:t>
      </w:r>
      <w:proofErr w:type="spellEnd"/>
      <w:r w:rsidRPr="008C5F1C">
        <w:rPr>
          <w:rFonts w:ascii="Times New Roman" w:hAnsi="Times New Roman" w:cs="Times New Roman"/>
          <w:b/>
        </w:rPr>
        <w:t xml:space="preserve"> </w:t>
      </w:r>
    </w:p>
    <w:p w14:paraId="6C1D442F" w14:textId="77777777" w:rsidR="00653571" w:rsidRPr="008C5F1C" w:rsidRDefault="00653571" w:rsidP="00653571">
      <w:pPr>
        <w:rPr>
          <w:rFonts w:ascii="Times New Roman" w:hAnsi="Times New Roman" w:cs="Times New Roman"/>
          <w:b/>
          <w:bCs/>
        </w:rPr>
      </w:pPr>
      <w:r w:rsidRPr="008C5F1C">
        <w:rPr>
          <w:rFonts w:ascii="Times New Roman" w:hAnsi="Times New Roman" w:cs="Times New Roman"/>
          <w:b/>
        </w:rPr>
        <w:t xml:space="preserve">Output </w:t>
      </w:r>
      <w:proofErr w:type="spellStart"/>
      <w:r w:rsidRPr="008C5F1C">
        <w:rPr>
          <w:rFonts w:ascii="Times New Roman" w:hAnsi="Times New Roman" w:cs="Times New Roman"/>
          <w:b/>
        </w:rPr>
        <w:t>indicators</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with</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the</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corresponding</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milestones</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and</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targets</w:t>
      </w:r>
      <w:proofErr w:type="spellEnd"/>
      <w:r w:rsidRPr="008C5F1C">
        <w:rPr>
          <w:rFonts w:ascii="Times New Roman" w:hAnsi="Times New Roman" w:cs="Times New Roman"/>
          <w:b/>
        </w:rPr>
        <w:t xml:space="preserve"> – </w:t>
      </w:r>
      <w:proofErr w:type="spellStart"/>
      <w:r w:rsidRPr="008C5F1C">
        <w:rPr>
          <w:rFonts w:ascii="Times New Roman" w:hAnsi="Times New Roman" w:cs="Times New Roman"/>
          <w:b/>
        </w:rPr>
        <w:t>Article</w:t>
      </w:r>
      <w:proofErr w:type="spellEnd"/>
      <w:r w:rsidRPr="008C5F1C">
        <w:rPr>
          <w:rFonts w:ascii="Times New Roman" w:hAnsi="Times New Roman" w:cs="Times New Roman"/>
          <w:b/>
        </w:rPr>
        <w:t xml:space="preserve"> 17(3)(e)bis(ii)</w:t>
      </w:r>
    </w:p>
    <w:tbl>
      <w:tblPr>
        <w:tblW w:w="51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4"/>
        <w:gridCol w:w="1357"/>
        <w:gridCol w:w="587"/>
        <w:gridCol w:w="856"/>
        <w:gridCol w:w="403"/>
        <w:gridCol w:w="2289"/>
        <w:gridCol w:w="1202"/>
        <w:gridCol w:w="1127"/>
        <w:gridCol w:w="1367"/>
      </w:tblGrid>
      <w:tr w:rsidR="00653571" w:rsidRPr="008C5F1C" w14:paraId="22C2F47A" w14:textId="77777777" w:rsidTr="00DA6B93">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39CDAF18" w14:textId="77777777" w:rsidR="00653571" w:rsidRPr="008C5F1C" w:rsidRDefault="00653571" w:rsidP="00534127">
            <w:pPr>
              <w:rPr>
                <w:rFonts w:ascii="Times New Roman" w:hAnsi="Times New Roman" w:cs="Times New Roman"/>
                <w:b/>
              </w:rPr>
            </w:pPr>
            <w:r w:rsidRPr="008C5F1C">
              <w:rPr>
                <w:rFonts w:ascii="Times New Roman" w:hAnsi="Times New Roman" w:cs="Times New Roman"/>
                <w:b/>
                <w:iCs/>
              </w:rPr>
              <w:t xml:space="preserve">Table 2: Output </w:t>
            </w:r>
            <w:proofErr w:type="spellStart"/>
            <w:r w:rsidRPr="008C5F1C">
              <w:rPr>
                <w:rFonts w:ascii="Times New Roman" w:hAnsi="Times New Roman" w:cs="Times New Roman"/>
                <w:b/>
                <w:iCs/>
              </w:rPr>
              <w:t>indicators</w:t>
            </w:r>
            <w:proofErr w:type="spellEnd"/>
          </w:p>
        </w:tc>
      </w:tr>
      <w:tr w:rsidR="00653571" w:rsidRPr="008C5F1C" w14:paraId="01AF3BBF" w14:textId="77777777" w:rsidTr="00DA6B93">
        <w:trPr>
          <w:trHeight w:val="1078"/>
        </w:trPr>
        <w:tc>
          <w:tcPr>
            <w:tcW w:w="384" w:type="pct"/>
            <w:tcBorders>
              <w:top w:val="single" w:sz="4" w:space="0" w:color="auto"/>
              <w:left w:val="single" w:sz="4" w:space="0" w:color="auto"/>
              <w:bottom w:val="single" w:sz="4" w:space="0" w:color="auto"/>
              <w:right w:val="single" w:sz="4" w:space="0" w:color="auto"/>
            </w:tcBorders>
            <w:hideMark/>
          </w:tcPr>
          <w:p w14:paraId="2C29AE1C"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Priority</w:t>
            </w:r>
            <w:proofErr w:type="spellEnd"/>
            <w:r w:rsidRPr="008C5F1C">
              <w:rPr>
                <w:rFonts w:ascii="Times New Roman" w:hAnsi="Times New Roman" w:cs="Times New Roman"/>
                <w:b/>
                <w:sz w:val="16"/>
                <w:szCs w:val="16"/>
              </w:rPr>
              <w:t xml:space="preserve"> </w:t>
            </w:r>
          </w:p>
        </w:tc>
        <w:tc>
          <w:tcPr>
            <w:tcW w:w="682" w:type="pct"/>
            <w:tcBorders>
              <w:top w:val="single" w:sz="4" w:space="0" w:color="auto"/>
              <w:left w:val="single" w:sz="4" w:space="0" w:color="auto"/>
              <w:bottom w:val="single" w:sz="4" w:space="0" w:color="auto"/>
              <w:right w:val="single" w:sz="4" w:space="0" w:color="auto"/>
            </w:tcBorders>
            <w:hideMark/>
          </w:tcPr>
          <w:p w14:paraId="56092E14"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 xml:space="preserve">Specific </w:t>
            </w:r>
            <w:proofErr w:type="spellStart"/>
            <w:r w:rsidRPr="008C5F1C">
              <w:rPr>
                <w:rFonts w:ascii="Times New Roman" w:hAnsi="Times New Roman" w:cs="Times New Roman"/>
                <w:b/>
                <w:sz w:val="16"/>
                <w:szCs w:val="16"/>
              </w:rPr>
              <w:t>objective</w:t>
            </w:r>
            <w:proofErr w:type="spellEnd"/>
            <w:r w:rsidRPr="008C5F1C">
              <w:rPr>
                <w:rFonts w:ascii="Times New Roman" w:hAnsi="Times New Roman" w:cs="Times New Roman"/>
                <w:b/>
                <w:sz w:val="16"/>
                <w:szCs w:val="16"/>
              </w:rPr>
              <w:t xml:space="preserve"> (Investment for </w:t>
            </w:r>
            <w:proofErr w:type="spellStart"/>
            <w:r w:rsidRPr="008C5F1C">
              <w:rPr>
                <w:rFonts w:ascii="Times New Roman" w:hAnsi="Times New Roman" w:cs="Times New Roman"/>
                <w:b/>
                <w:sz w:val="16"/>
                <w:szCs w:val="16"/>
              </w:rPr>
              <w:t>Jobs</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and</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Growth</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goal</w:t>
            </w:r>
            <w:proofErr w:type="spellEnd"/>
            <w:r w:rsidRPr="008C5F1C">
              <w:rPr>
                <w:rFonts w:ascii="Times New Roman" w:hAnsi="Times New Roman" w:cs="Times New Roman"/>
                <w:b/>
                <w:sz w:val="16"/>
                <w:szCs w:val="16"/>
              </w:rPr>
              <w:t xml:space="preserve"> EMFF)</w:t>
            </w:r>
          </w:p>
        </w:tc>
        <w:tc>
          <w:tcPr>
            <w:tcW w:w="295" w:type="pct"/>
            <w:tcBorders>
              <w:top w:val="single" w:sz="4" w:space="0" w:color="auto"/>
              <w:left w:val="single" w:sz="4" w:space="0" w:color="auto"/>
              <w:bottom w:val="single" w:sz="4" w:space="0" w:color="auto"/>
              <w:right w:val="single" w:sz="4" w:space="0" w:color="auto"/>
            </w:tcBorders>
            <w:hideMark/>
          </w:tcPr>
          <w:p w14:paraId="3939A12A"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Fund</w:t>
            </w:r>
          </w:p>
        </w:tc>
        <w:tc>
          <w:tcPr>
            <w:tcW w:w="430" w:type="pct"/>
            <w:tcBorders>
              <w:top w:val="single" w:sz="4" w:space="0" w:color="auto"/>
              <w:left w:val="single" w:sz="4" w:space="0" w:color="auto"/>
              <w:bottom w:val="single" w:sz="4" w:space="0" w:color="auto"/>
              <w:right w:val="single" w:sz="4" w:space="0" w:color="auto"/>
            </w:tcBorders>
            <w:hideMark/>
          </w:tcPr>
          <w:p w14:paraId="72E8914F"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Category</w:t>
            </w:r>
            <w:proofErr w:type="spellEnd"/>
            <w:r w:rsidRPr="008C5F1C">
              <w:rPr>
                <w:rFonts w:ascii="Times New Roman" w:hAnsi="Times New Roman" w:cs="Times New Roman"/>
                <w:b/>
                <w:sz w:val="16"/>
                <w:szCs w:val="16"/>
              </w:rPr>
              <w:t xml:space="preserve"> of </w:t>
            </w:r>
            <w:proofErr w:type="spellStart"/>
            <w:r w:rsidRPr="008C5F1C">
              <w:rPr>
                <w:rFonts w:ascii="Times New Roman" w:hAnsi="Times New Roman" w:cs="Times New Roman"/>
                <w:b/>
                <w:sz w:val="16"/>
                <w:szCs w:val="16"/>
              </w:rPr>
              <w:t>region</w:t>
            </w:r>
            <w:proofErr w:type="spellEnd"/>
          </w:p>
        </w:tc>
        <w:tc>
          <w:tcPr>
            <w:tcW w:w="202" w:type="pct"/>
            <w:tcBorders>
              <w:top w:val="single" w:sz="4" w:space="0" w:color="auto"/>
              <w:left w:val="single" w:sz="4" w:space="0" w:color="auto"/>
              <w:bottom w:val="single" w:sz="4" w:space="0" w:color="auto"/>
              <w:right w:val="single" w:sz="4" w:space="0" w:color="auto"/>
            </w:tcBorders>
            <w:hideMark/>
          </w:tcPr>
          <w:p w14:paraId="5F1B87B9"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ID [5]</w:t>
            </w:r>
          </w:p>
        </w:tc>
        <w:tc>
          <w:tcPr>
            <w:tcW w:w="1150" w:type="pct"/>
            <w:tcBorders>
              <w:top w:val="single" w:sz="4" w:space="0" w:color="auto"/>
              <w:left w:val="single" w:sz="4" w:space="0" w:color="auto"/>
              <w:bottom w:val="single" w:sz="4" w:space="0" w:color="auto"/>
              <w:right w:val="single" w:sz="4" w:space="0" w:color="auto"/>
            </w:tcBorders>
            <w:hideMark/>
          </w:tcPr>
          <w:p w14:paraId="3E32A025"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 xml:space="preserve">Indicator [255] </w:t>
            </w:r>
          </w:p>
        </w:tc>
        <w:tc>
          <w:tcPr>
            <w:tcW w:w="604" w:type="pct"/>
            <w:tcBorders>
              <w:top w:val="single" w:sz="4" w:space="0" w:color="auto"/>
              <w:left w:val="single" w:sz="4" w:space="0" w:color="auto"/>
              <w:bottom w:val="single" w:sz="4" w:space="0" w:color="auto"/>
              <w:right w:val="single" w:sz="4" w:space="0" w:color="auto"/>
            </w:tcBorders>
            <w:hideMark/>
          </w:tcPr>
          <w:p w14:paraId="37368069"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Measurement</w:t>
            </w:r>
            <w:proofErr w:type="spellEnd"/>
            <w:r w:rsidRPr="008C5F1C">
              <w:rPr>
                <w:rFonts w:ascii="Times New Roman" w:hAnsi="Times New Roman" w:cs="Times New Roman"/>
                <w:b/>
                <w:sz w:val="16"/>
                <w:szCs w:val="16"/>
              </w:rPr>
              <w:t xml:space="preserve"> unit</w:t>
            </w:r>
          </w:p>
        </w:tc>
        <w:tc>
          <w:tcPr>
            <w:tcW w:w="566" w:type="pct"/>
            <w:tcBorders>
              <w:top w:val="single" w:sz="4" w:space="0" w:color="auto"/>
              <w:left w:val="single" w:sz="4" w:space="0" w:color="auto"/>
              <w:bottom w:val="single" w:sz="4" w:space="0" w:color="auto"/>
              <w:right w:val="single" w:sz="4" w:space="0" w:color="auto"/>
            </w:tcBorders>
          </w:tcPr>
          <w:p w14:paraId="40E9153C"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Milestone</w:t>
            </w:r>
            <w:proofErr w:type="spellEnd"/>
            <w:r w:rsidRPr="008C5F1C">
              <w:rPr>
                <w:rFonts w:ascii="Times New Roman" w:hAnsi="Times New Roman" w:cs="Times New Roman"/>
                <w:b/>
                <w:sz w:val="16"/>
                <w:szCs w:val="16"/>
              </w:rPr>
              <w:t xml:space="preserve"> (2024)</w:t>
            </w:r>
          </w:p>
          <w:p w14:paraId="48E07783" w14:textId="77777777" w:rsidR="00653571" w:rsidRPr="008C5F1C" w:rsidRDefault="00653571" w:rsidP="00534127">
            <w:pPr>
              <w:rPr>
                <w:rFonts w:ascii="Times New Roman" w:hAnsi="Times New Roman" w:cs="Times New Roman"/>
                <w:b/>
                <w:sz w:val="16"/>
                <w:szCs w:val="16"/>
              </w:rPr>
            </w:pPr>
          </w:p>
        </w:tc>
        <w:tc>
          <w:tcPr>
            <w:tcW w:w="687" w:type="pct"/>
            <w:tcBorders>
              <w:top w:val="single" w:sz="4" w:space="0" w:color="auto"/>
              <w:left w:val="single" w:sz="4" w:space="0" w:color="auto"/>
              <w:bottom w:val="single" w:sz="4" w:space="0" w:color="auto"/>
              <w:right w:val="single" w:sz="4" w:space="0" w:color="auto"/>
            </w:tcBorders>
          </w:tcPr>
          <w:p w14:paraId="6655B8D3"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Target (2029)</w:t>
            </w:r>
          </w:p>
          <w:p w14:paraId="01A06780" w14:textId="77777777" w:rsidR="00653571" w:rsidRPr="008C5F1C" w:rsidRDefault="00653571" w:rsidP="00534127">
            <w:pPr>
              <w:rPr>
                <w:rFonts w:ascii="Times New Roman" w:hAnsi="Times New Roman" w:cs="Times New Roman"/>
                <w:b/>
                <w:sz w:val="16"/>
                <w:szCs w:val="16"/>
              </w:rPr>
            </w:pPr>
          </w:p>
        </w:tc>
      </w:tr>
      <w:tr w:rsidR="00653571" w:rsidRPr="008C5F1C" w14:paraId="23587500" w14:textId="77777777" w:rsidTr="00DA6B93">
        <w:trPr>
          <w:trHeight w:val="340"/>
        </w:trPr>
        <w:tc>
          <w:tcPr>
            <w:tcW w:w="384" w:type="pct"/>
            <w:tcBorders>
              <w:top w:val="single" w:sz="4" w:space="0" w:color="auto"/>
              <w:left w:val="single" w:sz="4" w:space="0" w:color="auto"/>
              <w:bottom w:val="single" w:sz="4" w:space="0" w:color="auto"/>
              <w:right w:val="single" w:sz="4" w:space="0" w:color="auto"/>
            </w:tcBorders>
          </w:tcPr>
          <w:p w14:paraId="3A93C23D" w14:textId="77777777" w:rsidR="00653571" w:rsidRPr="008C5F1C" w:rsidRDefault="00653571" w:rsidP="00534127">
            <w:pPr>
              <w:rPr>
                <w:rFonts w:ascii="Times New Roman" w:hAnsi="Times New Roman" w:cs="Times New Roman"/>
                <w:b/>
                <w:i/>
                <w:sz w:val="16"/>
                <w:szCs w:val="16"/>
              </w:rPr>
            </w:pPr>
          </w:p>
        </w:tc>
        <w:tc>
          <w:tcPr>
            <w:tcW w:w="682" w:type="pct"/>
            <w:tcBorders>
              <w:top w:val="single" w:sz="4" w:space="0" w:color="auto"/>
              <w:left w:val="single" w:sz="4" w:space="0" w:color="auto"/>
              <w:bottom w:val="single" w:sz="4" w:space="0" w:color="auto"/>
              <w:right w:val="single" w:sz="4" w:space="0" w:color="auto"/>
            </w:tcBorders>
          </w:tcPr>
          <w:p w14:paraId="518F77CF" w14:textId="77777777" w:rsidR="00653571" w:rsidRPr="008C5F1C" w:rsidRDefault="00653571" w:rsidP="00534127">
            <w:pPr>
              <w:rPr>
                <w:rFonts w:ascii="Times New Roman" w:hAnsi="Times New Roman" w:cs="Times New Roman"/>
                <w:b/>
                <w:i/>
                <w:sz w:val="16"/>
                <w:szCs w:val="16"/>
              </w:rPr>
            </w:pPr>
          </w:p>
        </w:tc>
        <w:tc>
          <w:tcPr>
            <w:tcW w:w="295" w:type="pct"/>
            <w:tcBorders>
              <w:top w:val="single" w:sz="4" w:space="0" w:color="auto"/>
              <w:left w:val="single" w:sz="4" w:space="0" w:color="auto"/>
              <w:bottom w:val="single" w:sz="4" w:space="0" w:color="auto"/>
              <w:right w:val="single" w:sz="4" w:space="0" w:color="auto"/>
            </w:tcBorders>
          </w:tcPr>
          <w:p w14:paraId="07F42309" w14:textId="77777777" w:rsidR="00653571" w:rsidRPr="008C5F1C" w:rsidRDefault="00653571" w:rsidP="00534127">
            <w:pPr>
              <w:rPr>
                <w:rFonts w:ascii="Times New Roman" w:hAnsi="Times New Roman" w:cs="Times New Roman"/>
                <w:b/>
                <w:i/>
                <w:sz w:val="16"/>
                <w:szCs w:val="16"/>
              </w:rPr>
            </w:pPr>
          </w:p>
        </w:tc>
        <w:tc>
          <w:tcPr>
            <w:tcW w:w="430" w:type="pct"/>
            <w:tcBorders>
              <w:top w:val="single" w:sz="4" w:space="0" w:color="auto"/>
              <w:left w:val="single" w:sz="4" w:space="0" w:color="auto"/>
              <w:bottom w:val="single" w:sz="4" w:space="0" w:color="auto"/>
              <w:right w:val="single" w:sz="4" w:space="0" w:color="auto"/>
            </w:tcBorders>
          </w:tcPr>
          <w:p w14:paraId="3BF0B3C9" w14:textId="77777777" w:rsidR="00653571" w:rsidRPr="008C5F1C" w:rsidRDefault="00653571" w:rsidP="00534127">
            <w:pPr>
              <w:rPr>
                <w:rFonts w:ascii="Times New Roman" w:hAnsi="Times New Roman" w:cs="Times New Roman"/>
                <w:b/>
                <w:i/>
                <w:sz w:val="16"/>
                <w:szCs w:val="16"/>
              </w:rPr>
            </w:pPr>
          </w:p>
        </w:tc>
        <w:tc>
          <w:tcPr>
            <w:tcW w:w="202" w:type="pct"/>
            <w:tcBorders>
              <w:top w:val="single" w:sz="4" w:space="0" w:color="auto"/>
              <w:left w:val="single" w:sz="4" w:space="0" w:color="auto"/>
              <w:bottom w:val="single" w:sz="4" w:space="0" w:color="auto"/>
              <w:right w:val="single" w:sz="4" w:space="0" w:color="auto"/>
            </w:tcBorders>
          </w:tcPr>
          <w:p w14:paraId="1C2E039C" w14:textId="77777777" w:rsidR="00653571" w:rsidRPr="008C5F1C" w:rsidRDefault="00653571" w:rsidP="00534127">
            <w:pPr>
              <w:rPr>
                <w:rFonts w:ascii="Times New Roman" w:hAnsi="Times New Roman" w:cs="Times New Roman"/>
                <w:b/>
                <w:i/>
                <w:sz w:val="16"/>
                <w:szCs w:val="16"/>
              </w:rPr>
            </w:pPr>
          </w:p>
        </w:tc>
        <w:tc>
          <w:tcPr>
            <w:tcW w:w="1150" w:type="pct"/>
            <w:tcBorders>
              <w:top w:val="single" w:sz="4" w:space="0" w:color="auto"/>
              <w:left w:val="single" w:sz="4" w:space="0" w:color="auto"/>
              <w:bottom w:val="single" w:sz="4" w:space="0" w:color="auto"/>
              <w:right w:val="single" w:sz="4" w:space="0" w:color="auto"/>
            </w:tcBorders>
          </w:tcPr>
          <w:p w14:paraId="2C4D2621" w14:textId="77777777" w:rsidR="00653571" w:rsidRPr="008C5F1C" w:rsidRDefault="00653571" w:rsidP="00534127">
            <w:pPr>
              <w:rPr>
                <w:rFonts w:ascii="Times New Roman" w:hAnsi="Times New Roman" w:cs="Times New Roman"/>
                <w:b/>
                <w:i/>
                <w:sz w:val="16"/>
                <w:szCs w:val="16"/>
              </w:rPr>
            </w:pPr>
          </w:p>
        </w:tc>
        <w:tc>
          <w:tcPr>
            <w:tcW w:w="604" w:type="pct"/>
            <w:tcBorders>
              <w:top w:val="single" w:sz="4" w:space="0" w:color="auto"/>
              <w:left w:val="single" w:sz="4" w:space="0" w:color="auto"/>
              <w:bottom w:val="single" w:sz="4" w:space="0" w:color="auto"/>
              <w:right w:val="single" w:sz="4" w:space="0" w:color="auto"/>
            </w:tcBorders>
          </w:tcPr>
          <w:p w14:paraId="26BC8B25" w14:textId="77777777" w:rsidR="00653571" w:rsidRPr="008C5F1C" w:rsidRDefault="00653571" w:rsidP="00534127">
            <w:pPr>
              <w:rPr>
                <w:rFonts w:ascii="Times New Roman" w:hAnsi="Times New Roman" w:cs="Times New Roman"/>
                <w:b/>
                <w:i/>
                <w:sz w:val="16"/>
                <w:szCs w:val="16"/>
              </w:rPr>
            </w:pPr>
          </w:p>
        </w:tc>
        <w:tc>
          <w:tcPr>
            <w:tcW w:w="566" w:type="pct"/>
            <w:tcBorders>
              <w:top w:val="single" w:sz="4" w:space="0" w:color="auto"/>
              <w:left w:val="single" w:sz="4" w:space="0" w:color="auto"/>
              <w:bottom w:val="single" w:sz="4" w:space="0" w:color="auto"/>
              <w:right w:val="single" w:sz="4" w:space="0" w:color="auto"/>
            </w:tcBorders>
          </w:tcPr>
          <w:p w14:paraId="2A32C509" w14:textId="77777777" w:rsidR="00653571" w:rsidRPr="008C5F1C" w:rsidRDefault="00653571" w:rsidP="00534127">
            <w:pPr>
              <w:rPr>
                <w:rFonts w:ascii="Times New Roman" w:hAnsi="Times New Roman" w:cs="Times New Roman"/>
                <w:b/>
                <w:i/>
                <w:sz w:val="16"/>
                <w:szCs w:val="16"/>
              </w:rPr>
            </w:pPr>
          </w:p>
        </w:tc>
        <w:tc>
          <w:tcPr>
            <w:tcW w:w="687" w:type="pct"/>
            <w:tcBorders>
              <w:top w:val="single" w:sz="4" w:space="0" w:color="auto"/>
              <w:left w:val="single" w:sz="4" w:space="0" w:color="auto"/>
              <w:bottom w:val="single" w:sz="4" w:space="0" w:color="auto"/>
              <w:right w:val="single" w:sz="4" w:space="0" w:color="auto"/>
            </w:tcBorders>
          </w:tcPr>
          <w:p w14:paraId="78BDC5C1" w14:textId="77777777" w:rsidR="00653571" w:rsidRPr="008C5F1C" w:rsidRDefault="00653571" w:rsidP="00534127">
            <w:pPr>
              <w:rPr>
                <w:rFonts w:ascii="Times New Roman" w:hAnsi="Times New Roman" w:cs="Times New Roman"/>
                <w:b/>
                <w:i/>
                <w:sz w:val="16"/>
                <w:szCs w:val="16"/>
              </w:rPr>
            </w:pPr>
          </w:p>
        </w:tc>
      </w:tr>
    </w:tbl>
    <w:p w14:paraId="138D4C75" w14:textId="77777777" w:rsidR="00653571" w:rsidRPr="008C5F1C" w:rsidRDefault="00653571" w:rsidP="00653571">
      <w:pPr>
        <w:rPr>
          <w:rFonts w:ascii="Times New Roman" w:hAnsi="Times New Roman" w:cs="Times New Roman"/>
          <w:b/>
          <w:sz w:val="16"/>
        </w:rPr>
      </w:pPr>
    </w:p>
    <w:p w14:paraId="2EBAD49C" w14:textId="77777777" w:rsidR="00653571" w:rsidRPr="008C5F1C" w:rsidRDefault="00653571" w:rsidP="00653571">
      <w:pPr>
        <w:rPr>
          <w:rFonts w:ascii="Times New Roman" w:hAnsi="Times New Roman" w:cs="Times New Roman"/>
          <w:bCs/>
          <w:i/>
        </w:rPr>
      </w:pPr>
      <w:r w:rsidRPr="008C5F1C">
        <w:rPr>
          <w:rFonts w:ascii="Times New Roman" w:hAnsi="Times New Roman" w:cs="Times New Roman"/>
          <w:b/>
          <w:iCs/>
        </w:rPr>
        <w:t xml:space="preserve">2.B.1.3. Indicative </w:t>
      </w:r>
      <w:proofErr w:type="spellStart"/>
      <w:r w:rsidRPr="008C5F1C">
        <w:rPr>
          <w:rFonts w:ascii="Times New Roman" w:hAnsi="Times New Roman" w:cs="Times New Roman"/>
          <w:b/>
          <w:iCs/>
        </w:rPr>
        <w:t>breakdown</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the</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programmed</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resources</w:t>
      </w:r>
      <w:proofErr w:type="spellEnd"/>
      <w:r w:rsidRPr="008C5F1C">
        <w:rPr>
          <w:rFonts w:ascii="Times New Roman" w:hAnsi="Times New Roman" w:cs="Times New Roman"/>
          <w:b/>
          <w:iCs/>
        </w:rPr>
        <w:t xml:space="preserve"> (EU) </w:t>
      </w:r>
      <w:proofErr w:type="spellStart"/>
      <w:r w:rsidRPr="008C5F1C">
        <w:rPr>
          <w:rFonts w:ascii="Times New Roman" w:hAnsi="Times New Roman" w:cs="Times New Roman"/>
          <w:b/>
          <w:iCs/>
        </w:rPr>
        <w:t>by</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type</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intervention</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i/>
          <w:iCs/>
        </w:rPr>
        <w:t>Reference</w:t>
      </w:r>
      <w:proofErr w:type="spellEnd"/>
      <w:r w:rsidRPr="008C5F1C">
        <w:rPr>
          <w:rFonts w:ascii="Times New Roman" w:hAnsi="Times New Roman" w:cs="Times New Roman"/>
          <w:i/>
          <w:iCs/>
        </w:rPr>
        <w:t xml:space="preserve"> </w:t>
      </w:r>
      <w:proofErr w:type="spellStart"/>
      <w:r w:rsidRPr="008C5F1C">
        <w:rPr>
          <w:rFonts w:ascii="Times New Roman" w:hAnsi="Times New Roman" w:cs="Times New Roman"/>
          <w:i/>
        </w:rPr>
        <w:t>Article</w:t>
      </w:r>
      <w:proofErr w:type="spellEnd"/>
      <w:r w:rsidRPr="008C5F1C">
        <w:rPr>
          <w:rFonts w:ascii="Times New Roman" w:hAnsi="Times New Roman" w:cs="Times New Roman"/>
          <w:i/>
        </w:rPr>
        <w:t xml:space="preserve"> 17(3)(e)bis(iv)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2115"/>
        <w:gridCol w:w="1053"/>
        <w:gridCol w:w="2175"/>
      </w:tblGrid>
      <w:tr w:rsidR="00653571" w:rsidRPr="008C5F1C" w14:paraId="20E0D2DF" w14:textId="77777777" w:rsidTr="00534127">
        <w:tc>
          <w:tcPr>
            <w:tcW w:w="8326" w:type="dxa"/>
            <w:gridSpan w:val="5"/>
            <w:tcBorders>
              <w:top w:val="single" w:sz="4" w:space="0" w:color="auto"/>
              <w:left w:val="single" w:sz="4" w:space="0" w:color="auto"/>
              <w:bottom w:val="single" w:sz="4" w:space="0" w:color="auto"/>
              <w:right w:val="single" w:sz="4" w:space="0" w:color="auto"/>
            </w:tcBorders>
            <w:hideMark/>
          </w:tcPr>
          <w:p w14:paraId="507B2FAD"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Table 8: </w:t>
            </w:r>
            <w:proofErr w:type="spellStart"/>
            <w:r w:rsidRPr="008C5F1C">
              <w:rPr>
                <w:rFonts w:ascii="Times New Roman" w:hAnsi="Times New Roman" w:cs="Times New Roman"/>
                <w:b/>
                <w:iCs/>
              </w:rPr>
              <w:t>Dimension</w:t>
            </w:r>
            <w:proofErr w:type="spellEnd"/>
            <w:r w:rsidRPr="008C5F1C">
              <w:rPr>
                <w:rFonts w:ascii="Times New Roman" w:hAnsi="Times New Roman" w:cs="Times New Roman"/>
                <w:b/>
                <w:iCs/>
              </w:rPr>
              <w:t xml:space="preserve"> 1 – </w:t>
            </w:r>
            <w:proofErr w:type="spellStart"/>
            <w:r w:rsidRPr="008C5F1C">
              <w:rPr>
                <w:rFonts w:ascii="Times New Roman" w:hAnsi="Times New Roman" w:cs="Times New Roman"/>
                <w:b/>
                <w:iCs/>
              </w:rPr>
              <w:t>intervention</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field</w:t>
            </w:r>
            <w:proofErr w:type="spellEnd"/>
          </w:p>
        </w:tc>
      </w:tr>
      <w:tr w:rsidR="00653571" w:rsidRPr="008C5F1C" w14:paraId="314F9CC9" w14:textId="77777777" w:rsidTr="00534127">
        <w:tc>
          <w:tcPr>
            <w:tcW w:w="1599" w:type="dxa"/>
            <w:tcBorders>
              <w:top w:val="single" w:sz="4" w:space="0" w:color="auto"/>
              <w:left w:val="single" w:sz="4" w:space="0" w:color="auto"/>
              <w:bottom w:val="single" w:sz="4" w:space="0" w:color="auto"/>
              <w:right w:val="single" w:sz="4" w:space="0" w:color="auto"/>
            </w:tcBorders>
            <w:hideMark/>
          </w:tcPr>
          <w:p w14:paraId="6C067260"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Priority</w:t>
            </w:r>
            <w:proofErr w:type="spellEnd"/>
            <w:r w:rsidRPr="008C5F1C">
              <w:rPr>
                <w:rFonts w:ascii="Times New Roman" w:hAnsi="Times New Roman" w:cs="Times New Roman"/>
                <w:b/>
                <w:iCs/>
              </w:rPr>
              <w:t xml:space="preserve"> No</w:t>
            </w:r>
          </w:p>
        </w:tc>
        <w:tc>
          <w:tcPr>
            <w:tcW w:w="1384" w:type="dxa"/>
            <w:tcBorders>
              <w:top w:val="single" w:sz="4" w:space="0" w:color="auto"/>
              <w:left w:val="single" w:sz="4" w:space="0" w:color="auto"/>
              <w:bottom w:val="single" w:sz="4" w:space="0" w:color="auto"/>
              <w:right w:val="single" w:sz="4" w:space="0" w:color="auto"/>
            </w:tcBorders>
            <w:hideMark/>
          </w:tcPr>
          <w:p w14:paraId="4E5EC403"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Fund</w:t>
            </w:r>
          </w:p>
        </w:tc>
        <w:tc>
          <w:tcPr>
            <w:tcW w:w="2115" w:type="dxa"/>
            <w:tcBorders>
              <w:top w:val="single" w:sz="4" w:space="0" w:color="auto"/>
              <w:left w:val="single" w:sz="4" w:space="0" w:color="auto"/>
              <w:bottom w:val="single" w:sz="4" w:space="0" w:color="auto"/>
              <w:right w:val="single" w:sz="4" w:space="0" w:color="auto"/>
            </w:tcBorders>
            <w:hideMark/>
          </w:tcPr>
          <w:p w14:paraId="249279BD"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Category</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region</w:t>
            </w:r>
            <w:proofErr w:type="spellEnd"/>
          </w:p>
        </w:tc>
        <w:tc>
          <w:tcPr>
            <w:tcW w:w="1053" w:type="dxa"/>
            <w:tcBorders>
              <w:top w:val="single" w:sz="4" w:space="0" w:color="auto"/>
              <w:left w:val="single" w:sz="4" w:space="0" w:color="auto"/>
              <w:bottom w:val="single" w:sz="4" w:space="0" w:color="auto"/>
              <w:right w:val="single" w:sz="4" w:space="0" w:color="auto"/>
            </w:tcBorders>
            <w:hideMark/>
          </w:tcPr>
          <w:p w14:paraId="2255088D"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Code </w:t>
            </w:r>
          </w:p>
        </w:tc>
        <w:tc>
          <w:tcPr>
            <w:tcW w:w="2175" w:type="dxa"/>
            <w:tcBorders>
              <w:top w:val="single" w:sz="4" w:space="0" w:color="auto"/>
              <w:left w:val="single" w:sz="4" w:space="0" w:color="auto"/>
              <w:bottom w:val="single" w:sz="4" w:space="0" w:color="auto"/>
              <w:right w:val="single" w:sz="4" w:space="0" w:color="auto"/>
            </w:tcBorders>
            <w:hideMark/>
          </w:tcPr>
          <w:p w14:paraId="3335C83D"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Amount</w:t>
            </w:r>
            <w:proofErr w:type="spellEnd"/>
            <w:r w:rsidRPr="008C5F1C">
              <w:rPr>
                <w:rFonts w:ascii="Times New Roman" w:hAnsi="Times New Roman" w:cs="Times New Roman"/>
                <w:b/>
                <w:iCs/>
              </w:rPr>
              <w:t xml:space="preserve"> (EUR)</w:t>
            </w:r>
          </w:p>
        </w:tc>
      </w:tr>
      <w:tr w:rsidR="00653571" w:rsidRPr="008C5F1C" w14:paraId="4E81EB52" w14:textId="77777777" w:rsidTr="00534127">
        <w:tc>
          <w:tcPr>
            <w:tcW w:w="1599" w:type="dxa"/>
            <w:tcBorders>
              <w:top w:val="single" w:sz="4" w:space="0" w:color="auto"/>
              <w:left w:val="single" w:sz="4" w:space="0" w:color="auto"/>
              <w:bottom w:val="single" w:sz="4" w:space="0" w:color="auto"/>
              <w:right w:val="single" w:sz="4" w:space="0" w:color="auto"/>
            </w:tcBorders>
          </w:tcPr>
          <w:p w14:paraId="563E8F94" w14:textId="77777777" w:rsidR="00653571" w:rsidRPr="008C5F1C" w:rsidRDefault="00653571" w:rsidP="00534127">
            <w:pPr>
              <w:rPr>
                <w:rFonts w:ascii="Times New Roman" w:hAnsi="Times New Roman" w:cs="Times New Roman"/>
                <w:iCs/>
              </w:rPr>
            </w:pPr>
          </w:p>
        </w:tc>
        <w:tc>
          <w:tcPr>
            <w:tcW w:w="1384" w:type="dxa"/>
            <w:tcBorders>
              <w:top w:val="single" w:sz="4" w:space="0" w:color="auto"/>
              <w:left w:val="single" w:sz="4" w:space="0" w:color="auto"/>
              <w:bottom w:val="single" w:sz="4" w:space="0" w:color="auto"/>
              <w:right w:val="single" w:sz="4" w:space="0" w:color="auto"/>
            </w:tcBorders>
          </w:tcPr>
          <w:p w14:paraId="39170253" w14:textId="77777777" w:rsidR="00653571" w:rsidRPr="008C5F1C" w:rsidRDefault="00653571" w:rsidP="00534127">
            <w:pPr>
              <w:rPr>
                <w:rFonts w:ascii="Times New Roman" w:hAnsi="Times New Roman" w:cs="Times New Roman"/>
                <w:b/>
                <w:iCs/>
              </w:rPr>
            </w:pPr>
          </w:p>
        </w:tc>
        <w:tc>
          <w:tcPr>
            <w:tcW w:w="2115" w:type="dxa"/>
            <w:tcBorders>
              <w:top w:val="single" w:sz="4" w:space="0" w:color="auto"/>
              <w:left w:val="single" w:sz="4" w:space="0" w:color="auto"/>
              <w:bottom w:val="single" w:sz="4" w:space="0" w:color="auto"/>
              <w:right w:val="single" w:sz="4" w:space="0" w:color="auto"/>
            </w:tcBorders>
          </w:tcPr>
          <w:p w14:paraId="42C0F0A9" w14:textId="77777777" w:rsidR="00653571" w:rsidRPr="008C5F1C" w:rsidRDefault="00653571" w:rsidP="00534127">
            <w:pPr>
              <w:rPr>
                <w:rFonts w:ascii="Times New Roman" w:hAnsi="Times New Roman" w:cs="Times New Roman"/>
                <w:b/>
                <w:iCs/>
              </w:rPr>
            </w:pPr>
          </w:p>
        </w:tc>
        <w:tc>
          <w:tcPr>
            <w:tcW w:w="1053" w:type="dxa"/>
            <w:tcBorders>
              <w:top w:val="single" w:sz="4" w:space="0" w:color="auto"/>
              <w:left w:val="single" w:sz="4" w:space="0" w:color="auto"/>
              <w:bottom w:val="single" w:sz="4" w:space="0" w:color="auto"/>
              <w:right w:val="single" w:sz="4" w:space="0" w:color="auto"/>
            </w:tcBorders>
          </w:tcPr>
          <w:p w14:paraId="7EDD5A4F" w14:textId="77777777" w:rsidR="00653571" w:rsidRPr="008C5F1C" w:rsidRDefault="00653571" w:rsidP="00534127">
            <w:pPr>
              <w:rPr>
                <w:rFonts w:ascii="Times New Roman" w:hAnsi="Times New Roman" w:cs="Times New Roman"/>
                <w:b/>
                <w:iCs/>
              </w:rPr>
            </w:pPr>
          </w:p>
        </w:tc>
        <w:tc>
          <w:tcPr>
            <w:tcW w:w="2175" w:type="dxa"/>
            <w:tcBorders>
              <w:top w:val="single" w:sz="4" w:space="0" w:color="auto"/>
              <w:left w:val="single" w:sz="4" w:space="0" w:color="auto"/>
              <w:bottom w:val="single" w:sz="4" w:space="0" w:color="auto"/>
              <w:right w:val="single" w:sz="4" w:space="0" w:color="auto"/>
            </w:tcBorders>
          </w:tcPr>
          <w:p w14:paraId="0CDE7D84" w14:textId="77777777" w:rsidR="00653571" w:rsidRPr="008C5F1C" w:rsidRDefault="00653571" w:rsidP="00534127">
            <w:pPr>
              <w:rPr>
                <w:rFonts w:ascii="Times New Roman" w:hAnsi="Times New Roman" w:cs="Times New Roman"/>
                <w:b/>
                <w:iCs/>
              </w:rPr>
            </w:pPr>
          </w:p>
        </w:tc>
      </w:tr>
    </w:tbl>
    <w:p w14:paraId="692D95BC" w14:textId="77777777" w:rsidR="00653571" w:rsidRPr="008C5F1C" w:rsidRDefault="00653571" w:rsidP="00653571">
      <w:pPr>
        <w:rPr>
          <w:rFonts w:ascii="Times New Roman" w:eastAsia="Calibri" w:hAnsi="Times New Roman" w:cs="Times New Roman"/>
          <w:b/>
          <w:sz w:val="24"/>
        </w:rPr>
      </w:pPr>
      <w:r w:rsidRPr="008C5F1C">
        <w:rPr>
          <w:rFonts w:ascii="Times New Roman" w:hAnsi="Times New Roman" w:cs="Times New Roman"/>
        </w:rPr>
        <w:br w:type="page"/>
      </w:r>
    </w:p>
    <w:p w14:paraId="14D62B2F" w14:textId="77777777" w:rsidR="00653571" w:rsidRPr="008C5F1C" w:rsidRDefault="00653571" w:rsidP="00653571">
      <w:pPr>
        <w:pStyle w:val="Heading2"/>
        <w:numPr>
          <w:ilvl w:val="0"/>
          <w:numId w:val="0"/>
        </w:numPr>
        <w:ind w:left="851" w:hanging="851"/>
        <w:rPr>
          <w:rFonts w:cs="Times New Roman"/>
          <w:lang w:val="ro-RO"/>
        </w:rPr>
      </w:pPr>
      <w:bookmarkStart w:id="116" w:name="_Toc39840934"/>
      <w:r w:rsidRPr="008C5F1C">
        <w:rPr>
          <w:rFonts w:cs="Times New Roman"/>
          <w:lang w:val="ro-RO"/>
        </w:rPr>
        <w:lastRenderedPageBreak/>
        <w:t>2.A.1 Prioritatea 3. O regiune cu ora</w:t>
      </w:r>
      <w:r w:rsidR="00106240" w:rsidRPr="008C5F1C">
        <w:rPr>
          <w:rFonts w:cs="Times New Roman"/>
          <w:lang w:val="ro-RO"/>
        </w:rPr>
        <w:t>ș</w:t>
      </w:r>
      <w:r w:rsidRPr="008C5F1C">
        <w:rPr>
          <w:rFonts w:cs="Times New Roman"/>
          <w:lang w:val="ro-RO"/>
        </w:rPr>
        <w:t>e prietenoase cu mediul</w:t>
      </w:r>
      <w:bookmarkEnd w:id="116"/>
    </w:p>
    <w:p w14:paraId="77437466" w14:textId="77777777" w:rsidR="00653571" w:rsidRPr="008C5F1C" w:rsidRDefault="00653571" w:rsidP="00653571">
      <w:pPr>
        <w:rPr>
          <w:rFonts w:ascii="Times New Roman" w:hAnsi="Times New Roman" w:cs="Times New Roman"/>
          <w:i/>
          <w:iCs/>
        </w:rPr>
      </w:pPr>
      <w:proofErr w:type="spellStart"/>
      <w:r w:rsidRPr="008C5F1C">
        <w:rPr>
          <w:rFonts w:ascii="Times New Roman" w:hAnsi="Times New Roman" w:cs="Times New Roman"/>
          <w:i/>
          <w:iCs/>
        </w:rPr>
        <w:t>Reference</w:t>
      </w:r>
      <w:proofErr w:type="spellEnd"/>
      <w:r w:rsidRPr="008C5F1C">
        <w:rPr>
          <w:rFonts w:ascii="Times New Roman" w:hAnsi="Times New Roman" w:cs="Times New Roman"/>
          <w:i/>
          <w:iCs/>
        </w:rPr>
        <w:t xml:space="preserve">: </w:t>
      </w:r>
      <w:proofErr w:type="spellStart"/>
      <w:r w:rsidRPr="008C5F1C">
        <w:rPr>
          <w:rFonts w:ascii="Times New Roman" w:hAnsi="Times New Roman" w:cs="Times New Roman"/>
          <w:i/>
          <w:iCs/>
        </w:rPr>
        <w:t>Article</w:t>
      </w:r>
      <w:proofErr w:type="spellEnd"/>
      <w:r w:rsidRPr="008C5F1C">
        <w:rPr>
          <w:rFonts w:ascii="Times New Roman" w:hAnsi="Times New Roman" w:cs="Times New Roman"/>
          <w:i/>
          <w:iCs/>
        </w:rPr>
        <w:t xml:space="preserve"> 4(1), 10 </w:t>
      </w:r>
      <w:proofErr w:type="spellStart"/>
      <w:r w:rsidRPr="008C5F1C">
        <w:rPr>
          <w:rFonts w:ascii="Times New Roman" w:hAnsi="Times New Roman" w:cs="Times New Roman"/>
          <w:i/>
          <w:iCs/>
        </w:rPr>
        <w:t>and</w:t>
      </w:r>
      <w:proofErr w:type="spellEnd"/>
      <w:r w:rsidRPr="008C5F1C">
        <w:rPr>
          <w:rFonts w:ascii="Times New Roman" w:hAnsi="Times New Roman" w:cs="Times New Roman"/>
          <w:i/>
          <w:iCs/>
        </w:rPr>
        <w:t xml:space="preserve"> 13 ESF+</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53571" w:rsidRPr="008C5F1C" w14:paraId="24E1424F" w14:textId="77777777" w:rsidTr="00534127">
        <w:tc>
          <w:tcPr>
            <w:tcW w:w="9322" w:type="dxa"/>
            <w:tcBorders>
              <w:top w:val="single" w:sz="4" w:space="0" w:color="auto"/>
              <w:left w:val="single" w:sz="4" w:space="0" w:color="auto"/>
              <w:bottom w:val="single" w:sz="4" w:space="0" w:color="auto"/>
              <w:right w:val="single" w:sz="4" w:space="0" w:color="auto"/>
            </w:tcBorders>
            <w:hideMark/>
          </w:tcPr>
          <w:p w14:paraId="71D57473" w14:textId="77777777" w:rsidR="00653571" w:rsidRPr="008C5F1C" w:rsidRDefault="00653571" w:rsidP="00534127">
            <w:pPr>
              <w:rPr>
                <w:rFonts w:ascii="Times New Roman" w:hAnsi="Times New Roman" w:cs="Times New Roman"/>
              </w:rPr>
            </w:pPr>
            <w:r w:rsidRPr="008C5F1C">
              <w:rPr>
                <w:rFonts w:ascii="Times New Roman" w:hAnsi="Times New Roman" w:cs="Times New Roman"/>
              </w:rPr>
              <w:fldChar w:fldCharType="begin">
                <w:ffData>
                  <w:name w:val="Check2"/>
                  <w:enabled/>
                  <w:calcOnExit w:val="0"/>
                  <w:checkBox>
                    <w:sizeAuto/>
                    <w:default w:val="0"/>
                  </w:checkBox>
                </w:ffData>
              </w:fldChar>
            </w:r>
            <w:r w:rsidRPr="008C5F1C">
              <w:rPr>
                <w:rFonts w:ascii="Times New Roman" w:hAnsi="Times New Roman" w:cs="Times New Roman"/>
              </w:rPr>
              <w:instrText xml:space="preserve"> FORMCHECKBOX </w:instrText>
            </w:r>
            <w:r w:rsidR="00AD12F7">
              <w:rPr>
                <w:rFonts w:ascii="Times New Roman" w:hAnsi="Times New Roman" w:cs="Times New Roman"/>
              </w:rPr>
            </w:r>
            <w:r w:rsidR="00AD12F7">
              <w:rPr>
                <w:rFonts w:ascii="Times New Roman" w:hAnsi="Times New Roman" w:cs="Times New Roman"/>
              </w:rPr>
              <w:fldChar w:fldCharType="separate"/>
            </w:r>
            <w:r w:rsidRPr="008C5F1C">
              <w:rPr>
                <w:rFonts w:ascii="Times New Roman" w:hAnsi="Times New Roman" w:cs="Times New Roman"/>
              </w:rPr>
              <w:fldChar w:fldCharType="end"/>
            </w:r>
            <w:r w:rsidRPr="008C5F1C">
              <w:rPr>
                <w:rFonts w:ascii="Times New Roman" w:hAnsi="Times New Roman" w:cs="Times New Roman"/>
              </w:rPr>
              <w:t xml:space="preserve"> </w:t>
            </w:r>
            <w:proofErr w:type="spellStart"/>
            <w:r w:rsidRPr="008C5F1C">
              <w:rPr>
                <w:rFonts w:ascii="Times New Roman" w:hAnsi="Times New Roman" w:cs="Times New Roman"/>
              </w:rPr>
              <w:t>This</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is</w:t>
            </w:r>
            <w:proofErr w:type="spellEnd"/>
            <w:r w:rsidRPr="008C5F1C">
              <w:rPr>
                <w:rFonts w:ascii="Times New Roman" w:hAnsi="Times New Roman" w:cs="Times New Roman"/>
              </w:rPr>
              <w:t xml:space="preserve"> a </w:t>
            </w:r>
            <w:proofErr w:type="spellStart"/>
            <w:r w:rsidRPr="008C5F1C">
              <w:rPr>
                <w:rFonts w:ascii="Times New Roman" w:hAnsi="Times New Roman" w:cs="Times New Roman"/>
              </w:rPr>
              <w:t>priority</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dedicated</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to</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youth</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employment</w:t>
            </w:r>
            <w:proofErr w:type="spellEnd"/>
          </w:p>
        </w:tc>
      </w:tr>
      <w:tr w:rsidR="00653571" w:rsidRPr="008C5F1C" w14:paraId="1D014B1E" w14:textId="77777777" w:rsidTr="00534127">
        <w:tc>
          <w:tcPr>
            <w:tcW w:w="9322" w:type="dxa"/>
            <w:tcBorders>
              <w:top w:val="single" w:sz="4" w:space="0" w:color="auto"/>
              <w:left w:val="single" w:sz="4" w:space="0" w:color="auto"/>
              <w:bottom w:val="single" w:sz="4" w:space="0" w:color="auto"/>
              <w:right w:val="single" w:sz="4" w:space="0" w:color="auto"/>
            </w:tcBorders>
            <w:hideMark/>
          </w:tcPr>
          <w:p w14:paraId="70B9A524" w14:textId="77777777" w:rsidR="00653571" w:rsidRPr="008C5F1C" w:rsidRDefault="00653571" w:rsidP="00534127">
            <w:pPr>
              <w:rPr>
                <w:rFonts w:ascii="Times New Roman" w:hAnsi="Times New Roman" w:cs="Times New Roman"/>
              </w:rPr>
            </w:pPr>
            <w:r w:rsidRPr="008C5F1C">
              <w:rPr>
                <w:rFonts w:ascii="Times New Roman" w:hAnsi="Times New Roman" w:cs="Times New Roman"/>
              </w:rPr>
              <w:fldChar w:fldCharType="begin">
                <w:ffData>
                  <w:name w:val="Check2"/>
                  <w:enabled/>
                  <w:calcOnExit w:val="0"/>
                  <w:checkBox>
                    <w:sizeAuto/>
                    <w:default w:val="0"/>
                  </w:checkBox>
                </w:ffData>
              </w:fldChar>
            </w:r>
            <w:r w:rsidRPr="008C5F1C">
              <w:rPr>
                <w:rFonts w:ascii="Times New Roman" w:hAnsi="Times New Roman" w:cs="Times New Roman"/>
              </w:rPr>
              <w:instrText xml:space="preserve"> FORMCHECKBOX </w:instrText>
            </w:r>
            <w:r w:rsidR="00AD12F7">
              <w:rPr>
                <w:rFonts w:ascii="Times New Roman" w:hAnsi="Times New Roman" w:cs="Times New Roman"/>
              </w:rPr>
            </w:r>
            <w:r w:rsidR="00AD12F7">
              <w:rPr>
                <w:rFonts w:ascii="Times New Roman" w:hAnsi="Times New Roman" w:cs="Times New Roman"/>
              </w:rPr>
              <w:fldChar w:fldCharType="separate"/>
            </w:r>
            <w:r w:rsidRPr="008C5F1C">
              <w:rPr>
                <w:rFonts w:ascii="Times New Roman" w:hAnsi="Times New Roman" w:cs="Times New Roman"/>
              </w:rPr>
              <w:fldChar w:fldCharType="end"/>
            </w:r>
            <w:r w:rsidRPr="008C5F1C">
              <w:rPr>
                <w:rFonts w:ascii="Times New Roman" w:hAnsi="Times New Roman" w:cs="Times New Roman"/>
              </w:rPr>
              <w:t xml:space="preserve"> </w:t>
            </w:r>
            <w:proofErr w:type="spellStart"/>
            <w:r w:rsidRPr="008C5F1C">
              <w:rPr>
                <w:rFonts w:ascii="Times New Roman" w:hAnsi="Times New Roman" w:cs="Times New Roman"/>
              </w:rPr>
              <w:t>This</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is</w:t>
            </w:r>
            <w:proofErr w:type="spellEnd"/>
            <w:r w:rsidRPr="008C5F1C">
              <w:rPr>
                <w:rFonts w:ascii="Times New Roman" w:hAnsi="Times New Roman" w:cs="Times New Roman"/>
              </w:rPr>
              <w:t xml:space="preserve"> a </w:t>
            </w:r>
            <w:proofErr w:type="spellStart"/>
            <w:r w:rsidRPr="008C5F1C">
              <w:rPr>
                <w:rFonts w:ascii="Times New Roman" w:hAnsi="Times New Roman" w:cs="Times New Roman"/>
              </w:rPr>
              <w:t>priority</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dedicated</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to</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innovative</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actions</w:t>
            </w:r>
            <w:proofErr w:type="spellEnd"/>
          </w:p>
        </w:tc>
      </w:tr>
      <w:tr w:rsidR="00653571" w:rsidRPr="008C5F1C" w14:paraId="31569170" w14:textId="77777777" w:rsidTr="00534127">
        <w:tc>
          <w:tcPr>
            <w:tcW w:w="9322" w:type="dxa"/>
            <w:tcBorders>
              <w:top w:val="single" w:sz="4" w:space="0" w:color="auto"/>
              <w:left w:val="single" w:sz="4" w:space="0" w:color="auto"/>
              <w:bottom w:val="single" w:sz="4" w:space="0" w:color="auto"/>
              <w:right w:val="single" w:sz="4" w:space="0" w:color="auto"/>
            </w:tcBorders>
            <w:hideMark/>
          </w:tcPr>
          <w:p w14:paraId="55AB8D3F" w14:textId="77777777" w:rsidR="00653571" w:rsidRPr="008C5F1C" w:rsidRDefault="00653571" w:rsidP="00534127">
            <w:pPr>
              <w:rPr>
                <w:rFonts w:ascii="Times New Roman" w:hAnsi="Times New Roman" w:cs="Times New Roman"/>
              </w:rPr>
            </w:pPr>
            <w:r w:rsidRPr="008C5F1C">
              <w:rPr>
                <w:rFonts w:ascii="Times New Roman" w:hAnsi="Times New Roman" w:cs="Times New Roman"/>
              </w:rPr>
              <w:fldChar w:fldCharType="begin">
                <w:ffData>
                  <w:name w:val="Check2"/>
                  <w:enabled/>
                  <w:calcOnExit w:val="0"/>
                  <w:checkBox>
                    <w:sizeAuto/>
                    <w:default w:val="0"/>
                  </w:checkBox>
                </w:ffData>
              </w:fldChar>
            </w:r>
            <w:r w:rsidRPr="008C5F1C">
              <w:rPr>
                <w:rFonts w:ascii="Times New Roman" w:hAnsi="Times New Roman" w:cs="Times New Roman"/>
              </w:rPr>
              <w:instrText xml:space="preserve"> FORMCHECKBOX </w:instrText>
            </w:r>
            <w:r w:rsidR="00AD12F7">
              <w:rPr>
                <w:rFonts w:ascii="Times New Roman" w:hAnsi="Times New Roman" w:cs="Times New Roman"/>
              </w:rPr>
            </w:r>
            <w:r w:rsidR="00AD12F7">
              <w:rPr>
                <w:rFonts w:ascii="Times New Roman" w:hAnsi="Times New Roman" w:cs="Times New Roman"/>
              </w:rPr>
              <w:fldChar w:fldCharType="separate"/>
            </w:r>
            <w:r w:rsidRPr="008C5F1C">
              <w:rPr>
                <w:rFonts w:ascii="Times New Roman" w:hAnsi="Times New Roman" w:cs="Times New Roman"/>
              </w:rPr>
              <w:fldChar w:fldCharType="end"/>
            </w:r>
            <w:r w:rsidRPr="008C5F1C">
              <w:rPr>
                <w:rFonts w:ascii="Times New Roman" w:hAnsi="Times New Roman" w:cs="Times New Roman"/>
              </w:rPr>
              <w:t xml:space="preserve"> </w:t>
            </w:r>
            <w:proofErr w:type="spellStart"/>
            <w:r w:rsidRPr="008C5F1C">
              <w:rPr>
                <w:rFonts w:ascii="Times New Roman" w:hAnsi="Times New Roman" w:cs="Times New Roman"/>
              </w:rPr>
              <w:t>This</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is</w:t>
            </w:r>
            <w:proofErr w:type="spellEnd"/>
            <w:r w:rsidRPr="008C5F1C">
              <w:rPr>
                <w:rFonts w:ascii="Times New Roman" w:hAnsi="Times New Roman" w:cs="Times New Roman"/>
              </w:rPr>
              <w:t xml:space="preserve"> a </w:t>
            </w:r>
            <w:proofErr w:type="spellStart"/>
            <w:r w:rsidRPr="008C5F1C">
              <w:rPr>
                <w:rFonts w:ascii="Times New Roman" w:hAnsi="Times New Roman" w:cs="Times New Roman"/>
              </w:rPr>
              <w:t>priority</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dedicated</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to</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support</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to</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the</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most</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deprived</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under</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the</w:t>
            </w:r>
            <w:proofErr w:type="spellEnd"/>
            <w:r w:rsidRPr="008C5F1C">
              <w:rPr>
                <w:rFonts w:ascii="Times New Roman" w:hAnsi="Times New Roman" w:cs="Times New Roman"/>
              </w:rPr>
              <w:t xml:space="preserve"> specific </w:t>
            </w:r>
            <w:proofErr w:type="spellStart"/>
            <w:r w:rsidRPr="008C5F1C">
              <w:rPr>
                <w:rFonts w:ascii="Times New Roman" w:hAnsi="Times New Roman" w:cs="Times New Roman"/>
              </w:rPr>
              <w:t>objective</w:t>
            </w:r>
            <w:proofErr w:type="spellEnd"/>
            <w:r w:rsidRPr="008C5F1C">
              <w:rPr>
                <w:rFonts w:ascii="Times New Roman" w:hAnsi="Times New Roman" w:cs="Times New Roman"/>
              </w:rPr>
              <w:t xml:space="preserve"> set out in </w:t>
            </w:r>
            <w:proofErr w:type="spellStart"/>
            <w:r w:rsidRPr="008C5F1C">
              <w:rPr>
                <w:rFonts w:ascii="Times New Roman" w:hAnsi="Times New Roman" w:cs="Times New Roman"/>
              </w:rPr>
              <w:t>point</w:t>
            </w:r>
            <w:proofErr w:type="spellEnd"/>
            <w:r w:rsidRPr="008C5F1C">
              <w:rPr>
                <w:rFonts w:ascii="Times New Roman" w:hAnsi="Times New Roman" w:cs="Times New Roman"/>
              </w:rPr>
              <w:t xml:space="preserve"> (xi) of </w:t>
            </w:r>
            <w:proofErr w:type="spellStart"/>
            <w:r w:rsidRPr="008C5F1C">
              <w:rPr>
                <w:rFonts w:ascii="Times New Roman" w:hAnsi="Times New Roman" w:cs="Times New Roman"/>
              </w:rPr>
              <w:t>Art</w:t>
            </w:r>
            <w:r w:rsidRPr="008C5F1C">
              <w:rPr>
                <w:rFonts w:ascii="Times New Roman" w:hAnsi="Times New Roman" w:cs="Times New Roman"/>
                <w:bCs/>
              </w:rPr>
              <w:t>i</w:t>
            </w:r>
            <w:r w:rsidRPr="008C5F1C">
              <w:rPr>
                <w:rFonts w:ascii="Times New Roman" w:hAnsi="Times New Roman" w:cs="Times New Roman"/>
              </w:rPr>
              <w:t>cle</w:t>
            </w:r>
            <w:proofErr w:type="spellEnd"/>
            <w:r w:rsidRPr="008C5F1C">
              <w:rPr>
                <w:rFonts w:ascii="Times New Roman" w:hAnsi="Times New Roman" w:cs="Times New Roman"/>
              </w:rPr>
              <w:t xml:space="preserve"> 4(1) of </w:t>
            </w:r>
            <w:proofErr w:type="spellStart"/>
            <w:r w:rsidRPr="008C5F1C">
              <w:rPr>
                <w:rFonts w:ascii="Times New Roman" w:hAnsi="Times New Roman" w:cs="Times New Roman"/>
              </w:rPr>
              <w:t>the</w:t>
            </w:r>
            <w:proofErr w:type="spellEnd"/>
            <w:r w:rsidRPr="008C5F1C">
              <w:rPr>
                <w:rFonts w:ascii="Times New Roman" w:hAnsi="Times New Roman" w:cs="Times New Roman"/>
              </w:rPr>
              <w:t xml:space="preserve"> ESF+ </w:t>
            </w:r>
            <w:proofErr w:type="spellStart"/>
            <w:r w:rsidRPr="008C5F1C">
              <w:rPr>
                <w:rFonts w:ascii="Times New Roman" w:hAnsi="Times New Roman" w:cs="Times New Roman"/>
              </w:rPr>
              <w:t>regulation</w:t>
            </w:r>
            <w:proofErr w:type="spellEnd"/>
            <w:r w:rsidRPr="008C5F1C">
              <w:rPr>
                <w:rFonts w:ascii="Times New Roman" w:hAnsi="Times New Roman" w:cs="Times New Roman"/>
              </w:rPr>
              <w:t>**</w:t>
            </w:r>
          </w:p>
        </w:tc>
      </w:tr>
      <w:tr w:rsidR="00653571" w:rsidRPr="008C5F1C" w14:paraId="301DFDE8" w14:textId="77777777" w:rsidTr="00534127">
        <w:tc>
          <w:tcPr>
            <w:tcW w:w="9322" w:type="dxa"/>
            <w:tcBorders>
              <w:top w:val="single" w:sz="4" w:space="0" w:color="auto"/>
              <w:left w:val="single" w:sz="4" w:space="0" w:color="auto"/>
              <w:bottom w:val="single" w:sz="4" w:space="0" w:color="auto"/>
              <w:right w:val="single" w:sz="4" w:space="0" w:color="auto"/>
            </w:tcBorders>
            <w:hideMark/>
          </w:tcPr>
          <w:p w14:paraId="61165093" w14:textId="77777777" w:rsidR="00653571" w:rsidRPr="008C5F1C" w:rsidRDefault="00653571" w:rsidP="00534127">
            <w:pPr>
              <w:rPr>
                <w:rFonts w:ascii="Times New Roman" w:hAnsi="Times New Roman" w:cs="Times New Roman"/>
              </w:rPr>
            </w:pPr>
            <w:r w:rsidRPr="008C5F1C">
              <w:rPr>
                <w:rFonts w:ascii="Times New Roman" w:hAnsi="Times New Roman" w:cs="Times New Roman"/>
              </w:rPr>
              <w:fldChar w:fldCharType="begin">
                <w:ffData>
                  <w:name w:val="Check2"/>
                  <w:enabled/>
                  <w:calcOnExit w:val="0"/>
                  <w:checkBox>
                    <w:sizeAuto/>
                    <w:default w:val="0"/>
                  </w:checkBox>
                </w:ffData>
              </w:fldChar>
            </w:r>
            <w:r w:rsidRPr="008C5F1C">
              <w:rPr>
                <w:rFonts w:ascii="Times New Roman" w:hAnsi="Times New Roman" w:cs="Times New Roman"/>
              </w:rPr>
              <w:instrText xml:space="preserve"> FORMCHECKBOX </w:instrText>
            </w:r>
            <w:r w:rsidR="00AD12F7">
              <w:rPr>
                <w:rFonts w:ascii="Times New Roman" w:hAnsi="Times New Roman" w:cs="Times New Roman"/>
              </w:rPr>
            </w:r>
            <w:r w:rsidR="00AD12F7">
              <w:rPr>
                <w:rFonts w:ascii="Times New Roman" w:hAnsi="Times New Roman" w:cs="Times New Roman"/>
              </w:rPr>
              <w:fldChar w:fldCharType="separate"/>
            </w:r>
            <w:r w:rsidRPr="008C5F1C">
              <w:rPr>
                <w:rFonts w:ascii="Times New Roman" w:hAnsi="Times New Roman" w:cs="Times New Roman"/>
              </w:rPr>
              <w:fldChar w:fldCharType="end"/>
            </w:r>
            <w:proofErr w:type="spellStart"/>
            <w:r w:rsidRPr="008C5F1C">
              <w:rPr>
                <w:rFonts w:ascii="Times New Roman" w:hAnsi="Times New Roman" w:cs="Times New Roman"/>
              </w:rPr>
              <w:t>This</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is</w:t>
            </w:r>
            <w:proofErr w:type="spellEnd"/>
            <w:r w:rsidRPr="008C5F1C">
              <w:rPr>
                <w:rFonts w:ascii="Times New Roman" w:hAnsi="Times New Roman" w:cs="Times New Roman"/>
              </w:rPr>
              <w:t xml:space="preserve"> a </w:t>
            </w:r>
            <w:proofErr w:type="spellStart"/>
            <w:r w:rsidRPr="008C5F1C">
              <w:rPr>
                <w:rFonts w:ascii="Times New Roman" w:hAnsi="Times New Roman" w:cs="Times New Roman"/>
              </w:rPr>
              <w:t>priority</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dedicated</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to</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support</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to</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the</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most</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deprived</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under</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the</w:t>
            </w:r>
            <w:proofErr w:type="spellEnd"/>
            <w:r w:rsidRPr="008C5F1C">
              <w:rPr>
                <w:rFonts w:ascii="Times New Roman" w:hAnsi="Times New Roman" w:cs="Times New Roman"/>
              </w:rPr>
              <w:t xml:space="preserve"> specific </w:t>
            </w:r>
            <w:proofErr w:type="spellStart"/>
            <w:r w:rsidRPr="008C5F1C">
              <w:rPr>
                <w:rFonts w:ascii="Times New Roman" w:hAnsi="Times New Roman" w:cs="Times New Roman"/>
              </w:rPr>
              <w:t>objective</w:t>
            </w:r>
            <w:proofErr w:type="spellEnd"/>
            <w:r w:rsidRPr="008C5F1C">
              <w:rPr>
                <w:rFonts w:ascii="Times New Roman" w:hAnsi="Times New Roman" w:cs="Times New Roman"/>
              </w:rPr>
              <w:t xml:space="preserve"> set out in </w:t>
            </w:r>
            <w:proofErr w:type="spellStart"/>
            <w:r w:rsidRPr="008C5F1C">
              <w:rPr>
                <w:rFonts w:ascii="Times New Roman" w:hAnsi="Times New Roman" w:cs="Times New Roman"/>
              </w:rPr>
              <w:t>point</w:t>
            </w:r>
            <w:proofErr w:type="spellEnd"/>
            <w:r w:rsidRPr="008C5F1C">
              <w:rPr>
                <w:rFonts w:ascii="Times New Roman" w:hAnsi="Times New Roman" w:cs="Times New Roman"/>
              </w:rPr>
              <w:t xml:space="preserve"> (x) of </w:t>
            </w:r>
            <w:proofErr w:type="spellStart"/>
            <w:r w:rsidRPr="008C5F1C">
              <w:rPr>
                <w:rFonts w:ascii="Times New Roman" w:hAnsi="Times New Roman" w:cs="Times New Roman"/>
              </w:rPr>
              <w:t>Art</w:t>
            </w:r>
            <w:r w:rsidRPr="008C5F1C">
              <w:rPr>
                <w:rFonts w:ascii="Times New Roman" w:hAnsi="Times New Roman" w:cs="Times New Roman"/>
                <w:bCs/>
              </w:rPr>
              <w:t>i</w:t>
            </w:r>
            <w:r w:rsidRPr="008C5F1C">
              <w:rPr>
                <w:rFonts w:ascii="Times New Roman" w:hAnsi="Times New Roman" w:cs="Times New Roman"/>
              </w:rPr>
              <w:t>cle</w:t>
            </w:r>
            <w:proofErr w:type="spellEnd"/>
            <w:r w:rsidRPr="008C5F1C">
              <w:rPr>
                <w:rFonts w:ascii="Times New Roman" w:hAnsi="Times New Roman" w:cs="Times New Roman"/>
              </w:rPr>
              <w:t xml:space="preserve"> 4(1) of </w:t>
            </w:r>
            <w:proofErr w:type="spellStart"/>
            <w:r w:rsidRPr="008C5F1C">
              <w:rPr>
                <w:rFonts w:ascii="Times New Roman" w:hAnsi="Times New Roman" w:cs="Times New Roman"/>
              </w:rPr>
              <w:t>the</w:t>
            </w:r>
            <w:proofErr w:type="spellEnd"/>
            <w:r w:rsidRPr="008C5F1C">
              <w:rPr>
                <w:rFonts w:ascii="Times New Roman" w:hAnsi="Times New Roman" w:cs="Times New Roman"/>
              </w:rPr>
              <w:t xml:space="preserve"> ESF+ </w:t>
            </w:r>
            <w:proofErr w:type="spellStart"/>
            <w:r w:rsidRPr="008C5F1C">
              <w:rPr>
                <w:rFonts w:ascii="Times New Roman" w:hAnsi="Times New Roman" w:cs="Times New Roman"/>
              </w:rPr>
              <w:t>regulation</w:t>
            </w:r>
            <w:proofErr w:type="spellEnd"/>
            <w:r w:rsidRPr="008C5F1C">
              <w:rPr>
                <w:rFonts w:ascii="Times New Roman" w:hAnsi="Times New Roman" w:cs="Times New Roman"/>
                <w:b/>
                <w:vertAlign w:val="superscript"/>
              </w:rPr>
              <w:footnoteReference w:id="48"/>
            </w:r>
          </w:p>
        </w:tc>
      </w:tr>
    </w:tbl>
    <w:p w14:paraId="09A27358" w14:textId="77777777" w:rsidR="00653571" w:rsidRPr="008C5F1C" w:rsidRDefault="00653571" w:rsidP="00653571">
      <w:pPr>
        <w:rPr>
          <w:rFonts w:ascii="Times New Roman" w:hAnsi="Times New Roman" w:cs="Times New Roman"/>
          <w:i/>
        </w:rPr>
      </w:pPr>
      <w:r w:rsidRPr="008C5F1C">
        <w:rPr>
          <w:rFonts w:ascii="Times New Roman" w:hAnsi="Times New Roman" w:cs="Times New Roman"/>
          <w:i/>
        </w:rPr>
        <w:t xml:space="preserve">* </w:t>
      </w:r>
      <w:proofErr w:type="spellStart"/>
      <w:r w:rsidRPr="008C5F1C">
        <w:rPr>
          <w:rFonts w:ascii="Times New Roman" w:hAnsi="Times New Roman" w:cs="Times New Roman"/>
          <w:i/>
        </w:rPr>
        <w:t>Ticking</w:t>
      </w:r>
      <w:proofErr w:type="spellEnd"/>
      <w:r w:rsidRPr="008C5F1C">
        <w:rPr>
          <w:rFonts w:ascii="Times New Roman" w:hAnsi="Times New Roman" w:cs="Times New Roman"/>
          <w:i/>
        </w:rPr>
        <w:t xml:space="preserve"> box </w:t>
      </w:r>
      <w:proofErr w:type="spellStart"/>
      <w:r w:rsidRPr="008C5F1C">
        <w:rPr>
          <w:rFonts w:ascii="Times New Roman" w:hAnsi="Times New Roman" w:cs="Times New Roman"/>
          <w:i/>
        </w:rPr>
        <w:t>applicable</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to</w:t>
      </w:r>
      <w:proofErr w:type="spellEnd"/>
      <w:r w:rsidRPr="008C5F1C">
        <w:rPr>
          <w:rFonts w:ascii="Times New Roman" w:hAnsi="Times New Roman" w:cs="Times New Roman"/>
          <w:i/>
        </w:rPr>
        <w:t xml:space="preserve"> ESF+ </w:t>
      </w:r>
      <w:proofErr w:type="spellStart"/>
      <w:r w:rsidRPr="008C5F1C">
        <w:rPr>
          <w:rFonts w:ascii="Times New Roman" w:hAnsi="Times New Roman" w:cs="Times New Roman"/>
          <w:i/>
        </w:rPr>
        <w:t>priorities</w:t>
      </w:r>
      <w:proofErr w:type="spellEnd"/>
      <w:r w:rsidRPr="008C5F1C">
        <w:rPr>
          <w:rFonts w:ascii="Times New Roman" w:hAnsi="Times New Roman" w:cs="Times New Roman"/>
          <w:i/>
        </w:rPr>
        <w:t xml:space="preserve">. In case of EMFF, </w:t>
      </w:r>
      <w:proofErr w:type="spellStart"/>
      <w:r w:rsidRPr="008C5F1C">
        <w:rPr>
          <w:rFonts w:ascii="Times New Roman" w:hAnsi="Times New Roman" w:cs="Times New Roman"/>
          <w:i/>
        </w:rPr>
        <w:t>title</w:t>
      </w:r>
      <w:proofErr w:type="spellEnd"/>
      <w:r w:rsidRPr="008C5F1C">
        <w:rPr>
          <w:rFonts w:ascii="Times New Roman" w:hAnsi="Times New Roman" w:cs="Times New Roman"/>
          <w:i/>
        </w:rPr>
        <w:t xml:space="preserve"> of </w:t>
      </w:r>
      <w:proofErr w:type="spellStart"/>
      <w:r w:rsidRPr="008C5F1C">
        <w:rPr>
          <w:rFonts w:ascii="Times New Roman" w:hAnsi="Times New Roman" w:cs="Times New Roman"/>
          <w:i/>
        </w:rPr>
        <w:t>the</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priority</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is</w:t>
      </w:r>
      <w:proofErr w:type="spellEnd"/>
      <w:r w:rsidRPr="008C5F1C">
        <w:rPr>
          <w:rFonts w:ascii="Times New Roman" w:hAnsi="Times New Roman" w:cs="Times New Roman"/>
          <w:i/>
        </w:rPr>
        <w:t xml:space="preserve"> pre-</w:t>
      </w:r>
      <w:proofErr w:type="spellStart"/>
      <w:r w:rsidRPr="008C5F1C">
        <w:rPr>
          <w:rFonts w:ascii="Times New Roman" w:hAnsi="Times New Roman" w:cs="Times New Roman"/>
          <w:i/>
        </w:rPr>
        <w:t>defined</w:t>
      </w:r>
      <w:proofErr w:type="spellEnd"/>
      <w:r w:rsidRPr="008C5F1C">
        <w:rPr>
          <w:rFonts w:ascii="Times New Roman" w:hAnsi="Times New Roman" w:cs="Times New Roman"/>
          <w:i/>
        </w:rPr>
        <w:t>.</w:t>
      </w:r>
    </w:p>
    <w:p w14:paraId="382FA414" w14:textId="6D7D632A" w:rsidR="00653571" w:rsidRDefault="00653571" w:rsidP="00653571">
      <w:pPr>
        <w:rPr>
          <w:rFonts w:ascii="Times New Roman" w:hAnsi="Times New Roman" w:cs="Times New Roman"/>
          <w:i/>
        </w:rPr>
      </w:pPr>
      <w:r w:rsidRPr="008C5F1C">
        <w:rPr>
          <w:rFonts w:ascii="Times New Roman" w:hAnsi="Times New Roman" w:cs="Times New Roman"/>
          <w:i/>
        </w:rPr>
        <w:t xml:space="preserve">** </w:t>
      </w:r>
      <w:proofErr w:type="spellStart"/>
      <w:r w:rsidRPr="008C5F1C">
        <w:rPr>
          <w:rFonts w:ascii="Times New Roman" w:hAnsi="Times New Roman" w:cs="Times New Roman"/>
          <w:i/>
        </w:rPr>
        <w:t>If</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marked</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go</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to</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section</w:t>
      </w:r>
      <w:proofErr w:type="spellEnd"/>
      <w:r w:rsidRPr="008C5F1C">
        <w:rPr>
          <w:rFonts w:ascii="Times New Roman" w:hAnsi="Times New Roman" w:cs="Times New Roman"/>
          <w:i/>
        </w:rPr>
        <w:t xml:space="preserve"> 2.A.2.a</w:t>
      </w:r>
    </w:p>
    <w:p w14:paraId="16B65415" w14:textId="77777777" w:rsidR="00653571" w:rsidRPr="008C5F1C" w:rsidRDefault="00653571" w:rsidP="00653571">
      <w:pPr>
        <w:pStyle w:val="Heading3"/>
        <w:numPr>
          <w:ilvl w:val="0"/>
          <w:numId w:val="0"/>
        </w:numPr>
        <w:rPr>
          <w:rFonts w:cs="Times New Roman"/>
          <w:b/>
          <w:i w:val="0"/>
          <w:lang w:val="ro-RO"/>
        </w:rPr>
      </w:pPr>
      <w:bookmarkStart w:id="117" w:name="_Toc39840935"/>
      <w:r w:rsidRPr="008C5F1C">
        <w:rPr>
          <w:rFonts w:cs="Times New Roman"/>
          <w:b/>
          <w:i w:val="0"/>
          <w:lang w:val="ro-RO"/>
        </w:rPr>
        <w:t xml:space="preserve">2.A.2 Indicative </w:t>
      </w:r>
      <w:proofErr w:type="spellStart"/>
      <w:r w:rsidRPr="008C5F1C">
        <w:rPr>
          <w:rFonts w:cs="Times New Roman"/>
          <w:b/>
          <w:i w:val="0"/>
          <w:lang w:val="ro-RO"/>
        </w:rPr>
        <w:t>breakdown</w:t>
      </w:r>
      <w:proofErr w:type="spellEnd"/>
      <w:r w:rsidRPr="008C5F1C">
        <w:rPr>
          <w:rFonts w:cs="Times New Roman"/>
          <w:b/>
          <w:i w:val="0"/>
          <w:lang w:val="ro-RO"/>
        </w:rPr>
        <w:t xml:space="preserve"> of </w:t>
      </w:r>
      <w:proofErr w:type="spellStart"/>
      <w:r w:rsidRPr="008C5F1C">
        <w:rPr>
          <w:rFonts w:cs="Times New Roman"/>
          <w:b/>
          <w:i w:val="0"/>
          <w:lang w:val="ro-RO"/>
        </w:rPr>
        <w:t>the</w:t>
      </w:r>
      <w:proofErr w:type="spellEnd"/>
      <w:r w:rsidRPr="008C5F1C">
        <w:rPr>
          <w:rFonts w:cs="Times New Roman"/>
          <w:b/>
          <w:i w:val="0"/>
          <w:lang w:val="ro-RO"/>
        </w:rPr>
        <w:t xml:space="preserve"> </w:t>
      </w:r>
      <w:proofErr w:type="spellStart"/>
      <w:r w:rsidRPr="008C5F1C">
        <w:rPr>
          <w:rFonts w:cs="Times New Roman"/>
          <w:b/>
          <w:i w:val="0"/>
          <w:lang w:val="ro-RO"/>
        </w:rPr>
        <w:t>programmed</w:t>
      </w:r>
      <w:proofErr w:type="spellEnd"/>
      <w:r w:rsidRPr="008C5F1C">
        <w:rPr>
          <w:rFonts w:cs="Times New Roman"/>
          <w:b/>
          <w:i w:val="0"/>
          <w:lang w:val="ro-RO"/>
        </w:rPr>
        <w:t xml:space="preserve"> </w:t>
      </w:r>
      <w:proofErr w:type="spellStart"/>
      <w:r w:rsidRPr="008C5F1C">
        <w:rPr>
          <w:rFonts w:cs="Times New Roman"/>
          <w:b/>
          <w:i w:val="0"/>
          <w:lang w:val="ro-RO"/>
        </w:rPr>
        <w:t>resources</w:t>
      </w:r>
      <w:proofErr w:type="spellEnd"/>
      <w:r w:rsidRPr="008C5F1C">
        <w:rPr>
          <w:rFonts w:cs="Times New Roman"/>
          <w:b/>
          <w:i w:val="0"/>
          <w:lang w:val="ro-RO"/>
        </w:rPr>
        <w:t xml:space="preserve"> (EU) </w:t>
      </w:r>
      <w:proofErr w:type="spellStart"/>
      <w:r w:rsidRPr="008C5F1C">
        <w:rPr>
          <w:rFonts w:cs="Times New Roman"/>
          <w:b/>
          <w:i w:val="0"/>
          <w:lang w:val="ro-RO"/>
        </w:rPr>
        <w:t>by</w:t>
      </w:r>
      <w:proofErr w:type="spellEnd"/>
      <w:r w:rsidRPr="008C5F1C">
        <w:rPr>
          <w:rFonts w:cs="Times New Roman"/>
          <w:b/>
          <w:i w:val="0"/>
          <w:lang w:val="ro-RO"/>
        </w:rPr>
        <w:t xml:space="preserve"> </w:t>
      </w:r>
      <w:proofErr w:type="spellStart"/>
      <w:r w:rsidRPr="008C5F1C">
        <w:rPr>
          <w:rFonts w:cs="Times New Roman"/>
          <w:b/>
          <w:i w:val="0"/>
          <w:lang w:val="ro-RO"/>
        </w:rPr>
        <w:t>type</w:t>
      </w:r>
      <w:proofErr w:type="spellEnd"/>
      <w:r w:rsidRPr="008C5F1C">
        <w:rPr>
          <w:rFonts w:cs="Times New Roman"/>
          <w:b/>
          <w:i w:val="0"/>
          <w:lang w:val="ro-RO"/>
        </w:rPr>
        <w:t xml:space="preserve"> of </w:t>
      </w:r>
      <w:proofErr w:type="spellStart"/>
      <w:r w:rsidRPr="008C5F1C">
        <w:rPr>
          <w:rFonts w:cs="Times New Roman"/>
          <w:b/>
          <w:i w:val="0"/>
          <w:lang w:val="ro-RO"/>
        </w:rPr>
        <w:t>intervention</w:t>
      </w:r>
      <w:proofErr w:type="spellEnd"/>
      <w:r w:rsidRPr="008C5F1C">
        <w:rPr>
          <w:rFonts w:cs="Times New Roman"/>
          <w:b/>
          <w:i w:val="0"/>
          <w:lang w:val="ro-RO"/>
        </w:rPr>
        <w:t xml:space="preserve"> </w:t>
      </w:r>
      <w:r w:rsidRPr="008C5F1C">
        <w:rPr>
          <w:rFonts w:cs="Times New Roman"/>
          <w:i w:val="0"/>
          <w:lang w:val="ro-RO"/>
        </w:rPr>
        <w:t>(</w:t>
      </w:r>
      <w:proofErr w:type="spellStart"/>
      <w:r w:rsidRPr="008C5F1C">
        <w:rPr>
          <w:rFonts w:cs="Times New Roman"/>
          <w:i w:val="0"/>
          <w:lang w:val="ro-RO"/>
        </w:rPr>
        <w:t>not</w:t>
      </w:r>
      <w:proofErr w:type="spellEnd"/>
      <w:r w:rsidRPr="008C5F1C">
        <w:rPr>
          <w:rFonts w:cs="Times New Roman"/>
          <w:i w:val="0"/>
          <w:lang w:val="ro-RO"/>
        </w:rPr>
        <w:t xml:space="preserve"> </w:t>
      </w:r>
      <w:proofErr w:type="spellStart"/>
      <w:r w:rsidRPr="008C5F1C">
        <w:rPr>
          <w:rFonts w:cs="Times New Roman"/>
          <w:i w:val="0"/>
          <w:lang w:val="ro-RO"/>
        </w:rPr>
        <w:t>applicable</w:t>
      </w:r>
      <w:proofErr w:type="spellEnd"/>
      <w:r w:rsidRPr="008C5F1C">
        <w:rPr>
          <w:rFonts w:cs="Times New Roman"/>
          <w:i w:val="0"/>
          <w:lang w:val="ro-RO"/>
        </w:rPr>
        <w:t xml:space="preserve"> </w:t>
      </w:r>
      <w:proofErr w:type="spellStart"/>
      <w:r w:rsidRPr="008C5F1C">
        <w:rPr>
          <w:rFonts w:cs="Times New Roman"/>
          <w:i w:val="0"/>
          <w:lang w:val="ro-RO"/>
        </w:rPr>
        <w:t>to</w:t>
      </w:r>
      <w:proofErr w:type="spellEnd"/>
      <w:r w:rsidRPr="008C5F1C">
        <w:rPr>
          <w:rFonts w:cs="Times New Roman"/>
          <w:i w:val="0"/>
          <w:lang w:val="ro-RO"/>
        </w:rPr>
        <w:t xml:space="preserve"> </w:t>
      </w:r>
      <w:proofErr w:type="spellStart"/>
      <w:r w:rsidRPr="008C5F1C">
        <w:rPr>
          <w:rFonts w:cs="Times New Roman"/>
          <w:i w:val="0"/>
          <w:lang w:val="ro-RO"/>
        </w:rPr>
        <w:t>the</w:t>
      </w:r>
      <w:proofErr w:type="spellEnd"/>
      <w:r w:rsidRPr="008C5F1C">
        <w:rPr>
          <w:rFonts w:cs="Times New Roman"/>
          <w:i w:val="0"/>
          <w:lang w:val="ro-RO"/>
        </w:rPr>
        <w:t xml:space="preserve"> EMFF) [</w:t>
      </w:r>
      <w:proofErr w:type="spellStart"/>
      <w:r w:rsidRPr="008C5F1C">
        <w:rPr>
          <w:rFonts w:cs="Times New Roman"/>
          <w:i w:val="0"/>
          <w:lang w:val="ro-RO"/>
        </w:rPr>
        <w:t>This</w:t>
      </w:r>
      <w:proofErr w:type="spellEnd"/>
      <w:r w:rsidRPr="008C5F1C">
        <w:rPr>
          <w:rFonts w:cs="Times New Roman"/>
          <w:i w:val="0"/>
          <w:lang w:val="ro-RO"/>
        </w:rPr>
        <w:t xml:space="preserve"> </w:t>
      </w:r>
      <w:proofErr w:type="spellStart"/>
      <w:r w:rsidRPr="008C5F1C">
        <w:rPr>
          <w:rFonts w:cs="Times New Roman"/>
          <w:i w:val="0"/>
          <w:lang w:val="ro-RO"/>
        </w:rPr>
        <w:t>was</w:t>
      </w:r>
      <w:proofErr w:type="spellEnd"/>
      <w:r w:rsidRPr="008C5F1C">
        <w:rPr>
          <w:rFonts w:cs="Times New Roman"/>
          <w:i w:val="0"/>
          <w:lang w:val="ro-RO"/>
        </w:rPr>
        <w:t xml:space="preserve"> </w:t>
      </w:r>
      <w:proofErr w:type="spellStart"/>
      <w:r w:rsidRPr="008C5F1C">
        <w:rPr>
          <w:rFonts w:cs="Times New Roman"/>
          <w:i w:val="0"/>
          <w:lang w:val="ro-RO"/>
        </w:rPr>
        <w:t>point</w:t>
      </w:r>
      <w:proofErr w:type="spellEnd"/>
      <w:r w:rsidRPr="008C5F1C">
        <w:rPr>
          <w:rFonts w:cs="Times New Roman"/>
          <w:i w:val="0"/>
          <w:lang w:val="ro-RO"/>
        </w:rPr>
        <w:t xml:space="preserve"> 2.1.1.3 in </w:t>
      </w:r>
      <w:proofErr w:type="spellStart"/>
      <w:r w:rsidRPr="008C5F1C">
        <w:rPr>
          <w:rFonts w:cs="Times New Roman"/>
          <w:i w:val="0"/>
          <w:lang w:val="ro-RO"/>
        </w:rPr>
        <w:t>the</w:t>
      </w:r>
      <w:proofErr w:type="spellEnd"/>
      <w:r w:rsidRPr="008C5F1C">
        <w:rPr>
          <w:rFonts w:cs="Times New Roman"/>
          <w:i w:val="0"/>
          <w:lang w:val="ro-RO"/>
        </w:rPr>
        <w:t xml:space="preserve"> </w:t>
      </w:r>
      <w:proofErr w:type="spellStart"/>
      <w:r w:rsidRPr="008C5F1C">
        <w:rPr>
          <w:rFonts w:cs="Times New Roman"/>
          <w:i w:val="0"/>
          <w:lang w:val="ro-RO"/>
        </w:rPr>
        <w:t>Commission</w:t>
      </w:r>
      <w:proofErr w:type="spellEnd"/>
      <w:r w:rsidRPr="008C5F1C">
        <w:rPr>
          <w:rFonts w:cs="Times New Roman"/>
          <w:i w:val="0"/>
          <w:lang w:val="ro-RO"/>
        </w:rPr>
        <w:t xml:space="preserve"> </w:t>
      </w:r>
      <w:proofErr w:type="spellStart"/>
      <w:r w:rsidRPr="008C5F1C">
        <w:rPr>
          <w:rFonts w:cs="Times New Roman"/>
          <w:i w:val="0"/>
          <w:lang w:val="ro-RO"/>
        </w:rPr>
        <w:t>proposal</w:t>
      </w:r>
      <w:proofErr w:type="spellEnd"/>
      <w:r w:rsidRPr="008C5F1C">
        <w:rPr>
          <w:rFonts w:cs="Times New Roman"/>
          <w:i w:val="0"/>
          <w:lang w:val="ro-RO"/>
        </w:rPr>
        <w:t xml:space="preserve"> </w:t>
      </w:r>
      <w:proofErr w:type="spellStart"/>
      <w:r w:rsidRPr="008C5F1C">
        <w:rPr>
          <w:rFonts w:cs="Times New Roman"/>
          <w:i w:val="0"/>
          <w:lang w:val="ro-RO"/>
        </w:rPr>
        <w:t>and</w:t>
      </w:r>
      <w:proofErr w:type="spellEnd"/>
      <w:r w:rsidRPr="008C5F1C">
        <w:rPr>
          <w:rFonts w:cs="Times New Roman"/>
          <w:i w:val="0"/>
          <w:lang w:val="ro-RO"/>
        </w:rPr>
        <w:t xml:space="preserve"> </w:t>
      </w:r>
      <w:proofErr w:type="spellStart"/>
      <w:r w:rsidRPr="008C5F1C">
        <w:rPr>
          <w:rFonts w:cs="Times New Roman"/>
          <w:i w:val="0"/>
          <w:lang w:val="ro-RO"/>
        </w:rPr>
        <w:t>has</w:t>
      </w:r>
      <w:proofErr w:type="spellEnd"/>
      <w:r w:rsidRPr="008C5F1C">
        <w:rPr>
          <w:rFonts w:cs="Times New Roman"/>
          <w:i w:val="0"/>
          <w:lang w:val="ro-RO"/>
        </w:rPr>
        <w:t xml:space="preserve"> </w:t>
      </w:r>
      <w:proofErr w:type="spellStart"/>
      <w:r w:rsidRPr="008C5F1C">
        <w:rPr>
          <w:rFonts w:cs="Times New Roman"/>
          <w:i w:val="0"/>
          <w:lang w:val="ro-RO"/>
        </w:rPr>
        <w:t>been</w:t>
      </w:r>
      <w:proofErr w:type="spellEnd"/>
      <w:r w:rsidRPr="008C5F1C">
        <w:rPr>
          <w:rFonts w:cs="Times New Roman"/>
          <w:i w:val="0"/>
          <w:lang w:val="ro-RO"/>
        </w:rPr>
        <w:t xml:space="preserve"> </w:t>
      </w:r>
      <w:proofErr w:type="spellStart"/>
      <w:r w:rsidRPr="008C5F1C">
        <w:rPr>
          <w:rFonts w:cs="Times New Roman"/>
          <w:i w:val="0"/>
          <w:lang w:val="ro-RO"/>
        </w:rPr>
        <w:t>moved</w:t>
      </w:r>
      <w:proofErr w:type="spellEnd"/>
      <w:r w:rsidRPr="008C5F1C">
        <w:rPr>
          <w:rFonts w:cs="Times New Roman"/>
          <w:i w:val="0"/>
          <w:lang w:val="ro-RO"/>
        </w:rPr>
        <w:t xml:space="preserve"> </w:t>
      </w:r>
      <w:proofErr w:type="spellStart"/>
      <w:r w:rsidRPr="008C5F1C">
        <w:rPr>
          <w:rFonts w:cs="Times New Roman"/>
          <w:i w:val="0"/>
          <w:lang w:val="ro-RO"/>
        </w:rPr>
        <w:t>up</w:t>
      </w:r>
      <w:proofErr w:type="spellEnd"/>
      <w:r w:rsidRPr="008C5F1C">
        <w:rPr>
          <w:rFonts w:cs="Times New Roman"/>
          <w:i w:val="0"/>
          <w:lang w:val="ro-RO"/>
        </w:rPr>
        <w:t xml:space="preserve"> </w:t>
      </w:r>
      <w:proofErr w:type="spellStart"/>
      <w:r w:rsidRPr="008C5F1C">
        <w:rPr>
          <w:rFonts w:cs="Times New Roman"/>
          <w:i w:val="0"/>
          <w:lang w:val="ro-RO"/>
        </w:rPr>
        <w:t>following</w:t>
      </w:r>
      <w:proofErr w:type="spellEnd"/>
      <w:r w:rsidRPr="008C5F1C">
        <w:rPr>
          <w:rFonts w:cs="Times New Roman"/>
          <w:i w:val="0"/>
          <w:lang w:val="ro-RO"/>
        </w:rPr>
        <w:t xml:space="preserve"> </w:t>
      </w:r>
      <w:proofErr w:type="spellStart"/>
      <w:r w:rsidRPr="008C5F1C">
        <w:rPr>
          <w:rFonts w:cs="Times New Roman"/>
          <w:i w:val="0"/>
          <w:lang w:val="ro-RO"/>
        </w:rPr>
        <w:t>changes</w:t>
      </w:r>
      <w:proofErr w:type="spellEnd"/>
      <w:r w:rsidRPr="008C5F1C">
        <w:rPr>
          <w:rFonts w:cs="Times New Roman"/>
          <w:i w:val="0"/>
          <w:lang w:val="ro-RO"/>
        </w:rPr>
        <w:t xml:space="preserve"> in </w:t>
      </w:r>
      <w:proofErr w:type="spellStart"/>
      <w:r w:rsidRPr="008C5F1C">
        <w:rPr>
          <w:rFonts w:cs="Times New Roman"/>
          <w:i w:val="0"/>
          <w:lang w:val="ro-RO"/>
        </w:rPr>
        <w:t>Article</w:t>
      </w:r>
      <w:proofErr w:type="spellEnd"/>
      <w:r w:rsidRPr="008C5F1C">
        <w:rPr>
          <w:rFonts w:cs="Times New Roman"/>
          <w:i w:val="0"/>
          <w:lang w:val="ro-RO"/>
        </w:rPr>
        <w:t xml:space="preserve"> 17(3)(c) CPR]</w:t>
      </w:r>
      <w:bookmarkEnd w:id="117"/>
    </w:p>
    <w:p w14:paraId="6BC461AC" w14:textId="77777777" w:rsidR="00653571" w:rsidRPr="008C5F1C" w:rsidRDefault="00653571" w:rsidP="00653571">
      <w:pPr>
        <w:rPr>
          <w:rFonts w:ascii="Times New Roman" w:hAnsi="Times New Roman" w:cs="Times New Roman"/>
          <w:b/>
          <w:i/>
          <w:iCs/>
        </w:rPr>
      </w:pPr>
      <w:proofErr w:type="spellStart"/>
      <w:r w:rsidRPr="008C5F1C">
        <w:rPr>
          <w:rFonts w:ascii="Times New Roman" w:hAnsi="Times New Roman" w:cs="Times New Roman"/>
          <w:i/>
        </w:rPr>
        <w:t>Reference</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Article</w:t>
      </w:r>
      <w:proofErr w:type="spellEnd"/>
      <w:r w:rsidRPr="008C5F1C">
        <w:rPr>
          <w:rFonts w:ascii="Times New Roman" w:hAnsi="Times New Roman" w:cs="Times New Roman"/>
          <w:i/>
        </w:rPr>
        <w:t xml:space="preserve"> 17(3)(c) CPR</w:t>
      </w: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
        <w:gridCol w:w="847"/>
        <w:gridCol w:w="1418"/>
        <w:gridCol w:w="5273"/>
        <w:gridCol w:w="1591"/>
      </w:tblGrid>
      <w:tr w:rsidR="00653571" w:rsidRPr="008C5F1C" w14:paraId="30AAD17B" w14:textId="77777777" w:rsidTr="00E453CE">
        <w:tc>
          <w:tcPr>
            <w:tcW w:w="10091" w:type="dxa"/>
            <w:gridSpan w:val="5"/>
            <w:tcBorders>
              <w:top w:val="single" w:sz="4" w:space="0" w:color="auto"/>
              <w:left w:val="single" w:sz="4" w:space="0" w:color="auto"/>
              <w:bottom w:val="single" w:sz="4" w:space="0" w:color="auto"/>
              <w:right w:val="single" w:sz="4" w:space="0" w:color="auto"/>
            </w:tcBorders>
            <w:hideMark/>
          </w:tcPr>
          <w:p w14:paraId="67E3FE97"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Table 4: </w:t>
            </w:r>
            <w:proofErr w:type="spellStart"/>
            <w:r w:rsidRPr="008C5F1C">
              <w:rPr>
                <w:rFonts w:ascii="Times New Roman" w:hAnsi="Times New Roman" w:cs="Times New Roman"/>
                <w:b/>
                <w:iCs/>
              </w:rPr>
              <w:t>Dimension</w:t>
            </w:r>
            <w:proofErr w:type="spellEnd"/>
            <w:r w:rsidRPr="008C5F1C">
              <w:rPr>
                <w:rFonts w:ascii="Times New Roman" w:hAnsi="Times New Roman" w:cs="Times New Roman"/>
                <w:b/>
                <w:iCs/>
              </w:rPr>
              <w:t xml:space="preserve"> 1 – </w:t>
            </w:r>
            <w:proofErr w:type="spellStart"/>
            <w:r w:rsidRPr="008C5F1C">
              <w:rPr>
                <w:rFonts w:ascii="Times New Roman" w:hAnsi="Times New Roman" w:cs="Times New Roman"/>
                <w:b/>
                <w:iCs/>
              </w:rPr>
              <w:t>intervention</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field</w:t>
            </w:r>
            <w:proofErr w:type="spellEnd"/>
          </w:p>
        </w:tc>
      </w:tr>
      <w:tr w:rsidR="00DF7BB3" w:rsidRPr="008C5F1C" w14:paraId="4FB29C60" w14:textId="77777777" w:rsidTr="00E453CE">
        <w:tc>
          <w:tcPr>
            <w:tcW w:w="962" w:type="dxa"/>
            <w:tcBorders>
              <w:top w:val="single" w:sz="4" w:space="0" w:color="auto"/>
              <w:left w:val="single" w:sz="4" w:space="0" w:color="auto"/>
              <w:bottom w:val="single" w:sz="4" w:space="0" w:color="auto"/>
              <w:right w:val="single" w:sz="4" w:space="0" w:color="auto"/>
            </w:tcBorders>
            <w:hideMark/>
          </w:tcPr>
          <w:p w14:paraId="2433215E"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Priority</w:t>
            </w:r>
            <w:proofErr w:type="spellEnd"/>
            <w:r w:rsidRPr="008C5F1C">
              <w:rPr>
                <w:rFonts w:ascii="Times New Roman" w:hAnsi="Times New Roman" w:cs="Times New Roman"/>
                <w:b/>
                <w:iCs/>
              </w:rPr>
              <w:t xml:space="preserve"> No</w:t>
            </w:r>
          </w:p>
        </w:tc>
        <w:tc>
          <w:tcPr>
            <w:tcW w:w="847" w:type="dxa"/>
            <w:tcBorders>
              <w:top w:val="single" w:sz="4" w:space="0" w:color="auto"/>
              <w:left w:val="single" w:sz="4" w:space="0" w:color="auto"/>
              <w:bottom w:val="single" w:sz="4" w:space="0" w:color="auto"/>
              <w:right w:val="single" w:sz="4" w:space="0" w:color="auto"/>
            </w:tcBorders>
            <w:hideMark/>
          </w:tcPr>
          <w:p w14:paraId="5893EA24"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Fund</w:t>
            </w:r>
          </w:p>
        </w:tc>
        <w:tc>
          <w:tcPr>
            <w:tcW w:w="1418" w:type="dxa"/>
            <w:tcBorders>
              <w:top w:val="single" w:sz="4" w:space="0" w:color="auto"/>
              <w:left w:val="single" w:sz="4" w:space="0" w:color="auto"/>
              <w:bottom w:val="single" w:sz="4" w:space="0" w:color="auto"/>
              <w:right w:val="single" w:sz="4" w:space="0" w:color="auto"/>
            </w:tcBorders>
            <w:hideMark/>
          </w:tcPr>
          <w:p w14:paraId="3D8A3C7F"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Category</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region</w:t>
            </w:r>
            <w:proofErr w:type="spellEnd"/>
            <w:r w:rsidRPr="008C5F1C">
              <w:rPr>
                <w:rFonts w:ascii="Times New Roman" w:hAnsi="Times New Roman" w:cs="Times New Roman"/>
                <w:b/>
                <w:iCs/>
                <w:vertAlign w:val="superscript"/>
              </w:rPr>
              <w:footnoteReference w:id="49"/>
            </w:r>
          </w:p>
        </w:tc>
        <w:tc>
          <w:tcPr>
            <w:tcW w:w="5273" w:type="dxa"/>
            <w:tcBorders>
              <w:top w:val="single" w:sz="4" w:space="0" w:color="auto"/>
              <w:left w:val="single" w:sz="4" w:space="0" w:color="auto"/>
              <w:bottom w:val="single" w:sz="4" w:space="0" w:color="auto"/>
              <w:right w:val="single" w:sz="4" w:space="0" w:color="auto"/>
            </w:tcBorders>
            <w:hideMark/>
          </w:tcPr>
          <w:p w14:paraId="7B3FB0AB"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Code </w:t>
            </w:r>
          </w:p>
        </w:tc>
        <w:tc>
          <w:tcPr>
            <w:tcW w:w="1591" w:type="dxa"/>
            <w:tcBorders>
              <w:top w:val="single" w:sz="4" w:space="0" w:color="auto"/>
              <w:left w:val="single" w:sz="4" w:space="0" w:color="auto"/>
              <w:bottom w:val="single" w:sz="4" w:space="0" w:color="auto"/>
              <w:right w:val="single" w:sz="4" w:space="0" w:color="auto"/>
            </w:tcBorders>
            <w:hideMark/>
          </w:tcPr>
          <w:p w14:paraId="55699CD6"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Amount</w:t>
            </w:r>
            <w:proofErr w:type="spellEnd"/>
            <w:r w:rsidRPr="008C5F1C">
              <w:rPr>
                <w:rFonts w:ascii="Times New Roman" w:hAnsi="Times New Roman" w:cs="Times New Roman"/>
                <w:b/>
                <w:iCs/>
              </w:rPr>
              <w:t xml:space="preserve"> (EUR)</w:t>
            </w:r>
          </w:p>
        </w:tc>
      </w:tr>
      <w:tr w:rsidR="006813E9" w:rsidRPr="008C5F1C" w14:paraId="7220F05F" w14:textId="77777777" w:rsidTr="00E453CE">
        <w:tc>
          <w:tcPr>
            <w:tcW w:w="962" w:type="dxa"/>
            <w:vMerge w:val="restart"/>
            <w:tcBorders>
              <w:top w:val="single" w:sz="4" w:space="0" w:color="auto"/>
              <w:left w:val="single" w:sz="4" w:space="0" w:color="auto"/>
              <w:right w:val="single" w:sz="4" w:space="0" w:color="auto"/>
            </w:tcBorders>
          </w:tcPr>
          <w:p w14:paraId="7FC97D4B" w14:textId="4F76CC1A" w:rsidR="006813E9" w:rsidRPr="008C5F1C" w:rsidRDefault="006813E9" w:rsidP="00534127">
            <w:pPr>
              <w:rPr>
                <w:rFonts w:ascii="Times New Roman" w:hAnsi="Times New Roman" w:cs="Times New Roman"/>
                <w:b/>
                <w:bCs/>
                <w:iCs/>
              </w:rPr>
            </w:pPr>
            <w:r w:rsidRPr="008C5F1C">
              <w:rPr>
                <w:rFonts w:ascii="Times New Roman" w:hAnsi="Times New Roman" w:cs="Times New Roman"/>
                <w:b/>
                <w:bCs/>
                <w:iCs/>
              </w:rPr>
              <w:t>3</w:t>
            </w:r>
          </w:p>
        </w:tc>
        <w:tc>
          <w:tcPr>
            <w:tcW w:w="847" w:type="dxa"/>
            <w:vMerge w:val="restart"/>
            <w:tcBorders>
              <w:top w:val="single" w:sz="4" w:space="0" w:color="auto"/>
              <w:left w:val="single" w:sz="4" w:space="0" w:color="auto"/>
              <w:right w:val="single" w:sz="4" w:space="0" w:color="auto"/>
            </w:tcBorders>
          </w:tcPr>
          <w:p w14:paraId="6FD8A0E7" w14:textId="67C62FAB" w:rsidR="006813E9" w:rsidRPr="008C5F1C" w:rsidRDefault="006813E9" w:rsidP="00534127">
            <w:pPr>
              <w:rPr>
                <w:rFonts w:ascii="Times New Roman" w:hAnsi="Times New Roman" w:cs="Times New Roman"/>
                <w:b/>
                <w:iCs/>
              </w:rPr>
            </w:pPr>
            <w:r w:rsidRPr="008C5F1C">
              <w:rPr>
                <w:rFonts w:ascii="Times New Roman" w:hAnsi="Times New Roman" w:cs="Times New Roman"/>
                <w:b/>
                <w:iCs/>
              </w:rPr>
              <w:t>ERDF</w:t>
            </w:r>
          </w:p>
        </w:tc>
        <w:tc>
          <w:tcPr>
            <w:tcW w:w="1418" w:type="dxa"/>
            <w:vMerge w:val="restart"/>
            <w:tcBorders>
              <w:top w:val="single" w:sz="4" w:space="0" w:color="auto"/>
              <w:left w:val="single" w:sz="4" w:space="0" w:color="auto"/>
              <w:right w:val="single" w:sz="4" w:space="0" w:color="auto"/>
            </w:tcBorders>
          </w:tcPr>
          <w:p w14:paraId="64A1A518" w14:textId="39E28170" w:rsidR="006813E9" w:rsidRPr="008C5F1C" w:rsidRDefault="006813E9" w:rsidP="00534127">
            <w:pPr>
              <w:rPr>
                <w:rFonts w:ascii="Times New Roman" w:hAnsi="Times New Roman" w:cs="Times New Roman"/>
                <w:b/>
                <w:iCs/>
              </w:rPr>
            </w:pPr>
            <w:proofErr w:type="spellStart"/>
            <w:r w:rsidRPr="008C5F1C">
              <w:rPr>
                <w:rFonts w:ascii="Times New Roman" w:hAnsi="Times New Roman" w:cs="Times New Roman"/>
                <w:b/>
                <w:iCs/>
              </w:rPr>
              <w:t>Less</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developed</w:t>
            </w:r>
            <w:proofErr w:type="spellEnd"/>
          </w:p>
        </w:tc>
        <w:tc>
          <w:tcPr>
            <w:tcW w:w="5273" w:type="dxa"/>
            <w:tcBorders>
              <w:top w:val="single" w:sz="4" w:space="0" w:color="auto"/>
              <w:left w:val="single" w:sz="4" w:space="0" w:color="auto"/>
              <w:bottom w:val="single" w:sz="4" w:space="0" w:color="auto"/>
              <w:right w:val="single" w:sz="4" w:space="0" w:color="auto"/>
            </w:tcBorders>
          </w:tcPr>
          <w:p w14:paraId="28476835" w14:textId="0A89664A" w:rsidR="006813E9" w:rsidRPr="006813E9" w:rsidRDefault="006813E9" w:rsidP="006813E9">
            <w:pPr>
              <w:spacing w:after="120" w:line="240" w:lineRule="auto"/>
              <w:rPr>
                <w:rFonts w:ascii="Times New Roman" w:hAnsi="Times New Roman" w:cs="Times New Roman"/>
                <w:iCs/>
              </w:rPr>
            </w:pPr>
            <w:r w:rsidRPr="00737060">
              <w:rPr>
                <w:rFonts w:ascii="Times New Roman" w:hAnsi="Times New Roman" w:cs="Times New Roman"/>
                <w:b/>
                <w:bCs/>
                <w:iCs/>
              </w:rPr>
              <w:t>039</w:t>
            </w:r>
            <w:r>
              <w:rPr>
                <w:rFonts w:ascii="Times New Roman" w:hAnsi="Times New Roman" w:cs="Times New Roman"/>
                <w:iCs/>
              </w:rPr>
              <w:t xml:space="preserve"> </w:t>
            </w:r>
            <w:r w:rsidRPr="00737060">
              <w:rPr>
                <w:rFonts w:ascii="Times New Roman" w:hAnsi="Times New Roman" w:cs="Times New Roman"/>
                <w:iCs/>
              </w:rPr>
              <w:t>Furnizare de apă destinată consumului uman (infrastructuri de extracție, tratare, stocare și distribuție, măsurile de eficiență, aprovizionare cu apă potabilă)</w:t>
            </w:r>
          </w:p>
        </w:tc>
        <w:tc>
          <w:tcPr>
            <w:tcW w:w="1591" w:type="dxa"/>
            <w:vMerge w:val="restart"/>
            <w:tcBorders>
              <w:top w:val="single" w:sz="4" w:space="0" w:color="auto"/>
              <w:left w:val="single" w:sz="4" w:space="0" w:color="auto"/>
              <w:right w:val="single" w:sz="4" w:space="0" w:color="auto"/>
            </w:tcBorders>
          </w:tcPr>
          <w:p w14:paraId="3A6556E2" w14:textId="77777777" w:rsidR="006813E9" w:rsidRDefault="006813E9" w:rsidP="009A2F43">
            <w:pPr>
              <w:jc w:val="right"/>
              <w:rPr>
                <w:rFonts w:ascii="Times New Roman" w:hAnsi="Times New Roman" w:cs="Times New Roman"/>
                <w:b/>
                <w:iCs/>
              </w:rPr>
            </w:pPr>
            <w:r w:rsidRPr="00737060">
              <w:rPr>
                <w:rFonts w:ascii="Times New Roman" w:hAnsi="Times New Roman" w:cs="Times New Roman"/>
                <w:b/>
                <w:iCs/>
              </w:rPr>
              <w:t>31</w:t>
            </w:r>
            <w:r>
              <w:rPr>
                <w:rFonts w:ascii="Times New Roman" w:hAnsi="Times New Roman" w:cs="Times New Roman"/>
                <w:b/>
                <w:iCs/>
              </w:rPr>
              <w:t>.</w:t>
            </w:r>
            <w:r w:rsidRPr="00737060">
              <w:rPr>
                <w:rFonts w:ascii="Times New Roman" w:hAnsi="Times New Roman" w:cs="Times New Roman"/>
                <w:b/>
                <w:iCs/>
              </w:rPr>
              <w:t>06</w:t>
            </w:r>
            <w:r>
              <w:rPr>
                <w:rFonts w:ascii="Times New Roman" w:hAnsi="Times New Roman" w:cs="Times New Roman"/>
                <w:b/>
                <w:iCs/>
              </w:rPr>
              <w:t>9.</w:t>
            </w:r>
            <w:r w:rsidRPr="00737060">
              <w:rPr>
                <w:rFonts w:ascii="Times New Roman" w:hAnsi="Times New Roman" w:cs="Times New Roman"/>
                <w:b/>
                <w:iCs/>
              </w:rPr>
              <w:t>3</w:t>
            </w:r>
            <w:r>
              <w:rPr>
                <w:rFonts w:ascii="Times New Roman" w:hAnsi="Times New Roman" w:cs="Times New Roman"/>
                <w:b/>
                <w:iCs/>
              </w:rPr>
              <w:t>81</w:t>
            </w:r>
          </w:p>
          <w:p w14:paraId="56756E9A" w14:textId="7E8E7682" w:rsidR="006813E9" w:rsidRDefault="006813E9" w:rsidP="009A2F43">
            <w:pPr>
              <w:jc w:val="right"/>
              <w:rPr>
                <w:rFonts w:ascii="Times New Roman" w:hAnsi="Times New Roman" w:cs="Times New Roman"/>
                <w:b/>
                <w:iCs/>
              </w:rPr>
            </w:pPr>
          </w:p>
        </w:tc>
      </w:tr>
      <w:tr w:rsidR="006813E9" w:rsidRPr="008C5F1C" w14:paraId="0397B0B3" w14:textId="77777777" w:rsidTr="00777EEC">
        <w:trPr>
          <w:trHeight w:val="318"/>
        </w:trPr>
        <w:tc>
          <w:tcPr>
            <w:tcW w:w="962" w:type="dxa"/>
            <w:vMerge/>
            <w:tcBorders>
              <w:top w:val="single" w:sz="4" w:space="0" w:color="auto"/>
              <w:left w:val="single" w:sz="4" w:space="0" w:color="auto"/>
              <w:right w:val="single" w:sz="4" w:space="0" w:color="auto"/>
            </w:tcBorders>
          </w:tcPr>
          <w:p w14:paraId="078CE348" w14:textId="77777777" w:rsidR="006813E9" w:rsidRPr="008C5F1C" w:rsidRDefault="006813E9" w:rsidP="00534127">
            <w:pPr>
              <w:rPr>
                <w:rFonts w:ascii="Times New Roman" w:hAnsi="Times New Roman" w:cs="Times New Roman"/>
                <w:b/>
                <w:bCs/>
                <w:iCs/>
              </w:rPr>
            </w:pPr>
          </w:p>
        </w:tc>
        <w:tc>
          <w:tcPr>
            <w:tcW w:w="847" w:type="dxa"/>
            <w:vMerge/>
            <w:tcBorders>
              <w:top w:val="single" w:sz="4" w:space="0" w:color="auto"/>
              <w:left w:val="single" w:sz="4" w:space="0" w:color="auto"/>
              <w:right w:val="single" w:sz="4" w:space="0" w:color="auto"/>
            </w:tcBorders>
          </w:tcPr>
          <w:p w14:paraId="42F7E44D" w14:textId="77777777" w:rsidR="006813E9" w:rsidRPr="008C5F1C" w:rsidRDefault="006813E9" w:rsidP="00534127">
            <w:pPr>
              <w:rPr>
                <w:rFonts w:ascii="Times New Roman" w:hAnsi="Times New Roman" w:cs="Times New Roman"/>
                <w:b/>
                <w:iCs/>
              </w:rPr>
            </w:pPr>
          </w:p>
        </w:tc>
        <w:tc>
          <w:tcPr>
            <w:tcW w:w="1418" w:type="dxa"/>
            <w:vMerge/>
            <w:tcBorders>
              <w:top w:val="single" w:sz="4" w:space="0" w:color="auto"/>
              <w:left w:val="single" w:sz="4" w:space="0" w:color="auto"/>
              <w:right w:val="single" w:sz="4" w:space="0" w:color="auto"/>
            </w:tcBorders>
          </w:tcPr>
          <w:p w14:paraId="3AFE2438" w14:textId="77777777" w:rsidR="006813E9" w:rsidRPr="008C5F1C" w:rsidRDefault="006813E9" w:rsidP="00534127">
            <w:pPr>
              <w:rPr>
                <w:rFonts w:ascii="Times New Roman" w:hAnsi="Times New Roman" w:cs="Times New Roman"/>
                <w:b/>
                <w:iCs/>
              </w:rPr>
            </w:pPr>
          </w:p>
        </w:tc>
        <w:tc>
          <w:tcPr>
            <w:tcW w:w="5273" w:type="dxa"/>
            <w:tcBorders>
              <w:top w:val="single" w:sz="4" w:space="0" w:color="auto"/>
              <w:left w:val="single" w:sz="4" w:space="0" w:color="auto"/>
              <w:bottom w:val="single" w:sz="4" w:space="0" w:color="auto"/>
              <w:right w:val="single" w:sz="4" w:space="0" w:color="auto"/>
            </w:tcBorders>
          </w:tcPr>
          <w:p w14:paraId="42C04A04" w14:textId="6F2C1E0A" w:rsidR="006813E9" w:rsidRPr="00737060" w:rsidRDefault="006813E9" w:rsidP="006813E9">
            <w:pPr>
              <w:spacing w:after="120" w:line="240" w:lineRule="auto"/>
              <w:rPr>
                <w:rFonts w:ascii="Times New Roman" w:hAnsi="Times New Roman" w:cs="Times New Roman"/>
                <w:b/>
                <w:bCs/>
                <w:iCs/>
              </w:rPr>
            </w:pPr>
            <w:r w:rsidRPr="00737060">
              <w:rPr>
                <w:rFonts w:ascii="Times New Roman" w:hAnsi="Times New Roman" w:cs="Times New Roman"/>
                <w:b/>
                <w:bCs/>
                <w:iCs/>
              </w:rPr>
              <w:t>041</w:t>
            </w:r>
            <w:r>
              <w:rPr>
                <w:rFonts w:ascii="Times New Roman" w:hAnsi="Times New Roman" w:cs="Times New Roman"/>
                <w:iCs/>
              </w:rPr>
              <w:t xml:space="preserve"> </w:t>
            </w:r>
            <w:r w:rsidRPr="00737060">
              <w:rPr>
                <w:rFonts w:ascii="Times New Roman" w:hAnsi="Times New Roman" w:cs="Times New Roman"/>
                <w:iCs/>
              </w:rPr>
              <w:t>Colectarea și tratarea apelor uzate</w:t>
            </w:r>
          </w:p>
        </w:tc>
        <w:tc>
          <w:tcPr>
            <w:tcW w:w="1591" w:type="dxa"/>
            <w:vMerge/>
            <w:tcBorders>
              <w:left w:val="single" w:sz="4" w:space="0" w:color="auto"/>
              <w:right w:val="single" w:sz="4" w:space="0" w:color="auto"/>
            </w:tcBorders>
          </w:tcPr>
          <w:p w14:paraId="65E454D7" w14:textId="77777777" w:rsidR="006813E9" w:rsidRPr="00737060" w:rsidRDefault="006813E9" w:rsidP="009A2F43">
            <w:pPr>
              <w:jc w:val="right"/>
              <w:rPr>
                <w:rFonts w:ascii="Times New Roman" w:hAnsi="Times New Roman" w:cs="Times New Roman"/>
                <w:b/>
                <w:iCs/>
              </w:rPr>
            </w:pPr>
          </w:p>
        </w:tc>
      </w:tr>
      <w:tr w:rsidR="00737060" w:rsidRPr="008C5F1C" w14:paraId="5105EFAE" w14:textId="77777777" w:rsidTr="00166138">
        <w:tc>
          <w:tcPr>
            <w:tcW w:w="962" w:type="dxa"/>
            <w:vMerge/>
            <w:tcBorders>
              <w:left w:val="single" w:sz="4" w:space="0" w:color="auto"/>
              <w:right w:val="single" w:sz="4" w:space="0" w:color="auto"/>
            </w:tcBorders>
          </w:tcPr>
          <w:p w14:paraId="1225F887" w14:textId="51FC19CE" w:rsidR="00737060" w:rsidRPr="008C5F1C" w:rsidRDefault="00737060" w:rsidP="00534127">
            <w:pPr>
              <w:rPr>
                <w:rFonts w:ascii="Times New Roman" w:hAnsi="Times New Roman" w:cs="Times New Roman"/>
                <w:b/>
                <w:bCs/>
                <w:iCs/>
              </w:rPr>
            </w:pPr>
          </w:p>
        </w:tc>
        <w:tc>
          <w:tcPr>
            <w:tcW w:w="847" w:type="dxa"/>
            <w:vMerge/>
            <w:tcBorders>
              <w:left w:val="single" w:sz="4" w:space="0" w:color="auto"/>
              <w:right w:val="single" w:sz="4" w:space="0" w:color="auto"/>
            </w:tcBorders>
          </w:tcPr>
          <w:p w14:paraId="55BC0ADD" w14:textId="690E61AE" w:rsidR="00737060" w:rsidRPr="008C5F1C" w:rsidRDefault="00737060" w:rsidP="00534127">
            <w:pPr>
              <w:rPr>
                <w:rFonts w:ascii="Times New Roman" w:hAnsi="Times New Roman" w:cs="Times New Roman"/>
                <w:b/>
                <w:iCs/>
              </w:rPr>
            </w:pPr>
          </w:p>
        </w:tc>
        <w:tc>
          <w:tcPr>
            <w:tcW w:w="1418" w:type="dxa"/>
            <w:vMerge/>
            <w:tcBorders>
              <w:left w:val="single" w:sz="4" w:space="0" w:color="auto"/>
              <w:right w:val="single" w:sz="4" w:space="0" w:color="auto"/>
            </w:tcBorders>
          </w:tcPr>
          <w:p w14:paraId="29F9A67D" w14:textId="1D434CB5" w:rsidR="00737060" w:rsidRPr="008C5F1C" w:rsidRDefault="00737060" w:rsidP="00534127">
            <w:pPr>
              <w:rPr>
                <w:rFonts w:ascii="Times New Roman" w:hAnsi="Times New Roman" w:cs="Times New Roman"/>
                <w:b/>
                <w:iCs/>
              </w:rPr>
            </w:pPr>
          </w:p>
        </w:tc>
        <w:tc>
          <w:tcPr>
            <w:tcW w:w="5273" w:type="dxa"/>
            <w:tcBorders>
              <w:top w:val="single" w:sz="4" w:space="0" w:color="auto"/>
              <w:left w:val="single" w:sz="4" w:space="0" w:color="auto"/>
              <w:bottom w:val="single" w:sz="4" w:space="0" w:color="auto"/>
              <w:right w:val="single" w:sz="4" w:space="0" w:color="auto"/>
            </w:tcBorders>
          </w:tcPr>
          <w:p w14:paraId="6974D9F5" w14:textId="77777777" w:rsidR="00737060" w:rsidRPr="00533593" w:rsidRDefault="00737060" w:rsidP="001A64EA">
            <w:pPr>
              <w:spacing w:after="120" w:line="240" w:lineRule="auto"/>
              <w:rPr>
                <w:rFonts w:ascii="Times New Roman" w:hAnsi="Times New Roman" w:cs="Times New Roman"/>
                <w:b/>
                <w:iCs/>
                <w:sz w:val="20"/>
                <w:szCs w:val="20"/>
              </w:rPr>
            </w:pPr>
            <w:r w:rsidRPr="00533593">
              <w:rPr>
                <w:rFonts w:ascii="Times New Roman" w:hAnsi="Times New Roman" w:cs="Times New Roman"/>
                <w:b/>
                <w:iCs/>
              </w:rPr>
              <w:t xml:space="preserve">025 </w:t>
            </w:r>
            <w:r w:rsidRPr="00533593">
              <w:rPr>
                <w:rFonts w:ascii="Times New Roman" w:hAnsi="Times New Roman" w:cs="Times New Roman"/>
                <w:noProof/>
                <w:sz w:val="20"/>
                <w:szCs w:val="20"/>
              </w:rPr>
              <w:t>Renovarea fondului locativ existent în vederea creșterii eficienței energetice, proiecte de demonstrare și măsuri de sprijin</w:t>
            </w:r>
            <w:r w:rsidRPr="00533593">
              <w:rPr>
                <w:rFonts w:ascii="Times New Roman" w:hAnsi="Times New Roman" w:cs="Times New Roman"/>
                <w:b/>
                <w:iCs/>
                <w:sz w:val="20"/>
                <w:szCs w:val="20"/>
              </w:rPr>
              <w:t xml:space="preserve"> </w:t>
            </w:r>
          </w:p>
        </w:tc>
        <w:tc>
          <w:tcPr>
            <w:tcW w:w="1591" w:type="dxa"/>
            <w:vMerge w:val="restart"/>
            <w:tcBorders>
              <w:top w:val="single" w:sz="4" w:space="0" w:color="auto"/>
              <w:left w:val="single" w:sz="4" w:space="0" w:color="auto"/>
              <w:right w:val="single" w:sz="4" w:space="0" w:color="auto"/>
            </w:tcBorders>
          </w:tcPr>
          <w:p w14:paraId="42DA6FF5" w14:textId="730B76E8" w:rsidR="00737060" w:rsidRPr="008C5F1C" w:rsidRDefault="00737060" w:rsidP="009A2F43">
            <w:pPr>
              <w:jc w:val="right"/>
              <w:rPr>
                <w:rFonts w:ascii="Times New Roman" w:hAnsi="Times New Roman" w:cs="Times New Roman"/>
                <w:b/>
                <w:iCs/>
              </w:rPr>
            </w:pPr>
            <w:r>
              <w:rPr>
                <w:rFonts w:ascii="Times New Roman" w:hAnsi="Times New Roman" w:cs="Times New Roman"/>
                <w:b/>
                <w:iCs/>
              </w:rPr>
              <w:t>104.996.81</w:t>
            </w:r>
            <w:r w:rsidR="00357AF6">
              <w:rPr>
                <w:rFonts w:ascii="Times New Roman" w:hAnsi="Times New Roman" w:cs="Times New Roman"/>
                <w:b/>
                <w:iCs/>
              </w:rPr>
              <w:t>4</w:t>
            </w:r>
          </w:p>
        </w:tc>
      </w:tr>
      <w:tr w:rsidR="00737060" w:rsidRPr="008C5F1C" w14:paraId="57DE70B0" w14:textId="77777777" w:rsidTr="00E453CE">
        <w:tc>
          <w:tcPr>
            <w:tcW w:w="962" w:type="dxa"/>
            <w:vMerge/>
            <w:tcBorders>
              <w:left w:val="single" w:sz="4" w:space="0" w:color="auto"/>
              <w:right w:val="single" w:sz="4" w:space="0" w:color="auto"/>
            </w:tcBorders>
          </w:tcPr>
          <w:p w14:paraId="6BC8D2B4" w14:textId="77777777" w:rsidR="00737060" w:rsidRPr="008C5F1C" w:rsidRDefault="00737060" w:rsidP="00534127">
            <w:pPr>
              <w:rPr>
                <w:rFonts w:ascii="Times New Roman" w:hAnsi="Times New Roman" w:cs="Times New Roman"/>
                <w:b/>
                <w:bCs/>
                <w:iCs/>
              </w:rPr>
            </w:pPr>
          </w:p>
        </w:tc>
        <w:tc>
          <w:tcPr>
            <w:tcW w:w="847" w:type="dxa"/>
            <w:vMerge/>
            <w:tcBorders>
              <w:left w:val="single" w:sz="4" w:space="0" w:color="auto"/>
              <w:right w:val="single" w:sz="4" w:space="0" w:color="auto"/>
            </w:tcBorders>
          </w:tcPr>
          <w:p w14:paraId="12484432" w14:textId="77777777" w:rsidR="00737060" w:rsidRPr="008C5F1C" w:rsidRDefault="00737060" w:rsidP="00534127">
            <w:pPr>
              <w:rPr>
                <w:rFonts w:ascii="Times New Roman" w:hAnsi="Times New Roman" w:cs="Times New Roman"/>
                <w:b/>
                <w:iCs/>
              </w:rPr>
            </w:pPr>
          </w:p>
        </w:tc>
        <w:tc>
          <w:tcPr>
            <w:tcW w:w="1418" w:type="dxa"/>
            <w:vMerge/>
            <w:tcBorders>
              <w:left w:val="single" w:sz="4" w:space="0" w:color="auto"/>
              <w:right w:val="single" w:sz="4" w:space="0" w:color="auto"/>
            </w:tcBorders>
          </w:tcPr>
          <w:p w14:paraId="796CEEED" w14:textId="77777777" w:rsidR="00737060" w:rsidRPr="008C5F1C" w:rsidRDefault="00737060" w:rsidP="00534127">
            <w:pPr>
              <w:rPr>
                <w:rFonts w:ascii="Times New Roman" w:hAnsi="Times New Roman" w:cs="Times New Roman"/>
                <w:b/>
                <w:iCs/>
              </w:rPr>
            </w:pPr>
          </w:p>
        </w:tc>
        <w:tc>
          <w:tcPr>
            <w:tcW w:w="5273" w:type="dxa"/>
            <w:tcBorders>
              <w:top w:val="single" w:sz="4" w:space="0" w:color="auto"/>
              <w:left w:val="single" w:sz="4" w:space="0" w:color="auto"/>
              <w:bottom w:val="single" w:sz="4" w:space="0" w:color="auto"/>
              <w:right w:val="single" w:sz="4" w:space="0" w:color="auto"/>
            </w:tcBorders>
          </w:tcPr>
          <w:p w14:paraId="63170636" w14:textId="77777777" w:rsidR="00737060" w:rsidRPr="00533593" w:rsidRDefault="00737060" w:rsidP="001A64EA">
            <w:pPr>
              <w:spacing w:after="120" w:line="240" w:lineRule="auto"/>
              <w:rPr>
                <w:rFonts w:ascii="Times New Roman" w:hAnsi="Times New Roman" w:cs="Times New Roman"/>
                <w:b/>
                <w:iCs/>
                <w:sz w:val="20"/>
                <w:szCs w:val="20"/>
              </w:rPr>
            </w:pPr>
            <w:r w:rsidRPr="00533593">
              <w:rPr>
                <w:rFonts w:ascii="Times New Roman" w:hAnsi="Times New Roman" w:cs="Times New Roman"/>
                <w:b/>
                <w:iCs/>
              </w:rPr>
              <w:t>026</w:t>
            </w:r>
            <w:r w:rsidRPr="00533593">
              <w:rPr>
                <w:rFonts w:ascii="Times New Roman" w:hAnsi="Times New Roman" w:cs="Times New Roman"/>
                <w:b/>
                <w:iCs/>
                <w:sz w:val="20"/>
                <w:szCs w:val="20"/>
              </w:rPr>
              <w:t xml:space="preserve"> </w:t>
            </w:r>
            <w:r w:rsidRPr="00533593">
              <w:rPr>
                <w:rFonts w:ascii="Times New Roman" w:hAnsi="Times New Roman" w:cs="Times New Roman"/>
                <w:noProof/>
                <w:sz w:val="20"/>
                <w:szCs w:val="20"/>
              </w:rPr>
              <w:t>Renovarea infrastructurilor publice în vederea creșterii eficienței energetice, proiecte de demonstrare și măsuri de sprijin</w:t>
            </w:r>
          </w:p>
        </w:tc>
        <w:tc>
          <w:tcPr>
            <w:tcW w:w="1591" w:type="dxa"/>
            <w:vMerge/>
            <w:tcBorders>
              <w:left w:val="single" w:sz="4" w:space="0" w:color="auto"/>
              <w:bottom w:val="single" w:sz="4" w:space="0" w:color="auto"/>
              <w:right w:val="single" w:sz="4" w:space="0" w:color="auto"/>
            </w:tcBorders>
          </w:tcPr>
          <w:p w14:paraId="0556393C" w14:textId="754801E7" w:rsidR="00737060" w:rsidRPr="008C5F1C" w:rsidRDefault="00737060" w:rsidP="009A2F43">
            <w:pPr>
              <w:jc w:val="right"/>
              <w:rPr>
                <w:rFonts w:ascii="Times New Roman" w:hAnsi="Times New Roman" w:cs="Times New Roman"/>
                <w:b/>
                <w:iCs/>
              </w:rPr>
            </w:pPr>
          </w:p>
        </w:tc>
      </w:tr>
      <w:tr w:rsidR="00737060" w:rsidRPr="008C5F1C" w14:paraId="32463AA1" w14:textId="77777777" w:rsidTr="00E453CE">
        <w:trPr>
          <w:trHeight w:val="340"/>
        </w:trPr>
        <w:tc>
          <w:tcPr>
            <w:tcW w:w="962" w:type="dxa"/>
            <w:vMerge/>
            <w:tcBorders>
              <w:left w:val="single" w:sz="4" w:space="0" w:color="auto"/>
              <w:right w:val="single" w:sz="4" w:space="0" w:color="auto"/>
            </w:tcBorders>
          </w:tcPr>
          <w:p w14:paraId="0B95EB21" w14:textId="77777777" w:rsidR="00737060" w:rsidRPr="008C5F1C" w:rsidRDefault="00737060" w:rsidP="00534127">
            <w:pPr>
              <w:rPr>
                <w:rFonts w:ascii="Times New Roman" w:hAnsi="Times New Roman" w:cs="Times New Roman"/>
                <w:b/>
                <w:bCs/>
                <w:iCs/>
              </w:rPr>
            </w:pPr>
          </w:p>
        </w:tc>
        <w:tc>
          <w:tcPr>
            <w:tcW w:w="847" w:type="dxa"/>
            <w:vMerge/>
            <w:tcBorders>
              <w:left w:val="single" w:sz="4" w:space="0" w:color="auto"/>
              <w:right w:val="single" w:sz="4" w:space="0" w:color="auto"/>
            </w:tcBorders>
          </w:tcPr>
          <w:p w14:paraId="116A06A4" w14:textId="77777777" w:rsidR="00737060" w:rsidRPr="008C5F1C" w:rsidRDefault="00737060" w:rsidP="00534127">
            <w:pPr>
              <w:rPr>
                <w:rFonts w:ascii="Times New Roman" w:hAnsi="Times New Roman" w:cs="Times New Roman"/>
                <w:b/>
                <w:iCs/>
              </w:rPr>
            </w:pPr>
          </w:p>
        </w:tc>
        <w:tc>
          <w:tcPr>
            <w:tcW w:w="1418" w:type="dxa"/>
            <w:vMerge/>
            <w:tcBorders>
              <w:left w:val="single" w:sz="4" w:space="0" w:color="auto"/>
              <w:right w:val="single" w:sz="4" w:space="0" w:color="auto"/>
            </w:tcBorders>
          </w:tcPr>
          <w:p w14:paraId="2B8D7727" w14:textId="77777777" w:rsidR="00737060" w:rsidRPr="008C5F1C" w:rsidRDefault="00737060" w:rsidP="00534127">
            <w:pPr>
              <w:rPr>
                <w:rFonts w:ascii="Times New Roman" w:hAnsi="Times New Roman" w:cs="Times New Roman"/>
                <w:b/>
                <w:iCs/>
              </w:rPr>
            </w:pPr>
          </w:p>
        </w:tc>
        <w:tc>
          <w:tcPr>
            <w:tcW w:w="5273" w:type="dxa"/>
            <w:tcBorders>
              <w:top w:val="single" w:sz="4" w:space="0" w:color="auto"/>
              <w:left w:val="single" w:sz="4" w:space="0" w:color="auto"/>
              <w:right w:val="single" w:sz="4" w:space="0" w:color="auto"/>
            </w:tcBorders>
          </w:tcPr>
          <w:p w14:paraId="6D20E822" w14:textId="77777777" w:rsidR="00737060" w:rsidRPr="00533593" w:rsidRDefault="00737060" w:rsidP="001A64EA">
            <w:pPr>
              <w:spacing w:after="120" w:line="240" w:lineRule="auto"/>
              <w:rPr>
                <w:rFonts w:ascii="Times New Roman" w:hAnsi="Times New Roman" w:cs="Times New Roman"/>
                <w:b/>
                <w:iCs/>
                <w:sz w:val="20"/>
                <w:szCs w:val="20"/>
              </w:rPr>
            </w:pPr>
            <w:r w:rsidRPr="00533593">
              <w:rPr>
                <w:rFonts w:ascii="Times New Roman" w:hAnsi="Times New Roman" w:cs="Times New Roman"/>
                <w:b/>
                <w:iCs/>
              </w:rPr>
              <w:t>046</w:t>
            </w:r>
            <w:r w:rsidRPr="00533593">
              <w:rPr>
                <w:rFonts w:ascii="Times New Roman" w:hAnsi="Times New Roman" w:cs="Times New Roman"/>
                <w:b/>
                <w:iCs/>
                <w:sz w:val="20"/>
                <w:szCs w:val="20"/>
              </w:rPr>
              <w:t xml:space="preserve"> </w:t>
            </w:r>
            <w:r w:rsidRPr="00533593">
              <w:rPr>
                <w:rFonts w:ascii="Times New Roman" w:hAnsi="Times New Roman" w:cs="Times New Roman"/>
                <w:noProof/>
                <w:sz w:val="20"/>
                <w:szCs w:val="20"/>
              </w:rPr>
              <w:t>Reabilitarea siturilor industriale și a terenurilor contaminate</w:t>
            </w:r>
          </w:p>
        </w:tc>
        <w:tc>
          <w:tcPr>
            <w:tcW w:w="1591" w:type="dxa"/>
            <w:vMerge w:val="restart"/>
            <w:tcBorders>
              <w:top w:val="single" w:sz="4" w:space="0" w:color="auto"/>
              <w:left w:val="single" w:sz="4" w:space="0" w:color="auto"/>
              <w:right w:val="single" w:sz="4" w:space="0" w:color="auto"/>
            </w:tcBorders>
          </w:tcPr>
          <w:p w14:paraId="22765FCF" w14:textId="1966574C" w:rsidR="00737060" w:rsidRPr="008C5F1C" w:rsidRDefault="00737060" w:rsidP="009A2F43">
            <w:pPr>
              <w:jc w:val="right"/>
              <w:rPr>
                <w:rFonts w:ascii="Times New Roman" w:hAnsi="Times New Roman" w:cs="Times New Roman"/>
                <w:b/>
                <w:iCs/>
              </w:rPr>
            </w:pPr>
            <w:r>
              <w:rPr>
                <w:rFonts w:ascii="Times New Roman" w:hAnsi="Times New Roman" w:cs="Times New Roman"/>
                <w:b/>
                <w:iCs/>
              </w:rPr>
              <w:t>118.56</w:t>
            </w:r>
            <w:r w:rsidR="00357AF6">
              <w:rPr>
                <w:rFonts w:ascii="Times New Roman" w:hAnsi="Times New Roman" w:cs="Times New Roman"/>
                <w:b/>
                <w:iCs/>
              </w:rPr>
              <w:t>7.787</w:t>
            </w:r>
          </w:p>
        </w:tc>
      </w:tr>
      <w:tr w:rsidR="00737060" w:rsidRPr="008C5F1C" w14:paraId="46E9E9FA" w14:textId="77777777" w:rsidTr="00E453CE">
        <w:tc>
          <w:tcPr>
            <w:tcW w:w="962" w:type="dxa"/>
            <w:vMerge/>
            <w:tcBorders>
              <w:left w:val="single" w:sz="4" w:space="0" w:color="auto"/>
              <w:right w:val="single" w:sz="4" w:space="0" w:color="auto"/>
            </w:tcBorders>
          </w:tcPr>
          <w:p w14:paraId="4B43EF54" w14:textId="77777777" w:rsidR="00737060" w:rsidRPr="008C5F1C" w:rsidRDefault="00737060" w:rsidP="00534127">
            <w:pPr>
              <w:rPr>
                <w:rFonts w:ascii="Times New Roman" w:hAnsi="Times New Roman" w:cs="Times New Roman"/>
                <w:b/>
                <w:bCs/>
                <w:iCs/>
              </w:rPr>
            </w:pPr>
          </w:p>
        </w:tc>
        <w:tc>
          <w:tcPr>
            <w:tcW w:w="847" w:type="dxa"/>
            <w:vMerge/>
            <w:tcBorders>
              <w:left w:val="single" w:sz="4" w:space="0" w:color="auto"/>
              <w:right w:val="single" w:sz="4" w:space="0" w:color="auto"/>
            </w:tcBorders>
          </w:tcPr>
          <w:p w14:paraId="0841563E" w14:textId="77777777" w:rsidR="00737060" w:rsidRPr="008C5F1C" w:rsidRDefault="00737060" w:rsidP="00534127">
            <w:pPr>
              <w:rPr>
                <w:rFonts w:ascii="Times New Roman" w:hAnsi="Times New Roman" w:cs="Times New Roman"/>
                <w:b/>
                <w:iCs/>
              </w:rPr>
            </w:pPr>
          </w:p>
        </w:tc>
        <w:tc>
          <w:tcPr>
            <w:tcW w:w="1418" w:type="dxa"/>
            <w:vMerge/>
            <w:tcBorders>
              <w:left w:val="single" w:sz="4" w:space="0" w:color="auto"/>
              <w:right w:val="single" w:sz="4" w:space="0" w:color="auto"/>
            </w:tcBorders>
          </w:tcPr>
          <w:p w14:paraId="4D962B24" w14:textId="77777777" w:rsidR="00737060" w:rsidRPr="008C5F1C" w:rsidRDefault="00737060" w:rsidP="00534127">
            <w:pPr>
              <w:rPr>
                <w:rFonts w:ascii="Times New Roman" w:hAnsi="Times New Roman" w:cs="Times New Roman"/>
                <w:b/>
                <w:iCs/>
              </w:rPr>
            </w:pPr>
          </w:p>
        </w:tc>
        <w:tc>
          <w:tcPr>
            <w:tcW w:w="5273" w:type="dxa"/>
            <w:tcBorders>
              <w:top w:val="single" w:sz="4" w:space="0" w:color="auto"/>
              <w:left w:val="single" w:sz="4" w:space="0" w:color="auto"/>
              <w:bottom w:val="single" w:sz="4" w:space="0" w:color="auto"/>
              <w:right w:val="single" w:sz="4" w:space="0" w:color="auto"/>
            </w:tcBorders>
          </w:tcPr>
          <w:p w14:paraId="1501DAC6" w14:textId="77777777" w:rsidR="00737060" w:rsidRPr="00533593" w:rsidRDefault="00737060" w:rsidP="001A64EA">
            <w:pPr>
              <w:spacing w:after="120" w:line="240" w:lineRule="auto"/>
              <w:rPr>
                <w:rFonts w:ascii="Times New Roman" w:hAnsi="Times New Roman" w:cs="Times New Roman"/>
                <w:b/>
                <w:iCs/>
                <w:sz w:val="20"/>
                <w:szCs w:val="20"/>
              </w:rPr>
            </w:pPr>
            <w:r w:rsidRPr="00533593">
              <w:rPr>
                <w:rFonts w:ascii="Times New Roman" w:hAnsi="Times New Roman" w:cs="Times New Roman"/>
                <w:b/>
                <w:iCs/>
              </w:rPr>
              <w:t>050</w:t>
            </w:r>
            <w:r w:rsidRPr="00533593">
              <w:rPr>
                <w:rFonts w:ascii="Times New Roman" w:hAnsi="Times New Roman" w:cs="Times New Roman"/>
                <w:b/>
                <w:iCs/>
                <w:sz w:val="20"/>
                <w:szCs w:val="20"/>
              </w:rPr>
              <w:t xml:space="preserve"> </w:t>
            </w:r>
            <w:r w:rsidRPr="00533593">
              <w:rPr>
                <w:rFonts w:ascii="Times New Roman" w:hAnsi="Times New Roman" w:cs="Times New Roman"/>
                <w:noProof/>
                <w:sz w:val="20"/>
                <w:szCs w:val="20"/>
              </w:rPr>
              <w:t>Protecția naturii și a biodiversității, infrastructura verde</w:t>
            </w:r>
          </w:p>
        </w:tc>
        <w:tc>
          <w:tcPr>
            <w:tcW w:w="1591" w:type="dxa"/>
            <w:vMerge/>
            <w:tcBorders>
              <w:left w:val="single" w:sz="4" w:space="0" w:color="auto"/>
              <w:bottom w:val="single" w:sz="4" w:space="0" w:color="auto"/>
              <w:right w:val="single" w:sz="4" w:space="0" w:color="auto"/>
            </w:tcBorders>
          </w:tcPr>
          <w:p w14:paraId="0332977B" w14:textId="350C47F7" w:rsidR="00737060" w:rsidRPr="008C5F1C" w:rsidRDefault="00737060" w:rsidP="009A2F43">
            <w:pPr>
              <w:jc w:val="right"/>
              <w:rPr>
                <w:rFonts w:ascii="Times New Roman" w:hAnsi="Times New Roman" w:cs="Times New Roman"/>
                <w:b/>
                <w:iCs/>
              </w:rPr>
            </w:pPr>
          </w:p>
        </w:tc>
      </w:tr>
      <w:tr w:rsidR="00737060" w:rsidRPr="008C5F1C" w14:paraId="46CD2FFD" w14:textId="77777777" w:rsidTr="00E453CE">
        <w:tc>
          <w:tcPr>
            <w:tcW w:w="962" w:type="dxa"/>
            <w:vMerge/>
            <w:tcBorders>
              <w:left w:val="single" w:sz="4" w:space="0" w:color="auto"/>
              <w:right w:val="single" w:sz="4" w:space="0" w:color="auto"/>
            </w:tcBorders>
          </w:tcPr>
          <w:p w14:paraId="16C200AE" w14:textId="77777777" w:rsidR="00737060" w:rsidRPr="008C5F1C" w:rsidRDefault="00737060" w:rsidP="008D169D">
            <w:pPr>
              <w:rPr>
                <w:rFonts w:ascii="Times New Roman" w:hAnsi="Times New Roman" w:cs="Times New Roman"/>
                <w:b/>
                <w:bCs/>
                <w:iCs/>
              </w:rPr>
            </w:pPr>
          </w:p>
        </w:tc>
        <w:tc>
          <w:tcPr>
            <w:tcW w:w="847" w:type="dxa"/>
            <w:vMerge/>
            <w:tcBorders>
              <w:left w:val="single" w:sz="4" w:space="0" w:color="auto"/>
              <w:right w:val="single" w:sz="4" w:space="0" w:color="auto"/>
            </w:tcBorders>
          </w:tcPr>
          <w:p w14:paraId="2BA0CA0F" w14:textId="77777777" w:rsidR="00737060" w:rsidRPr="008C5F1C" w:rsidRDefault="00737060" w:rsidP="008D169D">
            <w:pPr>
              <w:rPr>
                <w:rFonts w:ascii="Times New Roman" w:hAnsi="Times New Roman" w:cs="Times New Roman"/>
                <w:b/>
                <w:iCs/>
              </w:rPr>
            </w:pPr>
          </w:p>
        </w:tc>
        <w:tc>
          <w:tcPr>
            <w:tcW w:w="1418" w:type="dxa"/>
            <w:vMerge/>
            <w:tcBorders>
              <w:left w:val="single" w:sz="4" w:space="0" w:color="auto"/>
              <w:right w:val="single" w:sz="4" w:space="0" w:color="auto"/>
            </w:tcBorders>
          </w:tcPr>
          <w:p w14:paraId="527479CA" w14:textId="77777777" w:rsidR="00737060" w:rsidRPr="008C5F1C" w:rsidRDefault="00737060" w:rsidP="008D169D">
            <w:pPr>
              <w:rPr>
                <w:rFonts w:ascii="Times New Roman" w:hAnsi="Times New Roman" w:cs="Times New Roman"/>
                <w:b/>
                <w:iCs/>
              </w:rPr>
            </w:pPr>
          </w:p>
        </w:tc>
        <w:tc>
          <w:tcPr>
            <w:tcW w:w="5273" w:type="dxa"/>
            <w:tcBorders>
              <w:top w:val="single" w:sz="4" w:space="0" w:color="auto"/>
              <w:left w:val="single" w:sz="4" w:space="0" w:color="auto"/>
              <w:bottom w:val="single" w:sz="4" w:space="0" w:color="auto"/>
              <w:right w:val="single" w:sz="4" w:space="0" w:color="auto"/>
            </w:tcBorders>
          </w:tcPr>
          <w:p w14:paraId="59711A24" w14:textId="77777777" w:rsidR="00737060" w:rsidRPr="00533593" w:rsidRDefault="00737060" w:rsidP="001A64EA">
            <w:pPr>
              <w:spacing w:after="120" w:line="240" w:lineRule="auto"/>
              <w:rPr>
                <w:rFonts w:ascii="Times New Roman" w:hAnsi="Times New Roman" w:cs="Times New Roman"/>
                <w:b/>
                <w:iCs/>
                <w:sz w:val="20"/>
                <w:szCs w:val="20"/>
                <w:lang w:val="en-GB"/>
              </w:rPr>
            </w:pPr>
            <w:r w:rsidRPr="00533593">
              <w:rPr>
                <w:rFonts w:ascii="Times New Roman" w:hAnsi="Times New Roman" w:cs="Times New Roman"/>
                <w:b/>
                <w:iCs/>
              </w:rPr>
              <w:t>062</w:t>
            </w:r>
            <w:r w:rsidRPr="00533593">
              <w:rPr>
                <w:rFonts w:ascii="Times New Roman" w:hAnsi="Times New Roman" w:cs="Times New Roman"/>
                <w:b/>
                <w:iCs/>
                <w:sz w:val="20"/>
                <w:szCs w:val="20"/>
              </w:rPr>
              <w:t xml:space="preserve"> </w:t>
            </w:r>
            <w:r w:rsidRPr="00533593">
              <w:rPr>
                <w:rFonts w:ascii="Times New Roman" w:hAnsi="Times New Roman" w:cs="Times New Roman"/>
                <w:noProof/>
                <w:sz w:val="20"/>
                <w:szCs w:val="20"/>
              </w:rPr>
              <w:t>Alte drumuri reconstruite sau îmbunătățite (autostrăzi, drumuri naționale, regionale sau locale)</w:t>
            </w:r>
          </w:p>
        </w:tc>
        <w:tc>
          <w:tcPr>
            <w:tcW w:w="1591" w:type="dxa"/>
            <w:vMerge w:val="restart"/>
            <w:tcBorders>
              <w:top w:val="single" w:sz="4" w:space="0" w:color="auto"/>
              <w:left w:val="single" w:sz="4" w:space="0" w:color="auto"/>
              <w:right w:val="single" w:sz="4" w:space="0" w:color="auto"/>
            </w:tcBorders>
            <w:vAlign w:val="center"/>
          </w:tcPr>
          <w:p w14:paraId="6304B629" w14:textId="63ACF8A6" w:rsidR="00737060" w:rsidRPr="008C5F1C" w:rsidRDefault="00737060" w:rsidP="008D169D">
            <w:pPr>
              <w:jc w:val="right"/>
              <w:rPr>
                <w:rFonts w:ascii="Times New Roman" w:hAnsi="Times New Roman" w:cs="Times New Roman"/>
                <w:b/>
                <w:iCs/>
              </w:rPr>
            </w:pPr>
            <w:r w:rsidRPr="008C5F1C">
              <w:rPr>
                <w:rFonts w:ascii="Times New Roman" w:hAnsi="Times New Roman" w:cs="Times New Roman"/>
                <w:b/>
                <w:iCs/>
              </w:rPr>
              <w:t>2</w:t>
            </w:r>
            <w:r>
              <w:rPr>
                <w:rFonts w:ascii="Times New Roman" w:hAnsi="Times New Roman" w:cs="Times New Roman"/>
                <w:b/>
                <w:iCs/>
              </w:rPr>
              <w:t>1</w:t>
            </w:r>
            <w:r w:rsidRPr="008C5F1C">
              <w:rPr>
                <w:rFonts w:ascii="Times New Roman" w:hAnsi="Times New Roman" w:cs="Times New Roman"/>
                <w:b/>
                <w:iCs/>
              </w:rPr>
              <w:t>3.564.601</w:t>
            </w:r>
          </w:p>
        </w:tc>
      </w:tr>
      <w:tr w:rsidR="00737060" w:rsidRPr="008C5F1C" w14:paraId="0AB47E4E" w14:textId="77777777" w:rsidTr="00E453CE">
        <w:tc>
          <w:tcPr>
            <w:tcW w:w="962" w:type="dxa"/>
            <w:vMerge/>
            <w:tcBorders>
              <w:left w:val="single" w:sz="4" w:space="0" w:color="auto"/>
              <w:right w:val="single" w:sz="4" w:space="0" w:color="auto"/>
            </w:tcBorders>
          </w:tcPr>
          <w:p w14:paraId="48B6E8BB" w14:textId="77777777" w:rsidR="00737060" w:rsidRPr="008C5F1C" w:rsidRDefault="00737060" w:rsidP="008D169D">
            <w:pPr>
              <w:rPr>
                <w:rFonts w:ascii="Times New Roman" w:hAnsi="Times New Roman" w:cs="Times New Roman"/>
                <w:b/>
                <w:bCs/>
                <w:iCs/>
              </w:rPr>
            </w:pPr>
          </w:p>
        </w:tc>
        <w:tc>
          <w:tcPr>
            <w:tcW w:w="847" w:type="dxa"/>
            <w:vMerge/>
            <w:tcBorders>
              <w:left w:val="single" w:sz="4" w:space="0" w:color="auto"/>
              <w:right w:val="single" w:sz="4" w:space="0" w:color="auto"/>
            </w:tcBorders>
          </w:tcPr>
          <w:p w14:paraId="2C0B3663" w14:textId="77777777" w:rsidR="00737060" w:rsidRPr="008C5F1C" w:rsidRDefault="00737060" w:rsidP="008D169D">
            <w:pPr>
              <w:rPr>
                <w:rFonts w:ascii="Times New Roman" w:hAnsi="Times New Roman" w:cs="Times New Roman"/>
                <w:b/>
                <w:iCs/>
              </w:rPr>
            </w:pPr>
          </w:p>
        </w:tc>
        <w:tc>
          <w:tcPr>
            <w:tcW w:w="1418" w:type="dxa"/>
            <w:vMerge/>
            <w:tcBorders>
              <w:left w:val="single" w:sz="4" w:space="0" w:color="auto"/>
              <w:right w:val="single" w:sz="4" w:space="0" w:color="auto"/>
            </w:tcBorders>
          </w:tcPr>
          <w:p w14:paraId="45322F62" w14:textId="77777777" w:rsidR="00737060" w:rsidRPr="008C5F1C" w:rsidRDefault="00737060" w:rsidP="008D169D">
            <w:pPr>
              <w:rPr>
                <w:rFonts w:ascii="Times New Roman" w:hAnsi="Times New Roman" w:cs="Times New Roman"/>
                <w:b/>
                <w:iCs/>
              </w:rPr>
            </w:pPr>
          </w:p>
        </w:tc>
        <w:tc>
          <w:tcPr>
            <w:tcW w:w="5273" w:type="dxa"/>
            <w:tcBorders>
              <w:top w:val="single" w:sz="4" w:space="0" w:color="auto"/>
              <w:left w:val="single" w:sz="4" w:space="0" w:color="auto"/>
              <w:bottom w:val="single" w:sz="4" w:space="0" w:color="auto"/>
              <w:right w:val="single" w:sz="4" w:space="0" w:color="auto"/>
            </w:tcBorders>
          </w:tcPr>
          <w:p w14:paraId="31509E04" w14:textId="77777777" w:rsidR="00737060" w:rsidRPr="00533593" w:rsidRDefault="00737060" w:rsidP="001A64EA">
            <w:pPr>
              <w:spacing w:after="120" w:line="240" w:lineRule="auto"/>
              <w:rPr>
                <w:rFonts w:ascii="Times New Roman" w:hAnsi="Times New Roman" w:cs="Times New Roman"/>
                <w:b/>
                <w:iCs/>
                <w:sz w:val="20"/>
                <w:szCs w:val="20"/>
              </w:rPr>
            </w:pPr>
            <w:r w:rsidRPr="00533593">
              <w:rPr>
                <w:rFonts w:ascii="Times New Roman" w:hAnsi="Times New Roman" w:cs="Times New Roman"/>
                <w:b/>
                <w:iCs/>
              </w:rPr>
              <w:t>073</w:t>
            </w:r>
            <w:r w:rsidRPr="00533593">
              <w:rPr>
                <w:rFonts w:ascii="Times New Roman" w:hAnsi="Times New Roman" w:cs="Times New Roman"/>
                <w:b/>
                <w:iCs/>
                <w:sz w:val="20"/>
                <w:szCs w:val="20"/>
              </w:rPr>
              <w:t xml:space="preserve"> </w:t>
            </w:r>
            <w:r w:rsidRPr="00533593">
              <w:rPr>
                <w:rFonts w:ascii="Times New Roman" w:hAnsi="Times New Roman" w:cs="Times New Roman"/>
                <w:noProof/>
                <w:sz w:val="20"/>
                <w:szCs w:val="20"/>
              </w:rPr>
              <w:t>Infrastructuri de transporturi urbane curate</w:t>
            </w:r>
          </w:p>
        </w:tc>
        <w:tc>
          <w:tcPr>
            <w:tcW w:w="1591" w:type="dxa"/>
            <w:vMerge/>
            <w:tcBorders>
              <w:left w:val="single" w:sz="4" w:space="0" w:color="auto"/>
              <w:right w:val="single" w:sz="4" w:space="0" w:color="auto"/>
            </w:tcBorders>
            <w:vAlign w:val="center"/>
          </w:tcPr>
          <w:p w14:paraId="7CCACA01" w14:textId="38E21B15" w:rsidR="00737060" w:rsidRPr="008C5F1C" w:rsidRDefault="00737060" w:rsidP="008D169D">
            <w:pPr>
              <w:jc w:val="right"/>
              <w:rPr>
                <w:rFonts w:ascii="Times New Roman" w:hAnsi="Times New Roman" w:cs="Times New Roman"/>
                <w:b/>
                <w:iCs/>
              </w:rPr>
            </w:pPr>
          </w:p>
        </w:tc>
      </w:tr>
      <w:tr w:rsidR="00737060" w:rsidRPr="008C5F1C" w14:paraId="1870DF23" w14:textId="77777777" w:rsidTr="00E453CE">
        <w:tc>
          <w:tcPr>
            <w:tcW w:w="962" w:type="dxa"/>
            <w:vMerge/>
            <w:tcBorders>
              <w:left w:val="single" w:sz="4" w:space="0" w:color="auto"/>
              <w:right w:val="single" w:sz="4" w:space="0" w:color="auto"/>
            </w:tcBorders>
          </w:tcPr>
          <w:p w14:paraId="495E2637" w14:textId="77777777" w:rsidR="00737060" w:rsidRPr="008C5F1C" w:rsidRDefault="00737060" w:rsidP="008D169D">
            <w:pPr>
              <w:rPr>
                <w:rFonts w:ascii="Times New Roman" w:hAnsi="Times New Roman" w:cs="Times New Roman"/>
                <w:b/>
                <w:bCs/>
                <w:iCs/>
              </w:rPr>
            </w:pPr>
          </w:p>
        </w:tc>
        <w:tc>
          <w:tcPr>
            <w:tcW w:w="847" w:type="dxa"/>
            <w:vMerge/>
            <w:tcBorders>
              <w:left w:val="single" w:sz="4" w:space="0" w:color="auto"/>
              <w:right w:val="single" w:sz="4" w:space="0" w:color="auto"/>
            </w:tcBorders>
          </w:tcPr>
          <w:p w14:paraId="3BECE871" w14:textId="77777777" w:rsidR="00737060" w:rsidRPr="008C5F1C" w:rsidRDefault="00737060" w:rsidP="008D169D">
            <w:pPr>
              <w:rPr>
                <w:rFonts w:ascii="Times New Roman" w:hAnsi="Times New Roman" w:cs="Times New Roman"/>
                <w:b/>
                <w:iCs/>
              </w:rPr>
            </w:pPr>
          </w:p>
        </w:tc>
        <w:tc>
          <w:tcPr>
            <w:tcW w:w="1418" w:type="dxa"/>
            <w:vMerge/>
            <w:tcBorders>
              <w:left w:val="single" w:sz="4" w:space="0" w:color="auto"/>
              <w:right w:val="single" w:sz="4" w:space="0" w:color="auto"/>
            </w:tcBorders>
          </w:tcPr>
          <w:p w14:paraId="0A9E1670" w14:textId="77777777" w:rsidR="00737060" w:rsidRPr="008C5F1C" w:rsidRDefault="00737060" w:rsidP="008D169D">
            <w:pPr>
              <w:rPr>
                <w:rFonts w:ascii="Times New Roman" w:hAnsi="Times New Roman" w:cs="Times New Roman"/>
                <w:b/>
                <w:iCs/>
              </w:rPr>
            </w:pPr>
          </w:p>
        </w:tc>
        <w:tc>
          <w:tcPr>
            <w:tcW w:w="5273" w:type="dxa"/>
            <w:tcBorders>
              <w:top w:val="single" w:sz="4" w:space="0" w:color="auto"/>
              <w:left w:val="single" w:sz="4" w:space="0" w:color="auto"/>
              <w:bottom w:val="single" w:sz="4" w:space="0" w:color="auto"/>
              <w:right w:val="single" w:sz="4" w:space="0" w:color="auto"/>
            </w:tcBorders>
          </w:tcPr>
          <w:p w14:paraId="6DCF82ED" w14:textId="77777777" w:rsidR="00737060" w:rsidRPr="00533593" w:rsidRDefault="00737060" w:rsidP="001A64EA">
            <w:pPr>
              <w:spacing w:after="120" w:line="240" w:lineRule="auto"/>
              <w:rPr>
                <w:rFonts w:ascii="Times New Roman" w:hAnsi="Times New Roman" w:cs="Times New Roman"/>
                <w:b/>
                <w:iCs/>
                <w:sz w:val="20"/>
                <w:szCs w:val="20"/>
              </w:rPr>
            </w:pPr>
            <w:r w:rsidRPr="00533593">
              <w:rPr>
                <w:rFonts w:ascii="Times New Roman" w:hAnsi="Times New Roman" w:cs="Times New Roman"/>
                <w:b/>
                <w:iCs/>
              </w:rPr>
              <w:t>074</w:t>
            </w:r>
            <w:r w:rsidRPr="00533593">
              <w:rPr>
                <w:rFonts w:ascii="Times New Roman" w:hAnsi="Times New Roman" w:cs="Times New Roman"/>
                <w:b/>
                <w:iCs/>
                <w:sz w:val="20"/>
                <w:szCs w:val="20"/>
              </w:rPr>
              <w:t xml:space="preserve"> </w:t>
            </w:r>
            <w:r w:rsidRPr="00533593">
              <w:rPr>
                <w:rFonts w:ascii="Times New Roman" w:hAnsi="Times New Roman" w:cs="Times New Roman"/>
                <w:noProof/>
                <w:sz w:val="20"/>
                <w:szCs w:val="20"/>
              </w:rPr>
              <w:t>Material rulant de transport urban curat</w:t>
            </w:r>
          </w:p>
        </w:tc>
        <w:tc>
          <w:tcPr>
            <w:tcW w:w="1591" w:type="dxa"/>
            <w:vMerge/>
            <w:tcBorders>
              <w:left w:val="single" w:sz="4" w:space="0" w:color="auto"/>
              <w:right w:val="single" w:sz="4" w:space="0" w:color="auto"/>
            </w:tcBorders>
            <w:vAlign w:val="center"/>
          </w:tcPr>
          <w:p w14:paraId="4CDEBFCC" w14:textId="603E0F97" w:rsidR="00737060" w:rsidRPr="008C5F1C" w:rsidRDefault="00737060" w:rsidP="008D169D">
            <w:pPr>
              <w:jc w:val="right"/>
              <w:rPr>
                <w:rFonts w:ascii="Times New Roman" w:hAnsi="Times New Roman" w:cs="Times New Roman"/>
                <w:b/>
                <w:iCs/>
              </w:rPr>
            </w:pPr>
          </w:p>
        </w:tc>
      </w:tr>
      <w:tr w:rsidR="00737060" w:rsidRPr="008C5F1C" w14:paraId="3A770B7D" w14:textId="77777777" w:rsidTr="00E453CE">
        <w:trPr>
          <w:trHeight w:val="63"/>
        </w:trPr>
        <w:tc>
          <w:tcPr>
            <w:tcW w:w="962" w:type="dxa"/>
            <w:vMerge/>
            <w:tcBorders>
              <w:left w:val="single" w:sz="4" w:space="0" w:color="auto"/>
              <w:right w:val="single" w:sz="4" w:space="0" w:color="auto"/>
            </w:tcBorders>
          </w:tcPr>
          <w:p w14:paraId="3D2CF604" w14:textId="77777777" w:rsidR="00737060" w:rsidRPr="008C5F1C" w:rsidRDefault="00737060" w:rsidP="008D169D">
            <w:pPr>
              <w:rPr>
                <w:rFonts w:ascii="Times New Roman" w:hAnsi="Times New Roman" w:cs="Times New Roman"/>
                <w:b/>
                <w:bCs/>
                <w:iCs/>
              </w:rPr>
            </w:pPr>
          </w:p>
        </w:tc>
        <w:tc>
          <w:tcPr>
            <w:tcW w:w="847" w:type="dxa"/>
            <w:vMerge/>
            <w:tcBorders>
              <w:left w:val="single" w:sz="4" w:space="0" w:color="auto"/>
              <w:right w:val="single" w:sz="4" w:space="0" w:color="auto"/>
            </w:tcBorders>
          </w:tcPr>
          <w:p w14:paraId="00E6C90E" w14:textId="77777777" w:rsidR="00737060" w:rsidRPr="008C5F1C" w:rsidRDefault="00737060" w:rsidP="008D169D">
            <w:pPr>
              <w:rPr>
                <w:rFonts w:ascii="Times New Roman" w:hAnsi="Times New Roman" w:cs="Times New Roman"/>
                <w:b/>
                <w:iCs/>
              </w:rPr>
            </w:pPr>
          </w:p>
        </w:tc>
        <w:tc>
          <w:tcPr>
            <w:tcW w:w="1418" w:type="dxa"/>
            <w:vMerge/>
            <w:tcBorders>
              <w:left w:val="single" w:sz="4" w:space="0" w:color="auto"/>
              <w:right w:val="single" w:sz="4" w:space="0" w:color="auto"/>
            </w:tcBorders>
          </w:tcPr>
          <w:p w14:paraId="30BBCA25" w14:textId="77777777" w:rsidR="00737060" w:rsidRPr="008C5F1C" w:rsidRDefault="00737060" w:rsidP="008D169D">
            <w:pPr>
              <w:rPr>
                <w:rFonts w:ascii="Times New Roman" w:hAnsi="Times New Roman" w:cs="Times New Roman"/>
                <w:b/>
                <w:iCs/>
              </w:rPr>
            </w:pPr>
          </w:p>
        </w:tc>
        <w:tc>
          <w:tcPr>
            <w:tcW w:w="5273" w:type="dxa"/>
            <w:tcBorders>
              <w:top w:val="single" w:sz="4" w:space="0" w:color="auto"/>
              <w:left w:val="single" w:sz="4" w:space="0" w:color="auto"/>
              <w:bottom w:val="single" w:sz="4" w:space="0" w:color="auto"/>
              <w:right w:val="single" w:sz="4" w:space="0" w:color="auto"/>
            </w:tcBorders>
          </w:tcPr>
          <w:p w14:paraId="2F46BFCA" w14:textId="77777777" w:rsidR="00737060" w:rsidRPr="00533593" w:rsidRDefault="00737060" w:rsidP="001A64EA">
            <w:pPr>
              <w:spacing w:after="120" w:line="240" w:lineRule="auto"/>
              <w:rPr>
                <w:rFonts w:ascii="Times New Roman" w:hAnsi="Times New Roman" w:cs="Times New Roman"/>
                <w:b/>
                <w:iCs/>
                <w:sz w:val="20"/>
                <w:szCs w:val="20"/>
              </w:rPr>
            </w:pPr>
            <w:r w:rsidRPr="00533593">
              <w:rPr>
                <w:rFonts w:ascii="Times New Roman" w:hAnsi="Times New Roman" w:cs="Times New Roman"/>
                <w:b/>
                <w:iCs/>
              </w:rPr>
              <w:t>075</w:t>
            </w:r>
            <w:r w:rsidRPr="00533593">
              <w:rPr>
                <w:rFonts w:ascii="Times New Roman" w:hAnsi="Times New Roman" w:cs="Times New Roman"/>
                <w:b/>
                <w:iCs/>
                <w:sz w:val="20"/>
                <w:szCs w:val="20"/>
              </w:rPr>
              <w:t xml:space="preserve"> </w:t>
            </w:r>
            <w:r w:rsidRPr="00533593">
              <w:rPr>
                <w:rFonts w:ascii="Times New Roman" w:hAnsi="Times New Roman" w:cs="Times New Roman"/>
                <w:noProof/>
                <w:sz w:val="20"/>
                <w:szCs w:val="20"/>
              </w:rPr>
              <w:t>Infrastructuri de ciclism</w:t>
            </w:r>
          </w:p>
        </w:tc>
        <w:tc>
          <w:tcPr>
            <w:tcW w:w="1591" w:type="dxa"/>
            <w:vMerge/>
            <w:tcBorders>
              <w:left w:val="single" w:sz="4" w:space="0" w:color="auto"/>
              <w:right w:val="single" w:sz="4" w:space="0" w:color="auto"/>
            </w:tcBorders>
            <w:vAlign w:val="center"/>
          </w:tcPr>
          <w:p w14:paraId="48387F43" w14:textId="785CF26B" w:rsidR="00737060" w:rsidRPr="008C5F1C" w:rsidRDefault="00737060" w:rsidP="008D169D">
            <w:pPr>
              <w:jc w:val="right"/>
              <w:rPr>
                <w:rFonts w:ascii="Times New Roman" w:hAnsi="Times New Roman" w:cs="Times New Roman"/>
                <w:b/>
                <w:iCs/>
              </w:rPr>
            </w:pPr>
          </w:p>
        </w:tc>
      </w:tr>
      <w:tr w:rsidR="00737060" w:rsidRPr="008C5F1C" w14:paraId="438A6613" w14:textId="77777777" w:rsidTr="00E453CE">
        <w:tc>
          <w:tcPr>
            <w:tcW w:w="962" w:type="dxa"/>
            <w:vMerge/>
            <w:tcBorders>
              <w:left w:val="single" w:sz="4" w:space="0" w:color="auto"/>
              <w:right w:val="single" w:sz="4" w:space="0" w:color="auto"/>
            </w:tcBorders>
          </w:tcPr>
          <w:p w14:paraId="040089FD" w14:textId="77777777" w:rsidR="00737060" w:rsidRPr="008C5F1C" w:rsidRDefault="00737060" w:rsidP="008D169D">
            <w:pPr>
              <w:rPr>
                <w:rFonts w:ascii="Times New Roman" w:hAnsi="Times New Roman" w:cs="Times New Roman"/>
                <w:b/>
                <w:bCs/>
                <w:iCs/>
              </w:rPr>
            </w:pPr>
          </w:p>
        </w:tc>
        <w:tc>
          <w:tcPr>
            <w:tcW w:w="847" w:type="dxa"/>
            <w:vMerge/>
            <w:tcBorders>
              <w:left w:val="single" w:sz="4" w:space="0" w:color="auto"/>
              <w:right w:val="single" w:sz="4" w:space="0" w:color="auto"/>
            </w:tcBorders>
          </w:tcPr>
          <w:p w14:paraId="23BA5EA4" w14:textId="77777777" w:rsidR="00737060" w:rsidRPr="008C5F1C" w:rsidRDefault="00737060" w:rsidP="008D169D">
            <w:pPr>
              <w:rPr>
                <w:rFonts w:ascii="Times New Roman" w:hAnsi="Times New Roman" w:cs="Times New Roman"/>
                <w:b/>
                <w:iCs/>
              </w:rPr>
            </w:pPr>
          </w:p>
        </w:tc>
        <w:tc>
          <w:tcPr>
            <w:tcW w:w="1418" w:type="dxa"/>
            <w:vMerge/>
            <w:tcBorders>
              <w:left w:val="single" w:sz="4" w:space="0" w:color="auto"/>
              <w:right w:val="single" w:sz="4" w:space="0" w:color="auto"/>
            </w:tcBorders>
          </w:tcPr>
          <w:p w14:paraId="3FCD881A" w14:textId="77777777" w:rsidR="00737060" w:rsidRPr="008C5F1C" w:rsidRDefault="00737060" w:rsidP="008D169D">
            <w:pPr>
              <w:rPr>
                <w:rFonts w:ascii="Times New Roman" w:hAnsi="Times New Roman" w:cs="Times New Roman"/>
                <w:b/>
                <w:iCs/>
              </w:rPr>
            </w:pPr>
          </w:p>
        </w:tc>
        <w:tc>
          <w:tcPr>
            <w:tcW w:w="5273" w:type="dxa"/>
            <w:tcBorders>
              <w:top w:val="single" w:sz="4" w:space="0" w:color="auto"/>
              <w:left w:val="single" w:sz="4" w:space="0" w:color="auto"/>
              <w:bottom w:val="single" w:sz="4" w:space="0" w:color="auto"/>
              <w:right w:val="single" w:sz="4" w:space="0" w:color="auto"/>
            </w:tcBorders>
          </w:tcPr>
          <w:p w14:paraId="4AEB3512" w14:textId="77777777" w:rsidR="00737060" w:rsidRPr="00533593" w:rsidRDefault="00737060" w:rsidP="001A64EA">
            <w:pPr>
              <w:spacing w:after="120" w:line="240" w:lineRule="auto"/>
              <w:rPr>
                <w:rFonts w:ascii="Times New Roman" w:hAnsi="Times New Roman" w:cs="Times New Roman"/>
                <w:b/>
                <w:iCs/>
                <w:sz w:val="20"/>
                <w:szCs w:val="20"/>
              </w:rPr>
            </w:pPr>
            <w:r w:rsidRPr="00533593">
              <w:rPr>
                <w:rFonts w:ascii="Times New Roman" w:hAnsi="Times New Roman" w:cs="Times New Roman"/>
                <w:b/>
                <w:iCs/>
              </w:rPr>
              <w:t>076</w:t>
            </w:r>
            <w:r w:rsidRPr="00533593">
              <w:rPr>
                <w:rFonts w:ascii="Times New Roman" w:hAnsi="Times New Roman" w:cs="Times New Roman"/>
                <w:b/>
                <w:iCs/>
                <w:sz w:val="20"/>
                <w:szCs w:val="20"/>
              </w:rPr>
              <w:t xml:space="preserve"> </w:t>
            </w:r>
            <w:r w:rsidRPr="00533593">
              <w:rPr>
                <w:rFonts w:ascii="Times New Roman" w:hAnsi="Times New Roman" w:cs="Times New Roman"/>
                <w:noProof/>
                <w:sz w:val="20"/>
                <w:szCs w:val="20"/>
              </w:rPr>
              <w:t>Digitalizarea transportului urban</w:t>
            </w:r>
          </w:p>
        </w:tc>
        <w:tc>
          <w:tcPr>
            <w:tcW w:w="1591" w:type="dxa"/>
            <w:vMerge/>
            <w:tcBorders>
              <w:left w:val="single" w:sz="4" w:space="0" w:color="auto"/>
              <w:right w:val="single" w:sz="4" w:space="0" w:color="auto"/>
            </w:tcBorders>
            <w:vAlign w:val="center"/>
          </w:tcPr>
          <w:p w14:paraId="3C5FD565" w14:textId="767EA054" w:rsidR="00737060" w:rsidRPr="008C5F1C" w:rsidRDefault="00737060" w:rsidP="008D169D">
            <w:pPr>
              <w:jc w:val="right"/>
              <w:rPr>
                <w:rFonts w:ascii="Times New Roman" w:hAnsi="Times New Roman" w:cs="Times New Roman"/>
                <w:b/>
                <w:iCs/>
              </w:rPr>
            </w:pPr>
          </w:p>
        </w:tc>
      </w:tr>
      <w:tr w:rsidR="00737060" w:rsidRPr="008C5F1C" w14:paraId="773A3C22" w14:textId="77777777" w:rsidTr="00E453CE">
        <w:tc>
          <w:tcPr>
            <w:tcW w:w="962" w:type="dxa"/>
            <w:vMerge/>
            <w:tcBorders>
              <w:left w:val="single" w:sz="4" w:space="0" w:color="auto"/>
              <w:bottom w:val="single" w:sz="4" w:space="0" w:color="auto"/>
              <w:right w:val="single" w:sz="4" w:space="0" w:color="auto"/>
            </w:tcBorders>
          </w:tcPr>
          <w:p w14:paraId="2F7AAD56" w14:textId="77777777" w:rsidR="00737060" w:rsidRPr="008C5F1C" w:rsidRDefault="00737060" w:rsidP="008D169D">
            <w:pPr>
              <w:rPr>
                <w:rFonts w:ascii="Times New Roman" w:hAnsi="Times New Roman" w:cs="Times New Roman"/>
                <w:b/>
                <w:bCs/>
                <w:iCs/>
              </w:rPr>
            </w:pPr>
          </w:p>
        </w:tc>
        <w:tc>
          <w:tcPr>
            <w:tcW w:w="847" w:type="dxa"/>
            <w:vMerge/>
            <w:tcBorders>
              <w:left w:val="single" w:sz="4" w:space="0" w:color="auto"/>
              <w:bottom w:val="single" w:sz="4" w:space="0" w:color="auto"/>
              <w:right w:val="single" w:sz="4" w:space="0" w:color="auto"/>
            </w:tcBorders>
          </w:tcPr>
          <w:p w14:paraId="10588C32" w14:textId="77777777" w:rsidR="00737060" w:rsidRPr="008C5F1C" w:rsidRDefault="00737060" w:rsidP="008D169D">
            <w:pPr>
              <w:rPr>
                <w:rFonts w:ascii="Times New Roman" w:hAnsi="Times New Roman" w:cs="Times New Roman"/>
                <w:b/>
                <w:iCs/>
              </w:rPr>
            </w:pPr>
          </w:p>
        </w:tc>
        <w:tc>
          <w:tcPr>
            <w:tcW w:w="1418" w:type="dxa"/>
            <w:vMerge/>
            <w:tcBorders>
              <w:left w:val="single" w:sz="4" w:space="0" w:color="auto"/>
              <w:bottom w:val="single" w:sz="4" w:space="0" w:color="auto"/>
              <w:right w:val="single" w:sz="4" w:space="0" w:color="auto"/>
            </w:tcBorders>
          </w:tcPr>
          <w:p w14:paraId="30070660" w14:textId="77777777" w:rsidR="00737060" w:rsidRPr="008C5F1C" w:rsidRDefault="00737060" w:rsidP="008D169D">
            <w:pPr>
              <w:rPr>
                <w:rFonts w:ascii="Times New Roman" w:hAnsi="Times New Roman" w:cs="Times New Roman"/>
                <w:b/>
                <w:iCs/>
              </w:rPr>
            </w:pPr>
          </w:p>
        </w:tc>
        <w:tc>
          <w:tcPr>
            <w:tcW w:w="5273" w:type="dxa"/>
            <w:tcBorders>
              <w:top w:val="single" w:sz="4" w:space="0" w:color="auto"/>
              <w:left w:val="single" w:sz="4" w:space="0" w:color="auto"/>
              <w:bottom w:val="single" w:sz="4" w:space="0" w:color="auto"/>
              <w:right w:val="single" w:sz="4" w:space="0" w:color="auto"/>
            </w:tcBorders>
          </w:tcPr>
          <w:p w14:paraId="188C4ACC" w14:textId="77777777" w:rsidR="00737060" w:rsidRPr="00533593" w:rsidRDefault="00737060" w:rsidP="001A64EA">
            <w:pPr>
              <w:spacing w:after="120" w:line="240" w:lineRule="auto"/>
              <w:rPr>
                <w:rFonts w:ascii="Times New Roman" w:hAnsi="Times New Roman" w:cs="Times New Roman"/>
                <w:b/>
                <w:iCs/>
                <w:sz w:val="20"/>
                <w:szCs w:val="20"/>
              </w:rPr>
            </w:pPr>
            <w:r w:rsidRPr="00533593">
              <w:rPr>
                <w:rFonts w:ascii="Times New Roman" w:hAnsi="Times New Roman" w:cs="Times New Roman"/>
                <w:b/>
                <w:iCs/>
              </w:rPr>
              <w:t>077</w:t>
            </w:r>
            <w:r w:rsidRPr="00533593">
              <w:rPr>
                <w:rFonts w:ascii="Times New Roman" w:hAnsi="Times New Roman" w:cs="Times New Roman"/>
                <w:b/>
                <w:iCs/>
                <w:sz w:val="20"/>
                <w:szCs w:val="20"/>
              </w:rPr>
              <w:t xml:space="preserve"> </w:t>
            </w:r>
            <w:r w:rsidRPr="00533593">
              <w:rPr>
                <w:rFonts w:ascii="Times New Roman" w:hAnsi="Times New Roman" w:cs="Times New Roman"/>
                <w:noProof/>
                <w:sz w:val="20"/>
                <w:szCs w:val="20"/>
              </w:rPr>
              <w:t>Infrastructuri pentru combustibili alternativi</w:t>
            </w:r>
          </w:p>
        </w:tc>
        <w:tc>
          <w:tcPr>
            <w:tcW w:w="1591" w:type="dxa"/>
            <w:vMerge/>
            <w:tcBorders>
              <w:left w:val="single" w:sz="4" w:space="0" w:color="auto"/>
              <w:bottom w:val="single" w:sz="4" w:space="0" w:color="auto"/>
              <w:right w:val="single" w:sz="4" w:space="0" w:color="auto"/>
            </w:tcBorders>
            <w:vAlign w:val="center"/>
          </w:tcPr>
          <w:p w14:paraId="591E373E" w14:textId="7A0A434E" w:rsidR="00737060" w:rsidRPr="008C5F1C" w:rsidRDefault="00737060" w:rsidP="008D169D">
            <w:pPr>
              <w:jc w:val="right"/>
              <w:rPr>
                <w:rFonts w:ascii="Times New Roman" w:hAnsi="Times New Roman" w:cs="Times New Roman"/>
                <w:b/>
                <w:iCs/>
              </w:rPr>
            </w:pPr>
          </w:p>
        </w:tc>
      </w:tr>
    </w:tbl>
    <w:p w14:paraId="1021D2CD" w14:textId="77777777" w:rsidR="00653571" w:rsidRPr="008C5F1C" w:rsidRDefault="00653571" w:rsidP="00653571">
      <w:pP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2682"/>
        <w:gridCol w:w="1673"/>
        <w:gridCol w:w="2175"/>
      </w:tblGrid>
      <w:tr w:rsidR="00653571" w:rsidRPr="008C5F1C" w14:paraId="3AF58E05" w14:textId="77777777" w:rsidTr="002704A1">
        <w:tc>
          <w:tcPr>
            <w:tcW w:w="9513" w:type="dxa"/>
            <w:gridSpan w:val="5"/>
            <w:tcBorders>
              <w:top w:val="single" w:sz="4" w:space="0" w:color="auto"/>
              <w:left w:val="single" w:sz="4" w:space="0" w:color="auto"/>
              <w:bottom w:val="single" w:sz="4" w:space="0" w:color="auto"/>
              <w:right w:val="single" w:sz="4" w:space="0" w:color="auto"/>
            </w:tcBorders>
            <w:hideMark/>
          </w:tcPr>
          <w:p w14:paraId="7CA0AC0E"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Table 5: </w:t>
            </w:r>
            <w:proofErr w:type="spellStart"/>
            <w:r w:rsidRPr="008C5F1C">
              <w:rPr>
                <w:rFonts w:ascii="Times New Roman" w:hAnsi="Times New Roman" w:cs="Times New Roman"/>
                <w:b/>
                <w:iCs/>
              </w:rPr>
              <w:t>Dimension</w:t>
            </w:r>
            <w:proofErr w:type="spellEnd"/>
            <w:r w:rsidRPr="008C5F1C">
              <w:rPr>
                <w:rFonts w:ascii="Times New Roman" w:hAnsi="Times New Roman" w:cs="Times New Roman"/>
                <w:b/>
                <w:iCs/>
              </w:rPr>
              <w:t xml:space="preserve"> 2 – </w:t>
            </w:r>
            <w:proofErr w:type="spellStart"/>
            <w:r w:rsidRPr="008C5F1C">
              <w:rPr>
                <w:rFonts w:ascii="Times New Roman" w:hAnsi="Times New Roman" w:cs="Times New Roman"/>
                <w:b/>
                <w:iCs/>
              </w:rPr>
              <w:t>form</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support</w:t>
            </w:r>
            <w:proofErr w:type="spellEnd"/>
          </w:p>
        </w:tc>
      </w:tr>
      <w:tr w:rsidR="00653571" w:rsidRPr="008C5F1C" w14:paraId="615E5D78" w14:textId="77777777" w:rsidTr="002704A1">
        <w:tc>
          <w:tcPr>
            <w:tcW w:w="1599" w:type="dxa"/>
            <w:tcBorders>
              <w:top w:val="single" w:sz="4" w:space="0" w:color="auto"/>
              <w:left w:val="single" w:sz="4" w:space="0" w:color="auto"/>
              <w:bottom w:val="single" w:sz="4" w:space="0" w:color="auto"/>
              <w:right w:val="single" w:sz="4" w:space="0" w:color="auto"/>
            </w:tcBorders>
            <w:hideMark/>
          </w:tcPr>
          <w:p w14:paraId="7956363F"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Priority</w:t>
            </w:r>
            <w:proofErr w:type="spellEnd"/>
            <w:r w:rsidRPr="008C5F1C">
              <w:rPr>
                <w:rFonts w:ascii="Times New Roman" w:hAnsi="Times New Roman" w:cs="Times New Roman"/>
                <w:b/>
                <w:iCs/>
              </w:rPr>
              <w:t xml:space="preserve"> No</w:t>
            </w:r>
          </w:p>
        </w:tc>
        <w:tc>
          <w:tcPr>
            <w:tcW w:w="1384" w:type="dxa"/>
            <w:tcBorders>
              <w:top w:val="single" w:sz="4" w:space="0" w:color="auto"/>
              <w:left w:val="single" w:sz="4" w:space="0" w:color="auto"/>
              <w:bottom w:val="single" w:sz="4" w:space="0" w:color="auto"/>
              <w:right w:val="single" w:sz="4" w:space="0" w:color="auto"/>
            </w:tcBorders>
            <w:hideMark/>
          </w:tcPr>
          <w:p w14:paraId="7B6C0652"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Fund</w:t>
            </w:r>
          </w:p>
        </w:tc>
        <w:tc>
          <w:tcPr>
            <w:tcW w:w="2682" w:type="dxa"/>
            <w:tcBorders>
              <w:top w:val="single" w:sz="4" w:space="0" w:color="auto"/>
              <w:left w:val="single" w:sz="4" w:space="0" w:color="auto"/>
              <w:bottom w:val="single" w:sz="4" w:space="0" w:color="auto"/>
              <w:right w:val="single" w:sz="4" w:space="0" w:color="auto"/>
            </w:tcBorders>
            <w:hideMark/>
          </w:tcPr>
          <w:p w14:paraId="7A3B664E"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Category</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region</w:t>
            </w:r>
            <w:proofErr w:type="spellEnd"/>
            <w:r w:rsidRPr="008C5F1C">
              <w:rPr>
                <w:rFonts w:ascii="Times New Roman" w:hAnsi="Times New Roman" w:cs="Times New Roman"/>
                <w:b/>
                <w:iCs/>
                <w:vertAlign w:val="superscript"/>
              </w:rPr>
              <w:footnoteReference w:id="50"/>
            </w:r>
          </w:p>
        </w:tc>
        <w:tc>
          <w:tcPr>
            <w:tcW w:w="1673" w:type="dxa"/>
            <w:tcBorders>
              <w:top w:val="single" w:sz="4" w:space="0" w:color="auto"/>
              <w:left w:val="single" w:sz="4" w:space="0" w:color="auto"/>
              <w:bottom w:val="single" w:sz="4" w:space="0" w:color="auto"/>
              <w:right w:val="single" w:sz="4" w:space="0" w:color="auto"/>
            </w:tcBorders>
            <w:hideMark/>
          </w:tcPr>
          <w:p w14:paraId="53D0BB8A"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Code </w:t>
            </w:r>
          </w:p>
        </w:tc>
        <w:tc>
          <w:tcPr>
            <w:tcW w:w="2175" w:type="dxa"/>
            <w:tcBorders>
              <w:top w:val="single" w:sz="4" w:space="0" w:color="auto"/>
              <w:left w:val="single" w:sz="4" w:space="0" w:color="auto"/>
              <w:bottom w:val="single" w:sz="4" w:space="0" w:color="auto"/>
              <w:right w:val="single" w:sz="4" w:space="0" w:color="auto"/>
            </w:tcBorders>
            <w:hideMark/>
          </w:tcPr>
          <w:p w14:paraId="09B78B0E"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Amount</w:t>
            </w:r>
            <w:proofErr w:type="spellEnd"/>
            <w:r w:rsidRPr="008C5F1C">
              <w:rPr>
                <w:rFonts w:ascii="Times New Roman" w:hAnsi="Times New Roman" w:cs="Times New Roman"/>
                <w:b/>
                <w:iCs/>
              </w:rPr>
              <w:t xml:space="preserve"> (EUR)</w:t>
            </w:r>
          </w:p>
        </w:tc>
      </w:tr>
      <w:tr w:rsidR="00653571" w:rsidRPr="008C5F1C" w14:paraId="359CCE4D" w14:textId="77777777" w:rsidTr="002704A1">
        <w:tc>
          <w:tcPr>
            <w:tcW w:w="1599" w:type="dxa"/>
            <w:tcBorders>
              <w:top w:val="single" w:sz="4" w:space="0" w:color="auto"/>
              <w:left w:val="single" w:sz="4" w:space="0" w:color="auto"/>
              <w:bottom w:val="single" w:sz="4" w:space="0" w:color="auto"/>
              <w:right w:val="single" w:sz="4" w:space="0" w:color="auto"/>
            </w:tcBorders>
          </w:tcPr>
          <w:p w14:paraId="7C34A612" w14:textId="77777777" w:rsidR="00653571" w:rsidRPr="008C5F1C" w:rsidRDefault="006F2A71" w:rsidP="00534127">
            <w:pPr>
              <w:rPr>
                <w:rFonts w:ascii="Times New Roman" w:hAnsi="Times New Roman" w:cs="Times New Roman"/>
                <w:b/>
                <w:bCs/>
                <w:iCs/>
              </w:rPr>
            </w:pPr>
            <w:r w:rsidRPr="008C5F1C">
              <w:rPr>
                <w:rFonts w:ascii="Times New Roman" w:hAnsi="Times New Roman" w:cs="Times New Roman"/>
                <w:b/>
                <w:bCs/>
                <w:iCs/>
              </w:rPr>
              <w:t>3</w:t>
            </w:r>
          </w:p>
        </w:tc>
        <w:tc>
          <w:tcPr>
            <w:tcW w:w="1384" w:type="dxa"/>
            <w:tcBorders>
              <w:top w:val="single" w:sz="4" w:space="0" w:color="auto"/>
              <w:left w:val="single" w:sz="4" w:space="0" w:color="auto"/>
              <w:bottom w:val="single" w:sz="4" w:space="0" w:color="auto"/>
              <w:right w:val="single" w:sz="4" w:space="0" w:color="auto"/>
            </w:tcBorders>
          </w:tcPr>
          <w:p w14:paraId="0AD40CCF"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ERDF</w:t>
            </w:r>
          </w:p>
        </w:tc>
        <w:tc>
          <w:tcPr>
            <w:tcW w:w="2682" w:type="dxa"/>
            <w:tcBorders>
              <w:top w:val="single" w:sz="4" w:space="0" w:color="auto"/>
              <w:left w:val="single" w:sz="4" w:space="0" w:color="auto"/>
              <w:bottom w:val="single" w:sz="4" w:space="0" w:color="auto"/>
              <w:right w:val="single" w:sz="4" w:space="0" w:color="auto"/>
            </w:tcBorders>
          </w:tcPr>
          <w:p w14:paraId="03FC15E1"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Less</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developed</w:t>
            </w:r>
            <w:proofErr w:type="spellEnd"/>
          </w:p>
        </w:tc>
        <w:tc>
          <w:tcPr>
            <w:tcW w:w="1673" w:type="dxa"/>
            <w:tcBorders>
              <w:top w:val="single" w:sz="4" w:space="0" w:color="auto"/>
              <w:left w:val="single" w:sz="4" w:space="0" w:color="auto"/>
              <w:bottom w:val="single" w:sz="4" w:space="0" w:color="auto"/>
              <w:right w:val="single" w:sz="4" w:space="0" w:color="auto"/>
            </w:tcBorders>
          </w:tcPr>
          <w:p w14:paraId="78E00072" w14:textId="77777777" w:rsidR="00653571" w:rsidRPr="008C5F1C" w:rsidRDefault="002704A1" w:rsidP="00534127">
            <w:pPr>
              <w:rPr>
                <w:rFonts w:ascii="Times New Roman" w:hAnsi="Times New Roman" w:cs="Times New Roman"/>
                <w:b/>
                <w:iCs/>
              </w:rPr>
            </w:pPr>
            <w:r w:rsidRPr="008C5F1C">
              <w:rPr>
                <w:rFonts w:ascii="Times New Roman" w:hAnsi="Times New Roman" w:cs="Times New Roman"/>
                <w:b/>
                <w:iCs/>
              </w:rPr>
              <w:t>001 Grant</w:t>
            </w:r>
          </w:p>
        </w:tc>
        <w:tc>
          <w:tcPr>
            <w:tcW w:w="2175" w:type="dxa"/>
            <w:tcBorders>
              <w:top w:val="single" w:sz="4" w:space="0" w:color="auto"/>
              <w:left w:val="single" w:sz="4" w:space="0" w:color="auto"/>
              <w:bottom w:val="single" w:sz="4" w:space="0" w:color="auto"/>
              <w:right w:val="single" w:sz="4" w:space="0" w:color="auto"/>
            </w:tcBorders>
          </w:tcPr>
          <w:p w14:paraId="447E1FF5" w14:textId="18C0BA63" w:rsidR="00653571" w:rsidRPr="008C5F1C" w:rsidRDefault="00B04816" w:rsidP="009A2F43">
            <w:pPr>
              <w:jc w:val="right"/>
              <w:rPr>
                <w:rFonts w:ascii="Times New Roman" w:hAnsi="Times New Roman" w:cs="Times New Roman"/>
                <w:b/>
                <w:iCs/>
              </w:rPr>
            </w:pPr>
            <w:r w:rsidRPr="008C5F1C">
              <w:rPr>
                <w:rFonts w:ascii="Times New Roman" w:hAnsi="Times New Roman" w:cs="Times New Roman"/>
                <w:b/>
                <w:iCs/>
              </w:rPr>
              <w:t>468.198.583</w:t>
            </w:r>
          </w:p>
        </w:tc>
      </w:tr>
      <w:tr w:rsidR="008D169D" w:rsidRPr="008C5F1C" w14:paraId="667AF999" w14:textId="77777777" w:rsidTr="002704A1">
        <w:tc>
          <w:tcPr>
            <w:tcW w:w="1599" w:type="dxa"/>
            <w:tcBorders>
              <w:top w:val="single" w:sz="4" w:space="0" w:color="auto"/>
              <w:left w:val="single" w:sz="4" w:space="0" w:color="auto"/>
              <w:bottom w:val="single" w:sz="4" w:space="0" w:color="auto"/>
              <w:right w:val="single" w:sz="4" w:space="0" w:color="auto"/>
            </w:tcBorders>
          </w:tcPr>
          <w:p w14:paraId="17AFB929" w14:textId="3F761E4F" w:rsidR="008D169D" w:rsidRPr="008C5F1C" w:rsidRDefault="008D169D" w:rsidP="008D169D">
            <w:pPr>
              <w:rPr>
                <w:rFonts w:ascii="Times New Roman" w:hAnsi="Times New Roman" w:cs="Times New Roman"/>
                <w:b/>
                <w:bCs/>
                <w:iCs/>
              </w:rPr>
            </w:pPr>
            <w:r w:rsidRPr="008C5F1C">
              <w:rPr>
                <w:rFonts w:ascii="Times New Roman" w:hAnsi="Times New Roman" w:cs="Times New Roman"/>
                <w:b/>
                <w:bCs/>
                <w:iCs/>
              </w:rPr>
              <w:t>3</w:t>
            </w:r>
          </w:p>
        </w:tc>
        <w:tc>
          <w:tcPr>
            <w:tcW w:w="1384" w:type="dxa"/>
            <w:tcBorders>
              <w:top w:val="single" w:sz="4" w:space="0" w:color="auto"/>
              <w:left w:val="single" w:sz="4" w:space="0" w:color="auto"/>
              <w:bottom w:val="single" w:sz="4" w:space="0" w:color="auto"/>
              <w:right w:val="single" w:sz="4" w:space="0" w:color="auto"/>
            </w:tcBorders>
          </w:tcPr>
          <w:p w14:paraId="4B5F2532" w14:textId="76F96600" w:rsidR="008D169D" w:rsidRPr="008C5F1C" w:rsidRDefault="008D169D" w:rsidP="008D169D">
            <w:pPr>
              <w:rPr>
                <w:rFonts w:ascii="Times New Roman" w:hAnsi="Times New Roman" w:cs="Times New Roman"/>
                <w:b/>
                <w:iCs/>
              </w:rPr>
            </w:pPr>
            <w:r w:rsidRPr="008C5F1C">
              <w:rPr>
                <w:rFonts w:ascii="Times New Roman" w:hAnsi="Times New Roman" w:cs="Times New Roman"/>
                <w:b/>
                <w:iCs/>
              </w:rPr>
              <w:t>CN</w:t>
            </w:r>
          </w:p>
        </w:tc>
        <w:tc>
          <w:tcPr>
            <w:tcW w:w="2682" w:type="dxa"/>
            <w:tcBorders>
              <w:top w:val="single" w:sz="4" w:space="0" w:color="auto"/>
              <w:left w:val="single" w:sz="4" w:space="0" w:color="auto"/>
              <w:bottom w:val="single" w:sz="4" w:space="0" w:color="auto"/>
              <w:right w:val="single" w:sz="4" w:space="0" w:color="auto"/>
            </w:tcBorders>
          </w:tcPr>
          <w:p w14:paraId="1C22DE0F" w14:textId="049931C8" w:rsidR="008D169D" w:rsidRPr="008C5F1C" w:rsidRDefault="008D169D" w:rsidP="008D169D">
            <w:pPr>
              <w:rPr>
                <w:rFonts w:ascii="Times New Roman" w:hAnsi="Times New Roman" w:cs="Times New Roman"/>
                <w:b/>
                <w:iCs/>
              </w:rPr>
            </w:pPr>
            <w:proofErr w:type="spellStart"/>
            <w:r w:rsidRPr="008C5F1C">
              <w:rPr>
                <w:rFonts w:ascii="Times New Roman" w:hAnsi="Times New Roman" w:cs="Times New Roman"/>
                <w:b/>
                <w:iCs/>
              </w:rPr>
              <w:t>Less</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developed</w:t>
            </w:r>
            <w:proofErr w:type="spellEnd"/>
          </w:p>
        </w:tc>
        <w:tc>
          <w:tcPr>
            <w:tcW w:w="1673" w:type="dxa"/>
            <w:tcBorders>
              <w:top w:val="single" w:sz="4" w:space="0" w:color="auto"/>
              <w:left w:val="single" w:sz="4" w:space="0" w:color="auto"/>
              <w:bottom w:val="single" w:sz="4" w:space="0" w:color="auto"/>
              <w:right w:val="single" w:sz="4" w:space="0" w:color="auto"/>
            </w:tcBorders>
          </w:tcPr>
          <w:p w14:paraId="00ADB8B3" w14:textId="04177205" w:rsidR="008D169D" w:rsidRPr="008C5F1C" w:rsidRDefault="008D169D" w:rsidP="008D169D">
            <w:pPr>
              <w:rPr>
                <w:rFonts w:ascii="Times New Roman" w:hAnsi="Times New Roman" w:cs="Times New Roman"/>
                <w:b/>
                <w:iCs/>
              </w:rPr>
            </w:pPr>
            <w:r w:rsidRPr="008C5F1C">
              <w:rPr>
                <w:rFonts w:ascii="Times New Roman" w:hAnsi="Times New Roman" w:cs="Times New Roman"/>
                <w:b/>
                <w:iCs/>
              </w:rPr>
              <w:t>001 Grant</w:t>
            </w:r>
          </w:p>
        </w:tc>
        <w:tc>
          <w:tcPr>
            <w:tcW w:w="2175" w:type="dxa"/>
            <w:tcBorders>
              <w:top w:val="single" w:sz="4" w:space="0" w:color="auto"/>
              <w:left w:val="single" w:sz="4" w:space="0" w:color="auto"/>
              <w:bottom w:val="single" w:sz="4" w:space="0" w:color="auto"/>
              <w:right w:val="single" w:sz="4" w:space="0" w:color="auto"/>
            </w:tcBorders>
          </w:tcPr>
          <w:p w14:paraId="239356F0" w14:textId="0A93FEA8" w:rsidR="008D169D" w:rsidRPr="008C5F1C" w:rsidRDefault="00B04816" w:rsidP="008D169D">
            <w:pPr>
              <w:jc w:val="right"/>
              <w:rPr>
                <w:rFonts w:ascii="Times New Roman" w:hAnsi="Times New Roman" w:cs="Times New Roman"/>
                <w:b/>
                <w:iCs/>
              </w:rPr>
            </w:pPr>
            <w:r w:rsidRPr="008C5F1C">
              <w:rPr>
                <w:rFonts w:ascii="Times New Roman" w:hAnsi="Times New Roman" w:cs="Times New Roman"/>
                <w:b/>
                <w:iCs/>
              </w:rPr>
              <w:t>82.623.279</w:t>
            </w:r>
          </w:p>
        </w:tc>
      </w:tr>
    </w:tbl>
    <w:p w14:paraId="5BA320B6" w14:textId="77777777" w:rsidR="00653571" w:rsidRPr="008C5F1C" w:rsidRDefault="00653571" w:rsidP="00653571">
      <w:pPr>
        <w:rPr>
          <w:rFonts w:ascii="Times New Roman" w:hAnsi="Times New Roman" w:cs="Times New Roman"/>
          <w:b/>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2682"/>
        <w:gridCol w:w="1560"/>
        <w:gridCol w:w="2094"/>
        <w:gridCol w:w="11"/>
      </w:tblGrid>
      <w:tr w:rsidR="00653571" w:rsidRPr="008C5F1C" w14:paraId="2EB6EFD1" w14:textId="77777777" w:rsidTr="009A2F43">
        <w:tc>
          <w:tcPr>
            <w:tcW w:w="9330" w:type="dxa"/>
            <w:gridSpan w:val="6"/>
            <w:tcBorders>
              <w:top w:val="single" w:sz="4" w:space="0" w:color="auto"/>
              <w:left w:val="single" w:sz="4" w:space="0" w:color="auto"/>
              <w:bottom w:val="single" w:sz="4" w:space="0" w:color="auto"/>
              <w:right w:val="single" w:sz="4" w:space="0" w:color="auto"/>
            </w:tcBorders>
            <w:hideMark/>
          </w:tcPr>
          <w:p w14:paraId="1C2ABD90"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Table 6: </w:t>
            </w:r>
            <w:proofErr w:type="spellStart"/>
            <w:r w:rsidRPr="008C5F1C">
              <w:rPr>
                <w:rFonts w:ascii="Times New Roman" w:hAnsi="Times New Roman" w:cs="Times New Roman"/>
                <w:b/>
                <w:iCs/>
              </w:rPr>
              <w:t>Dimension</w:t>
            </w:r>
            <w:proofErr w:type="spellEnd"/>
            <w:r w:rsidRPr="008C5F1C">
              <w:rPr>
                <w:rFonts w:ascii="Times New Roman" w:hAnsi="Times New Roman" w:cs="Times New Roman"/>
                <w:b/>
                <w:iCs/>
              </w:rPr>
              <w:t xml:space="preserve"> 3 – </w:t>
            </w:r>
            <w:proofErr w:type="spellStart"/>
            <w:r w:rsidRPr="008C5F1C">
              <w:rPr>
                <w:rFonts w:ascii="Times New Roman" w:hAnsi="Times New Roman" w:cs="Times New Roman"/>
                <w:b/>
                <w:iCs/>
              </w:rPr>
              <w:t>territorial</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delivery</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mechanism</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and</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territorial</w:t>
            </w:r>
            <w:proofErr w:type="spellEnd"/>
            <w:r w:rsidRPr="008C5F1C">
              <w:rPr>
                <w:rFonts w:ascii="Times New Roman" w:hAnsi="Times New Roman" w:cs="Times New Roman"/>
                <w:b/>
                <w:iCs/>
              </w:rPr>
              <w:t xml:space="preserve"> focus</w:t>
            </w:r>
          </w:p>
        </w:tc>
      </w:tr>
      <w:tr w:rsidR="00653571" w:rsidRPr="008C5F1C" w14:paraId="303EA9C8" w14:textId="77777777" w:rsidTr="009A2F43">
        <w:trPr>
          <w:gridAfter w:val="1"/>
          <w:wAfter w:w="11" w:type="dxa"/>
        </w:trPr>
        <w:tc>
          <w:tcPr>
            <w:tcW w:w="1599" w:type="dxa"/>
            <w:tcBorders>
              <w:top w:val="single" w:sz="4" w:space="0" w:color="auto"/>
              <w:left w:val="single" w:sz="4" w:space="0" w:color="auto"/>
              <w:bottom w:val="single" w:sz="4" w:space="0" w:color="auto"/>
              <w:right w:val="single" w:sz="4" w:space="0" w:color="auto"/>
            </w:tcBorders>
            <w:hideMark/>
          </w:tcPr>
          <w:p w14:paraId="3B1AE8BD"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Priority</w:t>
            </w:r>
            <w:proofErr w:type="spellEnd"/>
            <w:r w:rsidRPr="008C5F1C">
              <w:rPr>
                <w:rFonts w:ascii="Times New Roman" w:hAnsi="Times New Roman" w:cs="Times New Roman"/>
                <w:b/>
                <w:iCs/>
              </w:rPr>
              <w:t xml:space="preserve"> No</w:t>
            </w:r>
          </w:p>
        </w:tc>
        <w:tc>
          <w:tcPr>
            <w:tcW w:w="1384" w:type="dxa"/>
            <w:tcBorders>
              <w:top w:val="single" w:sz="4" w:space="0" w:color="auto"/>
              <w:left w:val="single" w:sz="4" w:space="0" w:color="auto"/>
              <w:bottom w:val="single" w:sz="4" w:space="0" w:color="auto"/>
              <w:right w:val="single" w:sz="4" w:space="0" w:color="auto"/>
            </w:tcBorders>
            <w:hideMark/>
          </w:tcPr>
          <w:p w14:paraId="125F5CE6"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Fund</w:t>
            </w:r>
          </w:p>
        </w:tc>
        <w:tc>
          <w:tcPr>
            <w:tcW w:w="2682" w:type="dxa"/>
            <w:tcBorders>
              <w:top w:val="single" w:sz="4" w:space="0" w:color="auto"/>
              <w:left w:val="single" w:sz="4" w:space="0" w:color="auto"/>
              <w:bottom w:val="single" w:sz="4" w:space="0" w:color="auto"/>
              <w:right w:val="single" w:sz="4" w:space="0" w:color="auto"/>
            </w:tcBorders>
            <w:hideMark/>
          </w:tcPr>
          <w:p w14:paraId="6F7BACE8"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Category</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region</w:t>
            </w:r>
            <w:proofErr w:type="spellEnd"/>
            <w:r w:rsidRPr="008C5F1C">
              <w:rPr>
                <w:rFonts w:ascii="Times New Roman" w:hAnsi="Times New Roman" w:cs="Times New Roman"/>
                <w:b/>
                <w:iCs/>
                <w:vertAlign w:val="superscript"/>
              </w:rPr>
              <w:footnoteReference w:id="51"/>
            </w:r>
          </w:p>
        </w:tc>
        <w:tc>
          <w:tcPr>
            <w:tcW w:w="1560" w:type="dxa"/>
            <w:tcBorders>
              <w:top w:val="single" w:sz="4" w:space="0" w:color="auto"/>
              <w:left w:val="single" w:sz="4" w:space="0" w:color="auto"/>
              <w:bottom w:val="single" w:sz="4" w:space="0" w:color="auto"/>
              <w:right w:val="single" w:sz="4" w:space="0" w:color="auto"/>
            </w:tcBorders>
            <w:hideMark/>
          </w:tcPr>
          <w:p w14:paraId="76A539D0"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Code </w:t>
            </w:r>
          </w:p>
        </w:tc>
        <w:tc>
          <w:tcPr>
            <w:tcW w:w="2094" w:type="dxa"/>
            <w:tcBorders>
              <w:top w:val="single" w:sz="4" w:space="0" w:color="auto"/>
              <w:left w:val="single" w:sz="4" w:space="0" w:color="auto"/>
              <w:bottom w:val="single" w:sz="4" w:space="0" w:color="auto"/>
              <w:right w:val="single" w:sz="4" w:space="0" w:color="auto"/>
            </w:tcBorders>
            <w:hideMark/>
          </w:tcPr>
          <w:p w14:paraId="3BA7D261"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Amount</w:t>
            </w:r>
            <w:proofErr w:type="spellEnd"/>
            <w:r w:rsidRPr="008C5F1C">
              <w:rPr>
                <w:rFonts w:ascii="Times New Roman" w:hAnsi="Times New Roman" w:cs="Times New Roman"/>
                <w:b/>
                <w:iCs/>
              </w:rPr>
              <w:t xml:space="preserve"> (EUR)</w:t>
            </w:r>
          </w:p>
        </w:tc>
      </w:tr>
      <w:tr w:rsidR="009A2F43" w:rsidRPr="008C5F1C" w14:paraId="046CAACE" w14:textId="77777777" w:rsidTr="009A2F43">
        <w:trPr>
          <w:gridAfter w:val="1"/>
          <w:wAfter w:w="11" w:type="dxa"/>
        </w:trPr>
        <w:tc>
          <w:tcPr>
            <w:tcW w:w="1599" w:type="dxa"/>
            <w:tcBorders>
              <w:top w:val="single" w:sz="4" w:space="0" w:color="auto"/>
              <w:left w:val="single" w:sz="4" w:space="0" w:color="auto"/>
              <w:bottom w:val="single" w:sz="4" w:space="0" w:color="auto"/>
              <w:right w:val="single" w:sz="4" w:space="0" w:color="auto"/>
            </w:tcBorders>
          </w:tcPr>
          <w:p w14:paraId="6F042FA0" w14:textId="5981E0EB" w:rsidR="009A2F43" w:rsidRPr="008C5F1C" w:rsidRDefault="009A2F43" w:rsidP="009A2F43">
            <w:pPr>
              <w:rPr>
                <w:rFonts w:ascii="Times New Roman" w:hAnsi="Times New Roman" w:cs="Times New Roman"/>
                <w:b/>
                <w:iCs/>
              </w:rPr>
            </w:pPr>
            <w:r w:rsidRPr="008C5F1C">
              <w:rPr>
                <w:rFonts w:ascii="Times New Roman" w:hAnsi="Times New Roman" w:cs="Times New Roman"/>
                <w:b/>
                <w:bCs/>
                <w:iCs/>
              </w:rPr>
              <w:t>3</w:t>
            </w:r>
          </w:p>
        </w:tc>
        <w:tc>
          <w:tcPr>
            <w:tcW w:w="1384" w:type="dxa"/>
            <w:tcBorders>
              <w:top w:val="single" w:sz="4" w:space="0" w:color="auto"/>
              <w:left w:val="single" w:sz="4" w:space="0" w:color="auto"/>
              <w:bottom w:val="single" w:sz="4" w:space="0" w:color="auto"/>
              <w:right w:val="single" w:sz="4" w:space="0" w:color="auto"/>
            </w:tcBorders>
          </w:tcPr>
          <w:p w14:paraId="0EA40264" w14:textId="669E7E65" w:rsidR="009A2F43" w:rsidRPr="008C5F1C" w:rsidRDefault="009A2F43" w:rsidP="009A2F43">
            <w:pPr>
              <w:rPr>
                <w:rFonts w:ascii="Times New Roman" w:hAnsi="Times New Roman" w:cs="Times New Roman"/>
                <w:b/>
                <w:iCs/>
              </w:rPr>
            </w:pPr>
            <w:r w:rsidRPr="008C5F1C">
              <w:rPr>
                <w:rFonts w:ascii="Times New Roman" w:hAnsi="Times New Roman" w:cs="Times New Roman"/>
                <w:b/>
                <w:iCs/>
              </w:rPr>
              <w:t>ERDF</w:t>
            </w:r>
          </w:p>
        </w:tc>
        <w:tc>
          <w:tcPr>
            <w:tcW w:w="2682" w:type="dxa"/>
            <w:tcBorders>
              <w:top w:val="single" w:sz="4" w:space="0" w:color="auto"/>
              <w:left w:val="single" w:sz="4" w:space="0" w:color="auto"/>
              <w:bottom w:val="single" w:sz="4" w:space="0" w:color="auto"/>
              <w:right w:val="single" w:sz="4" w:space="0" w:color="auto"/>
            </w:tcBorders>
          </w:tcPr>
          <w:p w14:paraId="44FC7425" w14:textId="6963DF87" w:rsidR="009A2F43" w:rsidRPr="008C5F1C" w:rsidRDefault="009A2F43" w:rsidP="009A2F43">
            <w:pPr>
              <w:rPr>
                <w:rFonts w:ascii="Times New Roman" w:hAnsi="Times New Roman" w:cs="Times New Roman"/>
                <w:b/>
                <w:iCs/>
              </w:rPr>
            </w:pPr>
            <w:proofErr w:type="spellStart"/>
            <w:r w:rsidRPr="008C5F1C">
              <w:rPr>
                <w:rFonts w:ascii="Times New Roman" w:hAnsi="Times New Roman" w:cs="Times New Roman"/>
                <w:b/>
                <w:iCs/>
              </w:rPr>
              <w:t>Less</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developed</w:t>
            </w:r>
            <w:proofErr w:type="spellEnd"/>
          </w:p>
        </w:tc>
        <w:tc>
          <w:tcPr>
            <w:tcW w:w="1560" w:type="dxa"/>
            <w:tcBorders>
              <w:top w:val="single" w:sz="4" w:space="0" w:color="auto"/>
              <w:left w:val="single" w:sz="4" w:space="0" w:color="auto"/>
              <w:bottom w:val="single" w:sz="4" w:space="0" w:color="auto"/>
              <w:right w:val="single" w:sz="4" w:space="0" w:color="auto"/>
            </w:tcBorders>
          </w:tcPr>
          <w:p w14:paraId="240083AA" w14:textId="1E8F66E1" w:rsidR="009A2F43" w:rsidRPr="008C5F1C" w:rsidRDefault="00205B19" w:rsidP="009A2F43">
            <w:pPr>
              <w:rPr>
                <w:rFonts w:ascii="Times New Roman" w:hAnsi="Times New Roman" w:cs="Times New Roman"/>
                <w:b/>
                <w:iCs/>
              </w:rPr>
            </w:pPr>
            <w:r w:rsidRPr="008C5F1C">
              <w:rPr>
                <w:rFonts w:ascii="Times New Roman" w:hAnsi="Times New Roman" w:cs="Times New Roman"/>
                <w:b/>
                <w:iCs/>
              </w:rPr>
              <w:t>31, 32, 33</w:t>
            </w:r>
          </w:p>
        </w:tc>
        <w:tc>
          <w:tcPr>
            <w:tcW w:w="2094" w:type="dxa"/>
            <w:tcBorders>
              <w:top w:val="single" w:sz="4" w:space="0" w:color="auto"/>
              <w:left w:val="single" w:sz="4" w:space="0" w:color="auto"/>
              <w:bottom w:val="single" w:sz="4" w:space="0" w:color="auto"/>
              <w:right w:val="single" w:sz="4" w:space="0" w:color="auto"/>
            </w:tcBorders>
          </w:tcPr>
          <w:p w14:paraId="05B1789C" w14:textId="6836E54B" w:rsidR="009A2F43" w:rsidRPr="008C5F1C" w:rsidRDefault="00166138" w:rsidP="009A2F43">
            <w:pPr>
              <w:jc w:val="right"/>
              <w:rPr>
                <w:rFonts w:ascii="Times New Roman" w:hAnsi="Times New Roman" w:cs="Times New Roman"/>
                <w:b/>
                <w:iCs/>
              </w:rPr>
            </w:pPr>
            <w:r w:rsidRPr="008C5F1C">
              <w:rPr>
                <w:rFonts w:ascii="Times New Roman" w:hAnsi="Times New Roman" w:cs="Times New Roman"/>
                <w:b/>
                <w:iCs/>
              </w:rPr>
              <w:t>3</w:t>
            </w:r>
            <w:r>
              <w:rPr>
                <w:rFonts w:ascii="Times New Roman" w:hAnsi="Times New Roman" w:cs="Times New Roman"/>
                <w:b/>
                <w:iCs/>
              </w:rPr>
              <w:t>3</w:t>
            </w:r>
            <w:r w:rsidRPr="008C5F1C">
              <w:rPr>
                <w:rFonts w:ascii="Times New Roman" w:hAnsi="Times New Roman" w:cs="Times New Roman"/>
                <w:b/>
                <w:iCs/>
              </w:rPr>
              <w:t>2</w:t>
            </w:r>
            <w:r w:rsidR="00C943BE" w:rsidRPr="008C5F1C">
              <w:rPr>
                <w:rFonts w:ascii="Times New Roman" w:hAnsi="Times New Roman" w:cs="Times New Roman"/>
                <w:b/>
                <w:iCs/>
              </w:rPr>
              <w:t>.13</w:t>
            </w:r>
            <w:r w:rsidR="00FE6610" w:rsidRPr="008C5F1C">
              <w:rPr>
                <w:rFonts w:ascii="Times New Roman" w:hAnsi="Times New Roman" w:cs="Times New Roman"/>
                <w:b/>
                <w:iCs/>
              </w:rPr>
              <w:t>2</w:t>
            </w:r>
            <w:r w:rsidR="00C943BE" w:rsidRPr="008C5F1C">
              <w:rPr>
                <w:rFonts w:ascii="Times New Roman" w:hAnsi="Times New Roman" w:cs="Times New Roman"/>
                <w:b/>
                <w:iCs/>
              </w:rPr>
              <w:t>.</w:t>
            </w:r>
            <w:r w:rsidR="00FE6610" w:rsidRPr="008C5F1C">
              <w:rPr>
                <w:rFonts w:ascii="Times New Roman" w:hAnsi="Times New Roman" w:cs="Times New Roman"/>
                <w:b/>
                <w:iCs/>
              </w:rPr>
              <w:t>388</w:t>
            </w:r>
            <w:r w:rsidR="009A2F43" w:rsidRPr="008C5F1C">
              <w:rPr>
                <w:rStyle w:val="FootnoteReference"/>
                <w:rFonts w:ascii="Times New Roman" w:hAnsi="Times New Roman" w:cs="Times New Roman"/>
                <w:b w:val="0"/>
                <w:iCs/>
              </w:rPr>
              <w:footnoteReference w:id="52"/>
            </w:r>
          </w:p>
        </w:tc>
      </w:tr>
    </w:tbl>
    <w:p w14:paraId="57E141CE" w14:textId="77777777" w:rsidR="00653571" w:rsidRPr="008C5F1C" w:rsidRDefault="00653571" w:rsidP="00653571">
      <w:pPr>
        <w:rPr>
          <w:rFonts w:ascii="Times New Roman" w:hAnsi="Times New Roman" w:cs="Times New Roman"/>
          <w:b/>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3108"/>
        <w:gridCol w:w="1053"/>
        <w:gridCol w:w="2175"/>
      </w:tblGrid>
      <w:tr w:rsidR="00653571" w:rsidRPr="008C5F1C" w14:paraId="42BEA4B1" w14:textId="77777777" w:rsidTr="00534127">
        <w:tc>
          <w:tcPr>
            <w:tcW w:w="9319" w:type="dxa"/>
            <w:gridSpan w:val="5"/>
            <w:tcBorders>
              <w:top w:val="single" w:sz="4" w:space="0" w:color="auto"/>
              <w:left w:val="single" w:sz="4" w:space="0" w:color="auto"/>
              <w:bottom w:val="single" w:sz="4" w:space="0" w:color="auto"/>
              <w:right w:val="single" w:sz="4" w:space="0" w:color="auto"/>
            </w:tcBorders>
            <w:hideMark/>
          </w:tcPr>
          <w:p w14:paraId="77A652AD"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Table 7: </w:t>
            </w:r>
            <w:proofErr w:type="spellStart"/>
            <w:r w:rsidRPr="008C5F1C">
              <w:rPr>
                <w:rFonts w:ascii="Times New Roman" w:hAnsi="Times New Roman" w:cs="Times New Roman"/>
                <w:b/>
                <w:iCs/>
              </w:rPr>
              <w:t>Dimension</w:t>
            </w:r>
            <w:proofErr w:type="spellEnd"/>
            <w:r w:rsidRPr="008C5F1C">
              <w:rPr>
                <w:rFonts w:ascii="Times New Roman" w:hAnsi="Times New Roman" w:cs="Times New Roman"/>
                <w:b/>
                <w:iCs/>
              </w:rPr>
              <w:t xml:space="preserve"> 6 – ESF+ </w:t>
            </w:r>
            <w:proofErr w:type="spellStart"/>
            <w:r w:rsidRPr="008C5F1C">
              <w:rPr>
                <w:rFonts w:ascii="Times New Roman" w:hAnsi="Times New Roman" w:cs="Times New Roman"/>
                <w:b/>
                <w:iCs/>
              </w:rPr>
              <w:t>secondary</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themes</w:t>
            </w:r>
            <w:proofErr w:type="spellEnd"/>
          </w:p>
        </w:tc>
      </w:tr>
      <w:tr w:rsidR="00653571" w:rsidRPr="008C5F1C" w14:paraId="60DF187C" w14:textId="77777777" w:rsidTr="00534127">
        <w:tc>
          <w:tcPr>
            <w:tcW w:w="1599" w:type="dxa"/>
            <w:tcBorders>
              <w:top w:val="single" w:sz="4" w:space="0" w:color="auto"/>
              <w:left w:val="single" w:sz="4" w:space="0" w:color="auto"/>
              <w:bottom w:val="single" w:sz="4" w:space="0" w:color="auto"/>
              <w:right w:val="single" w:sz="4" w:space="0" w:color="auto"/>
            </w:tcBorders>
            <w:hideMark/>
          </w:tcPr>
          <w:p w14:paraId="26C0FF3B"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Priority</w:t>
            </w:r>
            <w:proofErr w:type="spellEnd"/>
            <w:r w:rsidRPr="008C5F1C">
              <w:rPr>
                <w:rFonts w:ascii="Times New Roman" w:hAnsi="Times New Roman" w:cs="Times New Roman"/>
                <w:b/>
                <w:iCs/>
              </w:rPr>
              <w:t xml:space="preserve"> No</w:t>
            </w:r>
          </w:p>
        </w:tc>
        <w:tc>
          <w:tcPr>
            <w:tcW w:w="1384" w:type="dxa"/>
            <w:tcBorders>
              <w:top w:val="single" w:sz="4" w:space="0" w:color="auto"/>
              <w:left w:val="single" w:sz="4" w:space="0" w:color="auto"/>
              <w:bottom w:val="single" w:sz="4" w:space="0" w:color="auto"/>
              <w:right w:val="single" w:sz="4" w:space="0" w:color="auto"/>
            </w:tcBorders>
            <w:hideMark/>
          </w:tcPr>
          <w:p w14:paraId="550C479C"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Fund</w:t>
            </w:r>
          </w:p>
        </w:tc>
        <w:tc>
          <w:tcPr>
            <w:tcW w:w="3108" w:type="dxa"/>
            <w:tcBorders>
              <w:top w:val="single" w:sz="4" w:space="0" w:color="auto"/>
              <w:left w:val="single" w:sz="4" w:space="0" w:color="auto"/>
              <w:bottom w:val="single" w:sz="4" w:space="0" w:color="auto"/>
              <w:right w:val="single" w:sz="4" w:space="0" w:color="auto"/>
            </w:tcBorders>
            <w:hideMark/>
          </w:tcPr>
          <w:p w14:paraId="532408F5"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Category</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region</w:t>
            </w:r>
            <w:proofErr w:type="spellEnd"/>
          </w:p>
        </w:tc>
        <w:tc>
          <w:tcPr>
            <w:tcW w:w="1053" w:type="dxa"/>
            <w:tcBorders>
              <w:top w:val="single" w:sz="4" w:space="0" w:color="auto"/>
              <w:left w:val="single" w:sz="4" w:space="0" w:color="auto"/>
              <w:bottom w:val="single" w:sz="4" w:space="0" w:color="auto"/>
              <w:right w:val="single" w:sz="4" w:space="0" w:color="auto"/>
            </w:tcBorders>
            <w:hideMark/>
          </w:tcPr>
          <w:p w14:paraId="28787E51"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Code </w:t>
            </w:r>
          </w:p>
        </w:tc>
        <w:tc>
          <w:tcPr>
            <w:tcW w:w="2175" w:type="dxa"/>
            <w:tcBorders>
              <w:top w:val="single" w:sz="4" w:space="0" w:color="auto"/>
              <w:left w:val="single" w:sz="4" w:space="0" w:color="auto"/>
              <w:bottom w:val="single" w:sz="4" w:space="0" w:color="auto"/>
              <w:right w:val="single" w:sz="4" w:space="0" w:color="auto"/>
            </w:tcBorders>
            <w:hideMark/>
          </w:tcPr>
          <w:p w14:paraId="31929EB3"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Amount</w:t>
            </w:r>
            <w:proofErr w:type="spellEnd"/>
            <w:r w:rsidRPr="008C5F1C">
              <w:rPr>
                <w:rFonts w:ascii="Times New Roman" w:hAnsi="Times New Roman" w:cs="Times New Roman"/>
                <w:b/>
                <w:iCs/>
              </w:rPr>
              <w:t xml:space="preserve"> (EUR)</w:t>
            </w:r>
          </w:p>
        </w:tc>
      </w:tr>
      <w:tr w:rsidR="00653571" w:rsidRPr="008C5F1C" w14:paraId="25604B41" w14:textId="77777777" w:rsidTr="00534127">
        <w:tc>
          <w:tcPr>
            <w:tcW w:w="1599" w:type="dxa"/>
            <w:tcBorders>
              <w:top w:val="single" w:sz="4" w:space="0" w:color="auto"/>
              <w:left w:val="single" w:sz="4" w:space="0" w:color="auto"/>
              <w:bottom w:val="single" w:sz="4" w:space="0" w:color="auto"/>
              <w:right w:val="single" w:sz="4" w:space="0" w:color="auto"/>
            </w:tcBorders>
          </w:tcPr>
          <w:p w14:paraId="69BB369E" w14:textId="77777777" w:rsidR="00653571" w:rsidRPr="008C5F1C" w:rsidRDefault="00653571" w:rsidP="00534127">
            <w:pPr>
              <w:rPr>
                <w:rFonts w:ascii="Times New Roman" w:hAnsi="Times New Roman" w:cs="Times New Roman"/>
                <w:b/>
                <w:iCs/>
              </w:rPr>
            </w:pPr>
          </w:p>
        </w:tc>
        <w:tc>
          <w:tcPr>
            <w:tcW w:w="1384" w:type="dxa"/>
            <w:tcBorders>
              <w:top w:val="single" w:sz="4" w:space="0" w:color="auto"/>
              <w:left w:val="single" w:sz="4" w:space="0" w:color="auto"/>
              <w:bottom w:val="single" w:sz="4" w:space="0" w:color="auto"/>
              <w:right w:val="single" w:sz="4" w:space="0" w:color="auto"/>
            </w:tcBorders>
          </w:tcPr>
          <w:p w14:paraId="4E2B48FA" w14:textId="77777777" w:rsidR="00653571" w:rsidRPr="008C5F1C" w:rsidRDefault="00653571" w:rsidP="00534127">
            <w:pPr>
              <w:rPr>
                <w:rFonts w:ascii="Times New Roman" w:hAnsi="Times New Roman" w:cs="Times New Roman"/>
                <w:b/>
                <w:iCs/>
              </w:rPr>
            </w:pPr>
          </w:p>
        </w:tc>
        <w:tc>
          <w:tcPr>
            <w:tcW w:w="3108" w:type="dxa"/>
            <w:tcBorders>
              <w:top w:val="single" w:sz="4" w:space="0" w:color="auto"/>
              <w:left w:val="single" w:sz="4" w:space="0" w:color="auto"/>
              <w:bottom w:val="single" w:sz="4" w:space="0" w:color="auto"/>
              <w:right w:val="single" w:sz="4" w:space="0" w:color="auto"/>
            </w:tcBorders>
          </w:tcPr>
          <w:p w14:paraId="6D9B8924" w14:textId="77777777" w:rsidR="00653571" w:rsidRPr="008C5F1C" w:rsidRDefault="00653571" w:rsidP="00534127">
            <w:pPr>
              <w:rPr>
                <w:rFonts w:ascii="Times New Roman" w:hAnsi="Times New Roman" w:cs="Times New Roman"/>
                <w:b/>
                <w:iCs/>
              </w:rPr>
            </w:pPr>
          </w:p>
        </w:tc>
        <w:tc>
          <w:tcPr>
            <w:tcW w:w="1053" w:type="dxa"/>
            <w:tcBorders>
              <w:top w:val="single" w:sz="4" w:space="0" w:color="auto"/>
              <w:left w:val="single" w:sz="4" w:space="0" w:color="auto"/>
              <w:bottom w:val="single" w:sz="4" w:space="0" w:color="auto"/>
              <w:right w:val="single" w:sz="4" w:space="0" w:color="auto"/>
            </w:tcBorders>
          </w:tcPr>
          <w:p w14:paraId="02E9209E" w14:textId="77777777" w:rsidR="00653571" w:rsidRPr="008C5F1C" w:rsidRDefault="00653571" w:rsidP="00534127">
            <w:pPr>
              <w:rPr>
                <w:rFonts w:ascii="Times New Roman" w:hAnsi="Times New Roman" w:cs="Times New Roman"/>
                <w:b/>
                <w:iCs/>
              </w:rPr>
            </w:pPr>
          </w:p>
        </w:tc>
        <w:tc>
          <w:tcPr>
            <w:tcW w:w="2175" w:type="dxa"/>
            <w:tcBorders>
              <w:top w:val="single" w:sz="4" w:space="0" w:color="auto"/>
              <w:left w:val="single" w:sz="4" w:space="0" w:color="auto"/>
              <w:bottom w:val="single" w:sz="4" w:space="0" w:color="auto"/>
              <w:right w:val="single" w:sz="4" w:space="0" w:color="auto"/>
            </w:tcBorders>
          </w:tcPr>
          <w:p w14:paraId="44950EA9" w14:textId="77777777" w:rsidR="00653571" w:rsidRPr="008C5F1C" w:rsidRDefault="00653571" w:rsidP="00534127">
            <w:pPr>
              <w:rPr>
                <w:rFonts w:ascii="Times New Roman" w:hAnsi="Times New Roman" w:cs="Times New Roman"/>
                <w:b/>
                <w:iCs/>
              </w:rPr>
            </w:pPr>
          </w:p>
        </w:tc>
      </w:tr>
    </w:tbl>
    <w:p w14:paraId="7A33CFA1" w14:textId="77777777" w:rsidR="00653571" w:rsidRPr="008C5F1C" w:rsidRDefault="00653571" w:rsidP="00653571">
      <w:pPr>
        <w:tabs>
          <w:tab w:val="left" w:pos="3150"/>
        </w:tabs>
        <w:rPr>
          <w:rFonts w:ascii="Times New Roman" w:hAnsi="Times New Roman" w:cs="Times New Roman"/>
        </w:rPr>
      </w:pPr>
    </w:p>
    <w:p w14:paraId="30B15D95" w14:textId="77777777" w:rsidR="00653571" w:rsidRPr="008C5F1C" w:rsidRDefault="00653571" w:rsidP="00653571">
      <w:pPr>
        <w:pStyle w:val="Heading3"/>
        <w:numPr>
          <w:ilvl w:val="0"/>
          <w:numId w:val="0"/>
        </w:numPr>
        <w:shd w:val="clear" w:color="auto" w:fill="B4C6E7" w:themeFill="accent1" w:themeFillTint="66"/>
        <w:rPr>
          <w:rFonts w:cs="Times New Roman"/>
          <w:noProof/>
          <w:lang w:val="ro-RO"/>
        </w:rPr>
      </w:pPr>
      <w:bookmarkStart w:id="118" w:name="_Toc39840936"/>
      <w:r w:rsidRPr="008C5F1C">
        <w:rPr>
          <w:rFonts w:cs="Times New Roman"/>
          <w:noProof/>
          <w:lang w:val="ro-RO"/>
        </w:rPr>
        <w:t>2.A.3 OS b (i) Promovarea eficien</w:t>
      </w:r>
      <w:r w:rsidR="00E22FF2" w:rsidRPr="008C5F1C">
        <w:rPr>
          <w:rFonts w:cs="Times New Roman"/>
          <w:noProof/>
          <w:lang w:val="ro-RO"/>
        </w:rPr>
        <w:t>ț</w:t>
      </w:r>
      <w:r w:rsidRPr="008C5F1C">
        <w:rPr>
          <w:rFonts w:cs="Times New Roman"/>
          <w:noProof/>
          <w:lang w:val="ro-RO"/>
        </w:rPr>
        <w:t xml:space="preserve">ei energetice </w:t>
      </w:r>
      <w:r w:rsidR="00106240" w:rsidRPr="008C5F1C">
        <w:rPr>
          <w:rFonts w:cs="Times New Roman"/>
          <w:noProof/>
          <w:lang w:val="ro-RO"/>
        </w:rPr>
        <w:t>ș</w:t>
      </w:r>
      <w:r w:rsidRPr="008C5F1C">
        <w:rPr>
          <w:rFonts w:cs="Times New Roman"/>
          <w:noProof/>
          <w:lang w:val="ro-RO"/>
        </w:rPr>
        <w:t>i reducerea emisiilor de gaze cu efect de ser</w:t>
      </w:r>
      <w:bookmarkEnd w:id="118"/>
      <w:r w:rsidR="00BA7827" w:rsidRPr="008C5F1C">
        <w:rPr>
          <w:rFonts w:cs="Times New Roman"/>
          <w:noProof/>
          <w:lang w:val="ro-RO"/>
        </w:rPr>
        <w:t>ă</w:t>
      </w:r>
    </w:p>
    <w:p w14:paraId="1F5FEDFB" w14:textId="77777777" w:rsidR="00653571" w:rsidRPr="008C5F1C" w:rsidRDefault="00653571" w:rsidP="00653571">
      <w:pPr>
        <w:pStyle w:val="Heading4"/>
        <w:numPr>
          <w:ilvl w:val="0"/>
          <w:numId w:val="0"/>
        </w:numPr>
        <w:ind w:left="851" w:hanging="851"/>
        <w:rPr>
          <w:rFonts w:cs="Times New Roman"/>
          <w:b/>
          <w:bCs/>
          <w:noProof/>
          <w:lang w:val="ro-RO"/>
        </w:rPr>
      </w:pPr>
      <w:r w:rsidRPr="008C5F1C">
        <w:rPr>
          <w:rFonts w:cs="Times New Roman"/>
          <w:b/>
          <w:bCs/>
          <w:noProof/>
          <w:lang w:val="ro-RO"/>
        </w:rPr>
        <w:t>2.A.3.1 Interventions of the Funds</w:t>
      </w:r>
    </w:p>
    <w:p w14:paraId="3E396949" w14:textId="77777777" w:rsidR="00653571" w:rsidRPr="008C5F1C" w:rsidRDefault="00653571" w:rsidP="00653571">
      <w:pPr>
        <w:spacing w:before="120" w:after="120" w:line="360" w:lineRule="auto"/>
        <w:rPr>
          <w:rFonts w:ascii="Times New Roman" w:eastAsia="Times New Roman" w:hAnsi="Times New Roman" w:cs="Times New Roman"/>
          <w:i/>
          <w:noProof/>
          <w:sz w:val="24"/>
          <w:szCs w:val="24"/>
        </w:rPr>
      </w:pPr>
      <w:r w:rsidRPr="008C5F1C">
        <w:rPr>
          <w:rFonts w:ascii="Times New Roman" w:eastAsia="Times New Roman" w:hAnsi="Times New Roman" w:cs="Times New Roman"/>
          <w:i/>
          <w:noProof/>
          <w:sz w:val="24"/>
          <w:szCs w:val="24"/>
        </w:rPr>
        <w:t>Reference: Article 17(3)(d)(i),(iii),(iv),(v),(vi);</w:t>
      </w:r>
    </w:p>
    <w:p w14:paraId="3B88EAB7" w14:textId="77777777" w:rsidR="00653571" w:rsidRPr="008C5F1C" w:rsidRDefault="00653571" w:rsidP="00653571">
      <w:pPr>
        <w:bidi/>
        <w:spacing w:before="120" w:after="120" w:line="360" w:lineRule="auto"/>
        <w:jc w:val="right"/>
        <w:rPr>
          <w:rFonts w:ascii="Times New Roman" w:eastAsia="Times New Roman" w:hAnsi="Times New Roman" w:cs="Times New Roman"/>
          <w:b/>
          <w:bCs/>
          <w:i/>
          <w:iCs/>
          <w:noProof/>
          <w:sz w:val="24"/>
          <w:szCs w:val="24"/>
          <w:u w:val="single"/>
        </w:rPr>
      </w:pPr>
      <w:r w:rsidRPr="008C5F1C">
        <w:rPr>
          <w:rFonts w:ascii="Times New Roman" w:eastAsia="Times New Roman" w:hAnsi="Times New Roman" w:cs="Times New Roman"/>
          <w:i/>
          <w:noProof/>
          <w:sz w:val="24"/>
          <w:szCs w:val="24"/>
        </w:rPr>
        <w:t>The related types of actions – Article 17(3)(d)(i) CPR; Article 6(2) ESF+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653571" w:rsidRPr="008C5F1C" w14:paraId="15A110DB" w14:textId="77777777" w:rsidTr="00534127">
        <w:tc>
          <w:tcPr>
            <w:tcW w:w="9288" w:type="dxa"/>
            <w:tcBorders>
              <w:top w:val="single" w:sz="4" w:space="0" w:color="auto"/>
              <w:left w:val="single" w:sz="4" w:space="0" w:color="auto"/>
              <w:bottom w:val="single" w:sz="4" w:space="0" w:color="auto"/>
              <w:right w:val="single" w:sz="4" w:space="0" w:color="auto"/>
            </w:tcBorders>
            <w:hideMark/>
          </w:tcPr>
          <w:p w14:paraId="3E9E5D6E" w14:textId="75D8F779" w:rsidR="008D7A96" w:rsidRPr="008C5F1C" w:rsidRDefault="00F664A9" w:rsidP="008D7A96">
            <w:pPr>
              <w:spacing w:after="120" w:line="240" w:lineRule="auto"/>
              <w:jc w:val="both"/>
              <w:rPr>
                <w:rFonts w:ascii="Times New Roman" w:hAnsi="Times New Roman" w:cs="Times New Roman"/>
              </w:rPr>
            </w:pPr>
            <w:r w:rsidRPr="008C5F1C">
              <w:rPr>
                <w:rFonts w:ascii="Times New Roman" w:hAnsi="Times New Roman" w:cs="Times New Roman"/>
              </w:rPr>
              <w:t>I</w:t>
            </w:r>
            <w:r w:rsidR="008D7A96" w:rsidRPr="008C5F1C">
              <w:rPr>
                <w:rFonts w:ascii="Times New Roman" w:hAnsi="Times New Roman" w:cs="Times New Roman"/>
              </w:rPr>
              <w:t xml:space="preserve">n ceea ce privește calitatea fondului de locuințe, pe parcursul procesului de consultare realizat în timpul elaborării prezentei strategii, s-a remarcat faptul că cea mai are parte a orașelor respondente au afirmat că doar un procent de până la 20% din clădirile rezidențiale (locuire colectivă) a fost reabilitat termic, aceste intervenții cuprinzând de cele mai mult ori doar acțiuni de izolare exterioară, însă un unele cazuri au cuprins și intervenții de modernizare a infrastructurii </w:t>
            </w:r>
            <w:proofErr w:type="spellStart"/>
            <w:r w:rsidR="008D7A96" w:rsidRPr="008C5F1C">
              <w:rPr>
                <w:rFonts w:ascii="Times New Roman" w:hAnsi="Times New Roman" w:cs="Times New Roman"/>
              </w:rPr>
              <w:t>tehnico</w:t>
            </w:r>
            <w:proofErr w:type="spellEnd"/>
            <w:r w:rsidR="008D7A96" w:rsidRPr="008C5F1C">
              <w:rPr>
                <w:rFonts w:ascii="Times New Roman" w:hAnsi="Times New Roman" w:cs="Times New Roman"/>
              </w:rPr>
              <w:t>-edilitare, instalare de panouri solare sau modernizarea instalației de iluminat și iluminat public. Regiunea Nord-Vest se remarcă însă la nivel național prin interesul pentru introducerea și utilizarea conceptelor de clădiri verzi / sustenabile, 50 din cele 223 clădiri acreditate BREEAM din România aflându-se în regiune (1 Salonta, 1 Turda și 48 Cluj-Napoca - a doua cea mai mare concentrare de clădiri acreditate după București cu valori mult mai ridicate decât restul polilor de dezvoltare), în timp ce 8 din cele 92 de clădiri acreditate LEED din țară se află în Cluj-Napoca (încă 2 în Jucu) – aceasta este cea mai mare valoare din țară după București (52). Astfel de soluții pot fi benefice și pentru revitalizarea fondului de locuințe din municipiile și orașele din regiune.</w:t>
            </w:r>
          </w:p>
          <w:p w14:paraId="7DAE5D9F" w14:textId="6C807119" w:rsidR="008D7A96" w:rsidRPr="008C5F1C" w:rsidRDefault="008D7A96" w:rsidP="00534127">
            <w:pPr>
              <w:spacing w:after="120" w:line="240" w:lineRule="auto"/>
              <w:jc w:val="both"/>
              <w:rPr>
                <w:rFonts w:ascii="Times New Roman" w:hAnsi="Times New Roman" w:cs="Times New Roman"/>
              </w:rPr>
            </w:pPr>
            <w:r w:rsidRPr="008C5F1C">
              <w:rPr>
                <w:rFonts w:ascii="Times New Roman" w:hAnsi="Times New Roman" w:cs="Times New Roman"/>
              </w:rPr>
              <w:lastRenderedPageBreak/>
              <w:t xml:space="preserve">În 18 orașe din regiune, mai mult de jumătate din populație locuiește în zone dezavantajate sau marginalizate, cu procente alarmante de peste 80% în Vișeu de Sus, </w:t>
            </w:r>
            <w:proofErr w:type="spellStart"/>
            <w:r w:rsidRPr="008C5F1C">
              <w:rPr>
                <w:rFonts w:ascii="Times New Roman" w:hAnsi="Times New Roman" w:cs="Times New Roman"/>
              </w:rPr>
              <w:t>Săcueni</w:t>
            </w:r>
            <w:proofErr w:type="spellEnd"/>
            <w:r w:rsidRPr="008C5F1C">
              <w:rPr>
                <w:rFonts w:ascii="Times New Roman" w:hAnsi="Times New Roman" w:cs="Times New Roman"/>
              </w:rPr>
              <w:t xml:space="preserve">, Săliștea de Sus, Borșa, Sângeorz-Băi, Dragomirești și Livada (unde mai mult de 90% din rezidenți se află în situații de dezavantajare). La polul opus, în afară de Sighetul Marmației (cu peste 40% dintre locuitori în această situație), municipiile au înregistrat o situație mai favorabilă, cu maxim 30% din populație fiind dezavantajată. În cadrul municipiilor se pot identifica și probleme specifice de locuire, precum proporția locuințelor fără curent electric, proporția locuințelor supraaglomerate (&lt; 15,33 m2 pe persoană), nesiguranță locativă sau proporția gospodăriilor ce nu dețin o locuința proprietate personală, cele mai mari procente – de peste 10% din totalul populației – de populație dezavantajată din acest punct de vedere fiind  înregistrate în Cluj-Napoca, Oradea și Bistrița.  </w:t>
            </w:r>
          </w:p>
          <w:p w14:paraId="3906E4A4" w14:textId="1DAE2FBC" w:rsidR="008D7A96" w:rsidRPr="008C5F1C" w:rsidRDefault="008D7A96" w:rsidP="008D7A96">
            <w:pPr>
              <w:spacing w:after="120" w:line="240" w:lineRule="auto"/>
              <w:jc w:val="both"/>
              <w:rPr>
                <w:rFonts w:ascii="Times New Roman" w:hAnsi="Times New Roman" w:cs="Times New Roman"/>
              </w:rPr>
            </w:pPr>
            <w:r w:rsidRPr="008C5F1C">
              <w:rPr>
                <w:rFonts w:ascii="Times New Roman" w:hAnsi="Times New Roman" w:cs="Times New Roman"/>
              </w:rPr>
              <w:t>A</w:t>
            </w:r>
            <w:r w:rsidR="00653571" w:rsidRPr="008C5F1C">
              <w:rPr>
                <w:rFonts w:ascii="Times New Roman" w:hAnsi="Times New Roman" w:cs="Times New Roman"/>
              </w:rPr>
              <w:t>tât cl</w:t>
            </w:r>
            <w:r w:rsidR="00BA7827" w:rsidRPr="008C5F1C">
              <w:rPr>
                <w:rFonts w:ascii="Times New Roman" w:hAnsi="Times New Roman" w:cs="Times New Roman"/>
              </w:rPr>
              <w:t>ă</w:t>
            </w:r>
            <w:r w:rsidR="00653571" w:rsidRPr="008C5F1C">
              <w:rPr>
                <w:rFonts w:ascii="Times New Roman" w:hAnsi="Times New Roman" w:cs="Times New Roman"/>
              </w:rPr>
              <w:t>dirile reziden</w:t>
            </w:r>
            <w:r w:rsidR="00E22FF2" w:rsidRPr="008C5F1C">
              <w:rPr>
                <w:rFonts w:ascii="Times New Roman" w:hAnsi="Times New Roman" w:cs="Times New Roman"/>
              </w:rPr>
              <w:t>ț</w:t>
            </w:r>
            <w:r w:rsidR="00653571" w:rsidRPr="008C5F1C">
              <w:rPr>
                <w:rFonts w:ascii="Times New Roman" w:hAnsi="Times New Roman" w:cs="Times New Roman"/>
              </w:rPr>
              <w:t xml:space="preserve">iale, cât </w:t>
            </w:r>
            <w:r w:rsidR="00106240" w:rsidRPr="008C5F1C">
              <w:rPr>
                <w:rFonts w:ascii="Times New Roman" w:hAnsi="Times New Roman" w:cs="Times New Roman"/>
              </w:rPr>
              <w:t>ș</w:t>
            </w:r>
            <w:r w:rsidR="00653571" w:rsidRPr="008C5F1C">
              <w:rPr>
                <w:rFonts w:ascii="Times New Roman" w:hAnsi="Times New Roman" w:cs="Times New Roman"/>
              </w:rPr>
              <w:t>i cele de</w:t>
            </w:r>
            <w:r w:rsidR="00E22FF2" w:rsidRPr="008C5F1C">
              <w:rPr>
                <w:rFonts w:ascii="Times New Roman" w:hAnsi="Times New Roman" w:cs="Times New Roman"/>
              </w:rPr>
              <w:t>ț</w:t>
            </w:r>
            <w:r w:rsidR="00653571" w:rsidRPr="008C5F1C">
              <w:rPr>
                <w:rFonts w:ascii="Times New Roman" w:hAnsi="Times New Roman" w:cs="Times New Roman"/>
              </w:rPr>
              <w:t>inute de autorit</w:t>
            </w:r>
            <w:r w:rsidR="00BA7827" w:rsidRPr="008C5F1C">
              <w:rPr>
                <w:rFonts w:ascii="Times New Roman" w:hAnsi="Times New Roman" w:cs="Times New Roman"/>
              </w:rPr>
              <w:t>ă</w:t>
            </w:r>
            <w:r w:rsidR="00E22FF2" w:rsidRPr="008C5F1C">
              <w:rPr>
                <w:rFonts w:ascii="Times New Roman" w:hAnsi="Times New Roman" w:cs="Times New Roman"/>
              </w:rPr>
              <w:t>ț</w:t>
            </w:r>
            <w:r w:rsidR="00653571" w:rsidRPr="008C5F1C">
              <w:rPr>
                <w:rFonts w:ascii="Times New Roman" w:hAnsi="Times New Roman" w:cs="Times New Roman"/>
              </w:rPr>
              <w:t>ile publice locale sau de institu</w:t>
            </w:r>
            <w:r w:rsidR="00E22FF2" w:rsidRPr="008C5F1C">
              <w:rPr>
                <w:rFonts w:ascii="Times New Roman" w:hAnsi="Times New Roman" w:cs="Times New Roman"/>
              </w:rPr>
              <w:t>ț</w:t>
            </w:r>
            <w:r w:rsidR="00653571" w:rsidRPr="008C5F1C">
              <w:rPr>
                <w:rFonts w:ascii="Times New Roman" w:hAnsi="Times New Roman" w:cs="Times New Roman"/>
              </w:rPr>
              <w:t>iile deconcentrate sunt în general de genera</w:t>
            </w:r>
            <w:r w:rsidR="00E22FF2" w:rsidRPr="008C5F1C">
              <w:rPr>
                <w:rFonts w:ascii="Times New Roman" w:hAnsi="Times New Roman" w:cs="Times New Roman"/>
              </w:rPr>
              <w:t>ț</w:t>
            </w:r>
            <w:r w:rsidR="00653571" w:rsidRPr="008C5F1C">
              <w:rPr>
                <w:rFonts w:ascii="Times New Roman" w:hAnsi="Times New Roman" w:cs="Times New Roman"/>
              </w:rPr>
              <w:t xml:space="preserve">ie veche, având un consum ridicat de energie. </w:t>
            </w:r>
            <w:r w:rsidRPr="008C5F1C">
              <w:rPr>
                <w:rFonts w:ascii="Times New Roman" w:hAnsi="Times New Roman" w:cs="Times New Roman"/>
              </w:rPr>
              <w:t xml:space="preserve">Doar un procent de până la 20% din clădirile rezidențiale (locuire colectivă) a fost reabilitat termic, aceste intervenții cuprinzând de cele mai mult ori doar acțiuni de izolare exterioară, însă un unele cazuri au cuprins și intervenții de modernizare a infrastructurii </w:t>
            </w:r>
            <w:proofErr w:type="spellStart"/>
            <w:r w:rsidRPr="008C5F1C">
              <w:rPr>
                <w:rFonts w:ascii="Times New Roman" w:hAnsi="Times New Roman" w:cs="Times New Roman"/>
              </w:rPr>
              <w:t>tehnico</w:t>
            </w:r>
            <w:proofErr w:type="spellEnd"/>
            <w:r w:rsidRPr="008C5F1C">
              <w:rPr>
                <w:rFonts w:ascii="Times New Roman" w:hAnsi="Times New Roman" w:cs="Times New Roman"/>
              </w:rPr>
              <w:t xml:space="preserve">-edilitare, instalare de panouri solare sau modernizarea instalației de iluminat și iluminat public. </w:t>
            </w:r>
          </w:p>
          <w:p w14:paraId="4FAA1782" w14:textId="6C3299E6" w:rsidR="008D7A96" w:rsidRPr="008C5F1C" w:rsidRDefault="008D7A96" w:rsidP="00F664A9">
            <w:pPr>
              <w:spacing w:after="120" w:line="240" w:lineRule="auto"/>
              <w:jc w:val="both"/>
              <w:rPr>
                <w:rFonts w:ascii="Times New Roman" w:hAnsi="Times New Roman" w:cs="Times New Roman"/>
              </w:rPr>
            </w:pPr>
            <w:r w:rsidRPr="008C5F1C">
              <w:rPr>
                <w:rFonts w:ascii="Times New Roman" w:hAnsi="Times New Roman" w:cs="Times New Roman"/>
              </w:rPr>
              <w:t>Calitatea clădirilor rezidențiale influențează în mod direct calitatea vieții, sănătate dar și veniturile populației. Regiunea Nord-Vest se remarcă însă la nivel național prin interesul pentru introducerea și utilizarea conceptelor de clădiri verzi / sustenabile, 50 din cele 223 clădiri acreditate BREEAM din România aflându-se în regiune (1 Salonta, 1 Turda și 48 Cluj-Napoca - a doua cea mai mare concentrare de clădiri acreditate după București cu valori mult mai ridicate decât restul polilor de dezvoltare), în timp ce 8 din cele 92 de clădiri acreditate LEED din țară se află în Cluj-Napoca (încă 2 în Jucu) – aceasta este cea mai mare valoare din țară după București (52). Astfel de soluții pot fi benefice și pentru revitalizarea fondului de locuințe din municipiile și orașele din regiune.</w:t>
            </w:r>
          </w:p>
          <w:p w14:paraId="0EA1361E" w14:textId="6B2A4D09" w:rsidR="00653571" w:rsidRPr="008C5F1C" w:rsidRDefault="008D7A96" w:rsidP="00534127">
            <w:pPr>
              <w:spacing w:after="120" w:line="240" w:lineRule="auto"/>
              <w:jc w:val="both"/>
              <w:rPr>
                <w:rFonts w:ascii="Times New Roman" w:hAnsi="Times New Roman" w:cs="Times New Roman"/>
              </w:rPr>
            </w:pPr>
            <w:r w:rsidRPr="008C5F1C">
              <w:rPr>
                <w:rFonts w:ascii="Times New Roman" w:hAnsi="Times New Roman" w:cs="Times New Roman"/>
              </w:rPr>
              <w:t>C</w:t>
            </w:r>
            <w:r w:rsidR="00653571" w:rsidRPr="008C5F1C">
              <w:rPr>
                <w:rFonts w:ascii="Times New Roman" w:hAnsi="Times New Roman" w:cs="Times New Roman"/>
              </w:rPr>
              <w:t>l</w:t>
            </w:r>
            <w:r w:rsidR="00BA7827" w:rsidRPr="008C5F1C">
              <w:rPr>
                <w:rFonts w:ascii="Times New Roman" w:hAnsi="Times New Roman" w:cs="Times New Roman"/>
              </w:rPr>
              <w:t>ă</w:t>
            </w:r>
            <w:r w:rsidR="00653571" w:rsidRPr="008C5F1C">
              <w:rPr>
                <w:rFonts w:ascii="Times New Roman" w:hAnsi="Times New Roman" w:cs="Times New Roman"/>
              </w:rPr>
              <w:t>dirile publice sunt importante din mai multe puncte de vedere: sunt cl</w:t>
            </w:r>
            <w:r w:rsidR="00BA7827" w:rsidRPr="008C5F1C">
              <w:rPr>
                <w:rFonts w:ascii="Times New Roman" w:hAnsi="Times New Roman" w:cs="Times New Roman"/>
              </w:rPr>
              <w:t>ă</w:t>
            </w:r>
            <w:r w:rsidR="00653571" w:rsidRPr="008C5F1C">
              <w:rPr>
                <w:rFonts w:ascii="Times New Roman" w:hAnsi="Times New Roman" w:cs="Times New Roman"/>
              </w:rPr>
              <w:t>diri în care popula</w:t>
            </w:r>
            <w:r w:rsidR="00E22FF2" w:rsidRPr="008C5F1C">
              <w:rPr>
                <w:rFonts w:ascii="Times New Roman" w:hAnsi="Times New Roman" w:cs="Times New Roman"/>
              </w:rPr>
              <w:t>ț</w:t>
            </w:r>
            <w:r w:rsidR="00653571" w:rsidRPr="008C5F1C">
              <w:rPr>
                <w:rFonts w:ascii="Times New Roman" w:hAnsi="Times New Roman" w:cs="Times New Roman"/>
              </w:rPr>
              <w:t>ia î</w:t>
            </w:r>
            <w:r w:rsidR="00106240" w:rsidRPr="008C5F1C">
              <w:rPr>
                <w:rFonts w:ascii="Times New Roman" w:hAnsi="Times New Roman" w:cs="Times New Roman"/>
              </w:rPr>
              <w:t>ș</w:t>
            </w:r>
            <w:r w:rsidR="00653571" w:rsidRPr="008C5F1C">
              <w:rPr>
                <w:rFonts w:ascii="Times New Roman" w:hAnsi="Times New Roman" w:cs="Times New Roman"/>
              </w:rPr>
              <w:t>i petrece o mare parte din timp, având influen</w:t>
            </w:r>
            <w:r w:rsidR="00E22FF2" w:rsidRPr="008C5F1C">
              <w:rPr>
                <w:rFonts w:ascii="Times New Roman" w:hAnsi="Times New Roman" w:cs="Times New Roman"/>
              </w:rPr>
              <w:t>ț</w:t>
            </w:r>
            <w:r w:rsidR="00BA7827" w:rsidRPr="008C5F1C">
              <w:rPr>
                <w:rFonts w:ascii="Times New Roman" w:hAnsi="Times New Roman" w:cs="Times New Roman"/>
              </w:rPr>
              <w:t>ă</w:t>
            </w:r>
            <w:r w:rsidR="00653571" w:rsidRPr="008C5F1C">
              <w:rPr>
                <w:rFonts w:ascii="Times New Roman" w:hAnsi="Times New Roman" w:cs="Times New Roman"/>
              </w:rPr>
              <w:t xml:space="preserve"> asupra calit</w:t>
            </w:r>
            <w:r w:rsidR="00BA7827" w:rsidRPr="008C5F1C">
              <w:rPr>
                <w:rFonts w:ascii="Times New Roman" w:hAnsi="Times New Roman" w:cs="Times New Roman"/>
              </w:rPr>
              <w:t>ă</w:t>
            </w:r>
            <w:r w:rsidR="00E22FF2" w:rsidRPr="008C5F1C">
              <w:rPr>
                <w:rFonts w:ascii="Times New Roman" w:hAnsi="Times New Roman" w:cs="Times New Roman"/>
              </w:rPr>
              <w:t>ț</w:t>
            </w:r>
            <w:r w:rsidR="00653571" w:rsidRPr="008C5F1C">
              <w:rPr>
                <w:rFonts w:ascii="Times New Roman" w:hAnsi="Times New Roman" w:cs="Times New Roman"/>
              </w:rPr>
              <w:t>ii vie</w:t>
            </w:r>
            <w:r w:rsidR="00E22FF2" w:rsidRPr="008C5F1C">
              <w:rPr>
                <w:rFonts w:ascii="Times New Roman" w:hAnsi="Times New Roman" w:cs="Times New Roman"/>
              </w:rPr>
              <w:t>ț</w:t>
            </w:r>
            <w:r w:rsidR="00653571" w:rsidRPr="008C5F1C">
              <w:rPr>
                <w:rFonts w:ascii="Times New Roman" w:hAnsi="Times New Roman" w:cs="Times New Roman"/>
              </w:rPr>
              <w:t>ii; sunt cl</w:t>
            </w:r>
            <w:r w:rsidR="00BA7827" w:rsidRPr="008C5F1C">
              <w:rPr>
                <w:rFonts w:ascii="Times New Roman" w:hAnsi="Times New Roman" w:cs="Times New Roman"/>
              </w:rPr>
              <w:t>ă</w:t>
            </w:r>
            <w:r w:rsidR="00653571" w:rsidRPr="008C5F1C">
              <w:rPr>
                <w:rFonts w:ascii="Times New Roman" w:hAnsi="Times New Roman" w:cs="Times New Roman"/>
              </w:rPr>
              <w:t>diri care servesc drept exemple de arhitectur</w:t>
            </w:r>
            <w:r w:rsidR="00BA7827" w:rsidRPr="008C5F1C">
              <w:rPr>
                <w:rFonts w:ascii="Times New Roman" w:hAnsi="Times New Roman" w:cs="Times New Roman"/>
              </w:rPr>
              <w:t>ă</w:t>
            </w:r>
            <w:r w:rsidR="00653571" w:rsidRPr="008C5F1C">
              <w:rPr>
                <w:rFonts w:ascii="Times New Roman" w:hAnsi="Times New Roman" w:cs="Times New Roman"/>
              </w:rPr>
              <w:t xml:space="preserve"> pentru popula</w:t>
            </w:r>
            <w:r w:rsidR="00E22FF2" w:rsidRPr="008C5F1C">
              <w:rPr>
                <w:rFonts w:ascii="Times New Roman" w:hAnsi="Times New Roman" w:cs="Times New Roman"/>
              </w:rPr>
              <w:t>ț</w:t>
            </w:r>
            <w:r w:rsidR="00653571" w:rsidRPr="008C5F1C">
              <w:rPr>
                <w:rFonts w:ascii="Times New Roman" w:hAnsi="Times New Roman" w:cs="Times New Roman"/>
              </w:rPr>
              <w:t xml:space="preserve">ie, pot avea un rol de exemplificare </w:t>
            </w:r>
            <w:r w:rsidR="00106240" w:rsidRPr="008C5F1C">
              <w:rPr>
                <w:rFonts w:ascii="Times New Roman" w:hAnsi="Times New Roman" w:cs="Times New Roman"/>
              </w:rPr>
              <w:t>ș</w:t>
            </w:r>
            <w:r w:rsidR="00653571" w:rsidRPr="008C5F1C">
              <w:rPr>
                <w:rFonts w:ascii="Times New Roman" w:hAnsi="Times New Roman" w:cs="Times New Roman"/>
              </w:rPr>
              <w:t>i con</w:t>
            </w:r>
            <w:r w:rsidR="00106240" w:rsidRPr="008C5F1C">
              <w:rPr>
                <w:rFonts w:ascii="Times New Roman" w:hAnsi="Times New Roman" w:cs="Times New Roman"/>
              </w:rPr>
              <w:t>ș</w:t>
            </w:r>
            <w:r w:rsidR="00653571" w:rsidRPr="008C5F1C">
              <w:rPr>
                <w:rFonts w:ascii="Times New Roman" w:hAnsi="Times New Roman" w:cs="Times New Roman"/>
              </w:rPr>
              <w:t>tientizare a popula</w:t>
            </w:r>
            <w:r w:rsidR="00E22FF2" w:rsidRPr="008C5F1C">
              <w:rPr>
                <w:rFonts w:ascii="Times New Roman" w:hAnsi="Times New Roman" w:cs="Times New Roman"/>
              </w:rPr>
              <w:t>ț</w:t>
            </w:r>
            <w:r w:rsidR="00653571" w:rsidRPr="008C5F1C">
              <w:rPr>
                <w:rFonts w:ascii="Times New Roman" w:hAnsi="Times New Roman" w:cs="Times New Roman"/>
              </w:rPr>
              <w:t xml:space="preserve">iei cu privire la necesitatea </w:t>
            </w:r>
            <w:r w:rsidR="00106240" w:rsidRPr="008C5F1C">
              <w:rPr>
                <w:rFonts w:ascii="Times New Roman" w:hAnsi="Times New Roman" w:cs="Times New Roman"/>
              </w:rPr>
              <w:t>ș</w:t>
            </w:r>
            <w:r w:rsidR="00653571" w:rsidRPr="008C5F1C">
              <w:rPr>
                <w:rFonts w:ascii="Times New Roman" w:hAnsi="Times New Roman" w:cs="Times New Roman"/>
              </w:rPr>
              <w:t>i beneficiile consumului de energie în cl</w:t>
            </w:r>
            <w:r w:rsidR="00BA7827" w:rsidRPr="008C5F1C">
              <w:rPr>
                <w:rFonts w:ascii="Times New Roman" w:hAnsi="Times New Roman" w:cs="Times New Roman"/>
              </w:rPr>
              <w:t>ă</w:t>
            </w:r>
            <w:r w:rsidR="00653571" w:rsidRPr="008C5F1C">
              <w:rPr>
                <w:rFonts w:ascii="Times New Roman" w:hAnsi="Times New Roman" w:cs="Times New Roman"/>
              </w:rPr>
              <w:t>diri.</w:t>
            </w:r>
          </w:p>
          <w:p w14:paraId="0EACE8FB" w14:textId="77777777" w:rsidR="00653571" w:rsidRPr="008C5F1C" w:rsidRDefault="00653571" w:rsidP="00534127">
            <w:pPr>
              <w:spacing w:after="120" w:line="240" w:lineRule="auto"/>
              <w:jc w:val="both"/>
              <w:rPr>
                <w:rFonts w:ascii="Times New Roman" w:hAnsi="Times New Roman" w:cs="Times New Roman"/>
              </w:rPr>
            </w:pPr>
            <w:r w:rsidRPr="008C5F1C">
              <w:rPr>
                <w:rFonts w:ascii="Times New Roman" w:hAnsi="Times New Roman" w:cs="Times New Roman"/>
              </w:rPr>
              <w:t>În cadrul acestui obiectiv specific vor fi continuate eforturile investi</w:t>
            </w:r>
            <w:r w:rsidR="00E22FF2" w:rsidRPr="008C5F1C">
              <w:rPr>
                <w:rFonts w:ascii="Times New Roman" w:hAnsi="Times New Roman" w:cs="Times New Roman"/>
              </w:rPr>
              <w:t>ț</w:t>
            </w:r>
            <w:r w:rsidRPr="008C5F1C">
              <w:rPr>
                <w:rFonts w:ascii="Times New Roman" w:hAnsi="Times New Roman" w:cs="Times New Roman"/>
              </w:rPr>
              <w:t>ionale desf</w:t>
            </w:r>
            <w:r w:rsidR="00BA7827" w:rsidRPr="008C5F1C">
              <w:rPr>
                <w:rFonts w:ascii="Times New Roman" w:hAnsi="Times New Roman" w:cs="Times New Roman"/>
              </w:rPr>
              <w:t>ă</w:t>
            </w:r>
            <w:r w:rsidR="00106240" w:rsidRPr="008C5F1C">
              <w:rPr>
                <w:rFonts w:ascii="Times New Roman" w:hAnsi="Times New Roman" w:cs="Times New Roman"/>
              </w:rPr>
              <w:t>ș</w:t>
            </w:r>
            <w:r w:rsidRPr="008C5F1C">
              <w:rPr>
                <w:rFonts w:ascii="Times New Roman" w:hAnsi="Times New Roman" w:cs="Times New Roman"/>
              </w:rPr>
              <w:t>urate în perioada anterioar</w:t>
            </w:r>
            <w:r w:rsidR="00BA7827" w:rsidRPr="008C5F1C">
              <w:rPr>
                <w:rFonts w:ascii="Times New Roman" w:hAnsi="Times New Roman" w:cs="Times New Roman"/>
              </w:rPr>
              <w:t>ă</w:t>
            </w:r>
            <w:r w:rsidRPr="008C5F1C">
              <w:rPr>
                <w:rFonts w:ascii="Times New Roman" w:hAnsi="Times New Roman" w:cs="Times New Roman"/>
              </w:rPr>
              <w:t xml:space="preserve"> de programare, prin m</w:t>
            </w:r>
            <w:r w:rsidR="00BA7827" w:rsidRPr="008C5F1C">
              <w:rPr>
                <w:rFonts w:ascii="Times New Roman" w:hAnsi="Times New Roman" w:cs="Times New Roman"/>
              </w:rPr>
              <w:t>ă</w:t>
            </w:r>
            <w:r w:rsidRPr="008C5F1C">
              <w:rPr>
                <w:rFonts w:ascii="Times New Roman" w:hAnsi="Times New Roman" w:cs="Times New Roman"/>
              </w:rPr>
              <w:t>suri de eficien</w:t>
            </w:r>
            <w:r w:rsidR="00E22FF2" w:rsidRPr="008C5F1C">
              <w:rPr>
                <w:rFonts w:ascii="Times New Roman" w:hAnsi="Times New Roman" w:cs="Times New Roman"/>
              </w:rPr>
              <w:t>ț</w:t>
            </w:r>
            <w:r w:rsidR="00BA7827" w:rsidRPr="008C5F1C">
              <w:rPr>
                <w:rFonts w:ascii="Times New Roman" w:hAnsi="Times New Roman" w:cs="Times New Roman"/>
              </w:rPr>
              <w:t>ă</w:t>
            </w:r>
            <w:r w:rsidRPr="008C5F1C">
              <w:rPr>
                <w:rFonts w:ascii="Times New Roman" w:hAnsi="Times New Roman" w:cs="Times New Roman"/>
              </w:rPr>
              <w:t xml:space="preserve"> energetic</w:t>
            </w:r>
            <w:r w:rsidR="00BA7827" w:rsidRPr="008C5F1C">
              <w:rPr>
                <w:rFonts w:ascii="Times New Roman" w:hAnsi="Times New Roman" w:cs="Times New Roman"/>
              </w:rPr>
              <w:t>ă</w:t>
            </w:r>
            <w:r w:rsidRPr="008C5F1C">
              <w:rPr>
                <w:rFonts w:ascii="Times New Roman" w:hAnsi="Times New Roman" w:cs="Times New Roman"/>
              </w:rPr>
              <w:t xml:space="preserve"> a cl</w:t>
            </w:r>
            <w:r w:rsidR="00BA7827" w:rsidRPr="008C5F1C">
              <w:rPr>
                <w:rFonts w:ascii="Times New Roman" w:hAnsi="Times New Roman" w:cs="Times New Roman"/>
              </w:rPr>
              <w:t>ă</w:t>
            </w:r>
            <w:r w:rsidRPr="008C5F1C">
              <w:rPr>
                <w:rFonts w:ascii="Times New Roman" w:hAnsi="Times New Roman" w:cs="Times New Roman"/>
              </w:rPr>
              <w:t>dirilor publice având ca scop reabilitarea energetic</w:t>
            </w:r>
            <w:r w:rsidR="00BA7827" w:rsidRPr="008C5F1C">
              <w:rPr>
                <w:rFonts w:ascii="Times New Roman" w:hAnsi="Times New Roman" w:cs="Times New Roman"/>
              </w:rPr>
              <w:t>ă</w:t>
            </w:r>
            <w:r w:rsidRPr="008C5F1C">
              <w:rPr>
                <w:rFonts w:ascii="Times New Roman" w:hAnsi="Times New Roman" w:cs="Times New Roman"/>
              </w:rPr>
              <w:t xml:space="preserve"> profund</w:t>
            </w:r>
            <w:r w:rsidR="00BA7827" w:rsidRPr="008C5F1C">
              <w:rPr>
                <w:rFonts w:ascii="Times New Roman" w:hAnsi="Times New Roman" w:cs="Times New Roman"/>
              </w:rPr>
              <w:t>ă</w:t>
            </w:r>
            <w:r w:rsidRPr="008C5F1C">
              <w:rPr>
                <w:rFonts w:ascii="Times New Roman" w:hAnsi="Times New Roman" w:cs="Times New Roman"/>
              </w:rPr>
              <w:t xml:space="preserve"> (</w:t>
            </w:r>
            <w:proofErr w:type="spellStart"/>
            <w:r w:rsidRPr="008C5F1C">
              <w:rPr>
                <w:rFonts w:ascii="Times New Roman" w:hAnsi="Times New Roman" w:cs="Times New Roman"/>
              </w:rPr>
              <w:t>deep</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renovation</w:t>
            </w:r>
            <w:proofErr w:type="spellEnd"/>
            <w:r w:rsidRPr="008C5F1C">
              <w:rPr>
                <w:rFonts w:ascii="Times New Roman" w:hAnsi="Times New Roman" w:cs="Times New Roman"/>
              </w:rPr>
              <w:t>), inclusiv izolarea termic</w:t>
            </w:r>
            <w:r w:rsidR="00BA7827" w:rsidRPr="008C5F1C">
              <w:rPr>
                <w:rFonts w:ascii="Times New Roman" w:hAnsi="Times New Roman" w:cs="Times New Roman"/>
              </w:rPr>
              <w:t>ă</w:t>
            </w:r>
            <w:r w:rsidRPr="008C5F1C">
              <w:rPr>
                <w:rFonts w:ascii="Times New Roman" w:hAnsi="Times New Roman" w:cs="Times New Roman"/>
              </w:rPr>
              <w:t xml:space="preserve">, reabilitarea </w:t>
            </w:r>
            <w:r w:rsidR="00106240" w:rsidRPr="008C5F1C">
              <w:rPr>
                <w:rFonts w:ascii="Times New Roman" w:hAnsi="Times New Roman" w:cs="Times New Roman"/>
              </w:rPr>
              <w:t>ș</w:t>
            </w:r>
            <w:r w:rsidRPr="008C5F1C">
              <w:rPr>
                <w:rFonts w:ascii="Times New Roman" w:hAnsi="Times New Roman" w:cs="Times New Roman"/>
              </w:rPr>
              <w:t>i modernizarea sistemelor de înc</w:t>
            </w:r>
            <w:r w:rsidR="00BA7827" w:rsidRPr="008C5F1C">
              <w:rPr>
                <w:rFonts w:ascii="Times New Roman" w:hAnsi="Times New Roman" w:cs="Times New Roman"/>
              </w:rPr>
              <w:t>ă</w:t>
            </w:r>
            <w:r w:rsidRPr="008C5F1C">
              <w:rPr>
                <w:rFonts w:ascii="Times New Roman" w:hAnsi="Times New Roman" w:cs="Times New Roman"/>
              </w:rPr>
              <w:t xml:space="preserve">lzire </w:t>
            </w:r>
            <w:r w:rsidR="00106240" w:rsidRPr="008C5F1C">
              <w:rPr>
                <w:rFonts w:ascii="Times New Roman" w:hAnsi="Times New Roman" w:cs="Times New Roman"/>
              </w:rPr>
              <w:t>ș</w:t>
            </w:r>
            <w:r w:rsidRPr="008C5F1C">
              <w:rPr>
                <w:rFonts w:ascii="Times New Roman" w:hAnsi="Times New Roman" w:cs="Times New Roman"/>
              </w:rPr>
              <w:t>i a re</w:t>
            </w:r>
            <w:r w:rsidR="00E22FF2" w:rsidRPr="008C5F1C">
              <w:rPr>
                <w:rFonts w:ascii="Times New Roman" w:hAnsi="Times New Roman" w:cs="Times New Roman"/>
              </w:rPr>
              <w:t>ț</w:t>
            </w:r>
            <w:r w:rsidRPr="008C5F1C">
              <w:rPr>
                <w:rFonts w:ascii="Times New Roman" w:hAnsi="Times New Roman" w:cs="Times New Roman"/>
              </w:rPr>
              <w:t xml:space="preserve">elelor </w:t>
            </w:r>
            <w:r w:rsidR="00106240" w:rsidRPr="008C5F1C">
              <w:rPr>
                <w:rFonts w:ascii="Times New Roman" w:hAnsi="Times New Roman" w:cs="Times New Roman"/>
              </w:rPr>
              <w:t>ș</w:t>
            </w:r>
            <w:r w:rsidRPr="008C5F1C">
              <w:rPr>
                <w:rFonts w:ascii="Times New Roman" w:hAnsi="Times New Roman" w:cs="Times New Roman"/>
              </w:rPr>
              <w:t>i instala</w:t>
            </w:r>
            <w:r w:rsidR="00E22FF2" w:rsidRPr="008C5F1C">
              <w:rPr>
                <w:rFonts w:ascii="Times New Roman" w:hAnsi="Times New Roman" w:cs="Times New Roman"/>
              </w:rPr>
              <w:t>ț</w:t>
            </w:r>
            <w:r w:rsidRPr="008C5F1C">
              <w:rPr>
                <w:rFonts w:ascii="Times New Roman" w:hAnsi="Times New Roman" w:cs="Times New Roman"/>
              </w:rPr>
              <w:t xml:space="preserve">iilor, iluminat </w:t>
            </w:r>
            <w:r w:rsidR="00106240" w:rsidRPr="008C5F1C">
              <w:rPr>
                <w:rFonts w:ascii="Times New Roman" w:hAnsi="Times New Roman" w:cs="Times New Roman"/>
              </w:rPr>
              <w:t>ș</w:t>
            </w:r>
            <w:r w:rsidRPr="008C5F1C">
              <w:rPr>
                <w:rFonts w:ascii="Times New Roman" w:hAnsi="Times New Roman" w:cs="Times New Roman"/>
              </w:rPr>
              <w:t>i sistemul de management energetic al cl</w:t>
            </w:r>
            <w:r w:rsidR="00BA7827" w:rsidRPr="008C5F1C">
              <w:rPr>
                <w:rFonts w:ascii="Times New Roman" w:hAnsi="Times New Roman" w:cs="Times New Roman"/>
              </w:rPr>
              <w:t>ă</w:t>
            </w:r>
            <w:r w:rsidRPr="008C5F1C">
              <w:rPr>
                <w:rFonts w:ascii="Times New Roman" w:hAnsi="Times New Roman" w:cs="Times New Roman"/>
              </w:rPr>
              <w:t>dirii (m</w:t>
            </w:r>
            <w:r w:rsidR="00BA7827" w:rsidRPr="008C5F1C">
              <w:rPr>
                <w:rFonts w:ascii="Times New Roman" w:hAnsi="Times New Roman" w:cs="Times New Roman"/>
              </w:rPr>
              <w:t>ă</w:t>
            </w:r>
            <w:r w:rsidRPr="008C5F1C">
              <w:rPr>
                <w:rFonts w:ascii="Times New Roman" w:hAnsi="Times New Roman" w:cs="Times New Roman"/>
              </w:rPr>
              <w:t>suri de eficien</w:t>
            </w:r>
            <w:r w:rsidR="00E22FF2" w:rsidRPr="008C5F1C">
              <w:rPr>
                <w:rFonts w:ascii="Times New Roman" w:hAnsi="Times New Roman" w:cs="Times New Roman"/>
              </w:rPr>
              <w:t>ț</w:t>
            </w:r>
            <w:r w:rsidR="00BA7827" w:rsidRPr="008C5F1C">
              <w:rPr>
                <w:rFonts w:ascii="Times New Roman" w:hAnsi="Times New Roman" w:cs="Times New Roman"/>
              </w:rPr>
              <w:t>ă</w:t>
            </w:r>
            <w:r w:rsidRPr="008C5F1C">
              <w:rPr>
                <w:rFonts w:ascii="Times New Roman" w:hAnsi="Times New Roman" w:cs="Times New Roman"/>
              </w:rPr>
              <w:t xml:space="preserve"> energetic</w:t>
            </w:r>
            <w:r w:rsidR="00BA7827" w:rsidRPr="008C5F1C">
              <w:rPr>
                <w:rFonts w:ascii="Times New Roman" w:hAnsi="Times New Roman" w:cs="Times New Roman"/>
              </w:rPr>
              <w:t>ă</w:t>
            </w:r>
            <w:r w:rsidRPr="008C5F1C">
              <w:rPr>
                <w:rFonts w:ascii="Times New Roman" w:hAnsi="Times New Roman" w:cs="Times New Roman"/>
              </w:rPr>
              <w:t xml:space="preserve"> tipice). Vor fi eligibile pentru finan</w:t>
            </w:r>
            <w:r w:rsidR="00E22FF2" w:rsidRPr="008C5F1C">
              <w:rPr>
                <w:rFonts w:ascii="Times New Roman" w:hAnsi="Times New Roman" w:cs="Times New Roman"/>
              </w:rPr>
              <w:t>ț</w:t>
            </w:r>
            <w:r w:rsidRPr="008C5F1C">
              <w:rPr>
                <w:rFonts w:ascii="Times New Roman" w:hAnsi="Times New Roman" w:cs="Times New Roman"/>
              </w:rPr>
              <w:t>are toate tipurile de cl</w:t>
            </w:r>
            <w:r w:rsidR="00BA7827" w:rsidRPr="008C5F1C">
              <w:rPr>
                <w:rFonts w:ascii="Times New Roman" w:hAnsi="Times New Roman" w:cs="Times New Roman"/>
              </w:rPr>
              <w:t>ă</w:t>
            </w:r>
            <w:r w:rsidRPr="008C5F1C">
              <w:rPr>
                <w:rFonts w:ascii="Times New Roman" w:hAnsi="Times New Roman" w:cs="Times New Roman"/>
              </w:rPr>
              <w:t>diri publice de</w:t>
            </w:r>
            <w:r w:rsidR="00E22FF2" w:rsidRPr="008C5F1C">
              <w:rPr>
                <w:rFonts w:ascii="Times New Roman" w:hAnsi="Times New Roman" w:cs="Times New Roman"/>
              </w:rPr>
              <w:t>ț</w:t>
            </w:r>
            <w:r w:rsidRPr="008C5F1C">
              <w:rPr>
                <w:rFonts w:ascii="Times New Roman" w:hAnsi="Times New Roman" w:cs="Times New Roman"/>
              </w:rPr>
              <w:t xml:space="preserve">inute </w:t>
            </w:r>
            <w:r w:rsidR="00106240" w:rsidRPr="008C5F1C">
              <w:rPr>
                <w:rFonts w:ascii="Times New Roman" w:hAnsi="Times New Roman" w:cs="Times New Roman"/>
              </w:rPr>
              <w:t>ș</w:t>
            </w:r>
            <w:r w:rsidRPr="008C5F1C">
              <w:rPr>
                <w:rFonts w:ascii="Times New Roman" w:hAnsi="Times New Roman" w:cs="Times New Roman"/>
              </w:rPr>
              <w:t>i ocupate de autorit</w:t>
            </w:r>
            <w:r w:rsidR="00BA7827" w:rsidRPr="008C5F1C">
              <w:rPr>
                <w:rFonts w:ascii="Times New Roman" w:hAnsi="Times New Roman" w:cs="Times New Roman"/>
              </w:rPr>
              <w:t>ă</w:t>
            </w:r>
            <w:r w:rsidR="00E22FF2" w:rsidRPr="008C5F1C">
              <w:rPr>
                <w:rFonts w:ascii="Times New Roman" w:hAnsi="Times New Roman" w:cs="Times New Roman"/>
              </w:rPr>
              <w:t>ț</w:t>
            </w:r>
            <w:r w:rsidRPr="008C5F1C">
              <w:rPr>
                <w:rFonts w:ascii="Times New Roman" w:hAnsi="Times New Roman" w:cs="Times New Roman"/>
              </w:rPr>
              <w:t xml:space="preserve">ile </w:t>
            </w:r>
            <w:r w:rsidR="00106240" w:rsidRPr="008C5F1C">
              <w:rPr>
                <w:rFonts w:ascii="Times New Roman" w:hAnsi="Times New Roman" w:cs="Times New Roman"/>
              </w:rPr>
              <w:t>ș</w:t>
            </w:r>
            <w:r w:rsidRPr="008C5F1C">
              <w:rPr>
                <w:rFonts w:ascii="Times New Roman" w:hAnsi="Times New Roman" w:cs="Times New Roman"/>
              </w:rPr>
              <w:t>i institu</w:t>
            </w:r>
            <w:r w:rsidR="00E22FF2" w:rsidRPr="008C5F1C">
              <w:rPr>
                <w:rFonts w:ascii="Times New Roman" w:hAnsi="Times New Roman" w:cs="Times New Roman"/>
              </w:rPr>
              <w:t>ț</w:t>
            </w:r>
            <w:r w:rsidRPr="008C5F1C">
              <w:rPr>
                <w:rFonts w:ascii="Times New Roman" w:hAnsi="Times New Roman" w:cs="Times New Roman"/>
              </w:rPr>
              <w:t>iile de la nivel local cum ar fi: cl</w:t>
            </w:r>
            <w:r w:rsidR="00BA7827" w:rsidRPr="008C5F1C">
              <w:rPr>
                <w:rFonts w:ascii="Times New Roman" w:hAnsi="Times New Roman" w:cs="Times New Roman"/>
              </w:rPr>
              <w:t>ă</w:t>
            </w:r>
            <w:r w:rsidRPr="008C5F1C">
              <w:rPr>
                <w:rFonts w:ascii="Times New Roman" w:hAnsi="Times New Roman" w:cs="Times New Roman"/>
              </w:rPr>
              <w:t>diri de înv</w:t>
            </w:r>
            <w:r w:rsidR="00BA7827" w:rsidRPr="008C5F1C">
              <w:rPr>
                <w:rFonts w:ascii="Times New Roman" w:hAnsi="Times New Roman" w:cs="Times New Roman"/>
              </w:rPr>
              <w:t>ă</w:t>
            </w:r>
            <w:r w:rsidR="00E22FF2" w:rsidRPr="008C5F1C">
              <w:rPr>
                <w:rFonts w:ascii="Times New Roman" w:hAnsi="Times New Roman" w:cs="Times New Roman"/>
              </w:rPr>
              <w:t>ț</w:t>
            </w:r>
            <w:r w:rsidR="00BA7827" w:rsidRPr="008C5F1C">
              <w:rPr>
                <w:rFonts w:ascii="Times New Roman" w:hAnsi="Times New Roman" w:cs="Times New Roman"/>
              </w:rPr>
              <w:t>ă</w:t>
            </w:r>
            <w:r w:rsidRPr="008C5F1C">
              <w:rPr>
                <w:rFonts w:ascii="Times New Roman" w:hAnsi="Times New Roman" w:cs="Times New Roman"/>
              </w:rPr>
              <w:t>mânt, cl</w:t>
            </w:r>
            <w:r w:rsidR="00BA7827" w:rsidRPr="008C5F1C">
              <w:rPr>
                <w:rFonts w:ascii="Times New Roman" w:hAnsi="Times New Roman" w:cs="Times New Roman"/>
              </w:rPr>
              <w:t>ă</w:t>
            </w:r>
            <w:r w:rsidRPr="008C5F1C">
              <w:rPr>
                <w:rFonts w:ascii="Times New Roman" w:hAnsi="Times New Roman" w:cs="Times New Roman"/>
              </w:rPr>
              <w:t>diri administrative, etc., inclusiv spa</w:t>
            </w:r>
            <w:r w:rsidR="00E22FF2" w:rsidRPr="008C5F1C">
              <w:rPr>
                <w:rFonts w:ascii="Times New Roman" w:hAnsi="Times New Roman" w:cs="Times New Roman"/>
              </w:rPr>
              <w:t>ț</w:t>
            </w:r>
            <w:r w:rsidRPr="008C5F1C">
              <w:rPr>
                <w:rFonts w:ascii="Times New Roman" w:hAnsi="Times New Roman" w:cs="Times New Roman"/>
              </w:rPr>
              <w:t>ii anex</w:t>
            </w:r>
            <w:r w:rsidR="00BA7827" w:rsidRPr="008C5F1C">
              <w:rPr>
                <w:rFonts w:ascii="Times New Roman" w:hAnsi="Times New Roman" w:cs="Times New Roman"/>
              </w:rPr>
              <w:t>ă</w:t>
            </w:r>
            <w:r w:rsidRPr="008C5F1C">
              <w:rPr>
                <w:rFonts w:ascii="Times New Roman" w:hAnsi="Times New Roman" w:cs="Times New Roman"/>
              </w:rPr>
              <w:t xml:space="preserve"> de p</w:t>
            </w:r>
            <w:r w:rsidR="00BA7827" w:rsidRPr="008C5F1C">
              <w:rPr>
                <w:rFonts w:ascii="Times New Roman" w:hAnsi="Times New Roman" w:cs="Times New Roman"/>
              </w:rPr>
              <w:t>ă</w:t>
            </w:r>
            <w:r w:rsidRPr="008C5F1C">
              <w:rPr>
                <w:rFonts w:ascii="Times New Roman" w:hAnsi="Times New Roman" w:cs="Times New Roman"/>
              </w:rPr>
              <w:t xml:space="preserve">strare </w:t>
            </w:r>
            <w:r w:rsidR="00106240" w:rsidRPr="008C5F1C">
              <w:rPr>
                <w:rFonts w:ascii="Times New Roman" w:hAnsi="Times New Roman" w:cs="Times New Roman"/>
              </w:rPr>
              <w:t>ș</w:t>
            </w:r>
            <w:r w:rsidRPr="008C5F1C">
              <w:rPr>
                <w:rFonts w:ascii="Times New Roman" w:hAnsi="Times New Roman" w:cs="Times New Roman"/>
              </w:rPr>
              <w:t>i stocare care au un regim de înc</w:t>
            </w:r>
            <w:r w:rsidR="00BA7827" w:rsidRPr="008C5F1C">
              <w:rPr>
                <w:rFonts w:ascii="Times New Roman" w:hAnsi="Times New Roman" w:cs="Times New Roman"/>
              </w:rPr>
              <w:t>ă</w:t>
            </w:r>
            <w:r w:rsidRPr="008C5F1C">
              <w:rPr>
                <w:rFonts w:ascii="Times New Roman" w:hAnsi="Times New Roman" w:cs="Times New Roman"/>
              </w:rPr>
              <w:t>lzire /r</w:t>
            </w:r>
            <w:r w:rsidR="00BA7827" w:rsidRPr="008C5F1C">
              <w:rPr>
                <w:rFonts w:ascii="Times New Roman" w:hAnsi="Times New Roman" w:cs="Times New Roman"/>
              </w:rPr>
              <w:t>ă</w:t>
            </w:r>
            <w:r w:rsidRPr="008C5F1C">
              <w:rPr>
                <w:rFonts w:ascii="Times New Roman" w:hAnsi="Times New Roman" w:cs="Times New Roman"/>
              </w:rPr>
              <w:t>cire pentru func</w:t>
            </w:r>
            <w:r w:rsidR="00E22FF2" w:rsidRPr="008C5F1C">
              <w:rPr>
                <w:rFonts w:ascii="Times New Roman" w:hAnsi="Times New Roman" w:cs="Times New Roman"/>
              </w:rPr>
              <w:t>ț</w:t>
            </w:r>
            <w:r w:rsidRPr="008C5F1C">
              <w:rPr>
                <w:rFonts w:ascii="Times New Roman" w:hAnsi="Times New Roman" w:cs="Times New Roman"/>
              </w:rPr>
              <w:t>ionare. Totodat</w:t>
            </w:r>
            <w:r w:rsidR="00BA7827" w:rsidRPr="008C5F1C">
              <w:rPr>
                <w:rFonts w:ascii="Times New Roman" w:hAnsi="Times New Roman" w:cs="Times New Roman"/>
              </w:rPr>
              <w:t>ă</w:t>
            </w:r>
            <w:r w:rsidRPr="008C5F1C">
              <w:rPr>
                <w:rFonts w:ascii="Times New Roman" w:hAnsi="Times New Roman" w:cs="Times New Roman"/>
              </w:rPr>
              <w:t xml:space="preserve">, vor fi </w:t>
            </w:r>
            <w:proofErr w:type="spellStart"/>
            <w:r w:rsidRPr="008C5F1C">
              <w:rPr>
                <w:rFonts w:ascii="Times New Roman" w:hAnsi="Times New Roman" w:cs="Times New Roman"/>
              </w:rPr>
              <w:t>prioritizate</w:t>
            </w:r>
            <w:proofErr w:type="spellEnd"/>
            <w:r w:rsidRPr="008C5F1C">
              <w:rPr>
                <w:rFonts w:ascii="Times New Roman" w:hAnsi="Times New Roman" w:cs="Times New Roman"/>
              </w:rPr>
              <w:t xml:space="preserve"> la finan</w:t>
            </w:r>
            <w:r w:rsidR="00E22FF2" w:rsidRPr="008C5F1C">
              <w:rPr>
                <w:rFonts w:ascii="Times New Roman" w:hAnsi="Times New Roman" w:cs="Times New Roman"/>
              </w:rPr>
              <w:t>ț</w:t>
            </w:r>
            <w:r w:rsidRPr="008C5F1C">
              <w:rPr>
                <w:rFonts w:ascii="Times New Roman" w:hAnsi="Times New Roman" w:cs="Times New Roman"/>
              </w:rPr>
              <w:t>are cl</w:t>
            </w:r>
            <w:r w:rsidR="00BA7827" w:rsidRPr="008C5F1C">
              <w:rPr>
                <w:rFonts w:ascii="Times New Roman" w:hAnsi="Times New Roman" w:cs="Times New Roman"/>
              </w:rPr>
              <w:t>ă</w:t>
            </w:r>
            <w:r w:rsidRPr="008C5F1C">
              <w:rPr>
                <w:rFonts w:ascii="Times New Roman" w:hAnsi="Times New Roman" w:cs="Times New Roman"/>
              </w:rPr>
              <w:t>dirile cu func</w:t>
            </w:r>
            <w:r w:rsidR="00E22FF2" w:rsidRPr="008C5F1C">
              <w:rPr>
                <w:rFonts w:ascii="Times New Roman" w:hAnsi="Times New Roman" w:cs="Times New Roman"/>
              </w:rPr>
              <w:t>ț</w:t>
            </w:r>
            <w:r w:rsidRPr="008C5F1C">
              <w:rPr>
                <w:rFonts w:ascii="Times New Roman" w:hAnsi="Times New Roman" w:cs="Times New Roman"/>
              </w:rPr>
              <w:t xml:space="preserve">ii sociale, cum </w:t>
            </w:r>
            <w:r w:rsidR="004211BE" w:rsidRPr="008C5F1C">
              <w:rPr>
                <w:rFonts w:ascii="Times New Roman" w:hAnsi="Times New Roman" w:cs="Times New Roman"/>
              </w:rPr>
              <w:t xml:space="preserve">este </w:t>
            </w:r>
            <w:r w:rsidRPr="008C5F1C">
              <w:rPr>
                <w:rFonts w:ascii="Times New Roman" w:hAnsi="Times New Roman" w:cs="Times New Roman"/>
              </w:rPr>
              <w:t>infrastructura educa</w:t>
            </w:r>
            <w:r w:rsidR="00E22FF2" w:rsidRPr="008C5F1C">
              <w:rPr>
                <w:rFonts w:ascii="Times New Roman" w:hAnsi="Times New Roman" w:cs="Times New Roman"/>
              </w:rPr>
              <w:t>ț</w:t>
            </w:r>
            <w:r w:rsidRPr="008C5F1C">
              <w:rPr>
                <w:rFonts w:ascii="Times New Roman" w:hAnsi="Times New Roman" w:cs="Times New Roman"/>
              </w:rPr>
              <w:t>ional</w:t>
            </w:r>
            <w:r w:rsidR="00BA7827" w:rsidRPr="008C5F1C">
              <w:rPr>
                <w:rFonts w:ascii="Times New Roman" w:hAnsi="Times New Roman" w:cs="Times New Roman"/>
              </w:rPr>
              <w:t>ă</w:t>
            </w:r>
            <w:r w:rsidRPr="008C5F1C">
              <w:rPr>
                <w:rFonts w:ascii="Times New Roman" w:hAnsi="Times New Roman" w:cs="Times New Roman"/>
              </w:rPr>
              <w:t>.</w:t>
            </w:r>
          </w:p>
          <w:p w14:paraId="1A729EA8" w14:textId="77777777" w:rsidR="00B27788" w:rsidRPr="008C5F1C" w:rsidRDefault="00653571" w:rsidP="00B27788">
            <w:pPr>
              <w:spacing w:after="0" w:line="240" w:lineRule="auto"/>
              <w:rPr>
                <w:rFonts w:ascii="Times New Roman" w:hAnsi="Times New Roman" w:cs="Times New Roman"/>
                <w:b/>
                <w:bCs/>
              </w:rPr>
            </w:pPr>
            <w:r w:rsidRPr="008C5F1C">
              <w:rPr>
                <w:rFonts w:ascii="Times New Roman" w:hAnsi="Times New Roman" w:cs="Times New Roman"/>
                <w:b/>
                <w:bCs/>
              </w:rPr>
              <w:t xml:space="preserve">a) </w:t>
            </w:r>
            <w:r w:rsidR="00143EA8" w:rsidRPr="008C5F1C">
              <w:rPr>
                <w:rFonts w:ascii="Times New Roman" w:hAnsi="Times New Roman" w:cs="Times New Roman"/>
                <w:b/>
                <w:bCs/>
              </w:rPr>
              <w:t>Cre</w:t>
            </w:r>
            <w:r w:rsidR="00106240" w:rsidRPr="008C5F1C">
              <w:rPr>
                <w:rFonts w:ascii="Times New Roman" w:hAnsi="Times New Roman" w:cs="Times New Roman"/>
                <w:b/>
                <w:bCs/>
              </w:rPr>
              <w:t>ș</w:t>
            </w:r>
            <w:r w:rsidR="00143EA8" w:rsidRPr="008C5F1C">
              <w:rPr>
                <w:rFonts w:ascii="Times New Roman" w:hAnsi="Times New Roman" w:cs="Times New Roman"/>
                <w:b/>
                <w:bCs/>
              </w:rPr>
              <w:t>terea eficien</w:t>
            </w:r>
            <w:r w:rsidR="00E22FF2" w:rsidRPr="008C5F1C">
              <w:rPr>
                <w:rFonts w:ascii="Times New Roman" w:hAnsi="Times New Roman" w:cs="Times New Roman"/>
                <w:b/>
                <w:bCs/>
              </w:rPr>
              <w:t>ț</w:t>
            </w:r>
            <w:r w:rsidR="00143EA8" w:rsidRPr="008C5F1C">
              <w:rPr>
                <w:rFonts w:ascii="Times New Roman" w:hAnsi="Times New Roman" w:cs="Times New Roman"/>
                <w:b/>
                <w:bCs/>
              </w:rPr>
              <w:t>ei energetice</w:t>
            </w:r>
            <w:r w:rsidR="00333C71" w:rsidRPr="008C5F1C">
              <w:rPr>
                <w:rFonts w:ascii="Times New Roman" w:hAnsi="Times New Roman" w:cs="Times New Roman"/>
                <w:b/>
                <w:bCs/>
              </w:rPr>
              <w:t xml:space="preserve"> în regiune ca parte a investi</w:t>
            </w:r>
            <w:r w:rsidR="00E22FF2" w:rsidRPr="008C5F1C">
              <w:rPr>
                <w:rFonts w:ascii="Times New Roman" w:hAnsi="Times New Roman" w:cs="Times New Roman"/>
                <w:b/>
                <w:bCs/>
              </w:rPr>
              <w:t>ț</w:t>
            </w:r>
            <w:r w:rsidR="00333C71" w:rsidRPr="008C5F1C">
              <w:rPr>
                <w:rFonts w:ascii="Times New Roman" w:hAnsi="Times New Roman" w:cs="Times New Roman"/>
                <w:b/>
                <w:bCs/>
              </w:rPr>
              <w:t>iilor în sectorul locuin</w:t>
            </w:r>
            <w:r w:rsidR="00E22FF2" w:rsidRPr="008C5F1C">
              <w:rPr>
                <w:rFonts w:ascii="Times New Roman" w:hAnsi="Times New Roman" w:cs="Times New Roman"/>
                <w:b/>
                <w:bCs/>
              </w:rPr>
              <w:t>ț</w:t>
            </w:r>
            <w:r w:rsidR="00333C71" w:rsidRPr="008C5F1C">
              <w:rPr>
                <w:rFonts w:ascii="Times New Roman" w:hAnsi="Times New Roman" w:cs="Times New Roman"/>
                <w:b/>
                <w:bCs/>
              </w:rPr>
              <w:t>elor</w:t>
            </w:r>
            <w:r w:rsidR="00397A98" w:rsidRPr="008C5F1C">
              <w:rPr>
                <w:rFonts w:ascii="Times New Roman" w:hAnsi="Times New Roman" w:cs="Times New Roman"/>
                <w:b/>
                <w:bCs/>
              </w:rPr>
              <w:t xml:space="preserve">, inclusiv: </w:t>
            </w:r>
          </w:p>
          <w:p w14:paraId="3A3D52B9" w14:textId="77777777" w:rsidR="00B27788" w:rsidRPr="008C5F1C" w:rsidRDefault="00653571" w:rsidP="00F729F2">
            <w:pPr>
              <w:pStyle w:val="ListParagraph"/>
              <w:numPr>
                <w:ilvl w:val="0"/>
                <w:numId w:val="66"/>
              </w:numPr>
              <w:spacing w:before="0" w:after="0" w:line="240" w:lineRule="auto"/>
              <w:rPr>
                <w:lang w:val="ro-RO"/>
              </w:rPr>
            </w:pPr>
            <w:r w:rsidRPr="008C5F1C">
              <w:rPr>
                <w:sz w:val="22"/>
                <w:lang w:val="ro-RO"/>
              </w:rPr>
              <w:t>Îmbun</w:t>
            </w:r>
            <w:r w:rsidR="00BA7827" w:rsidRPr="008C5F1C">
              <w:rPr>
                <w:sz w:val="22"/>
                <w:lang w:val="ro-RO"/>
              </w:rPr>
              <w:t>ă</w:t>
            </w:r>
            <w:r w:rsidRPr="008C5F1C">
              <w:rPr>
                <w:sz w:val="22"/>
                <w:lang w:val="ro-RO"/>
              </w:rPr>
              <w:t>t</w:t>
            </w:r>
            <w:r w:rsidR="00BA7827" w:rsidRPr="008C5F1C">
              <w:rPr>
                <w:sz w:val="22"/>
                <w:lang w:val="ro-RO"/>
              </w:rPr>
              <w:t>ă</w:t>
            </w:r>
            <w:r w:rsidR="00E22FF2" w:rsidRPr="008C5F1C">
              <w:rPr>
                <w:sz w:val="22"/>
                <w:lang w:val="ro-RO"/>
              </w:rPr>
              <w:t>ț</w:t>
            </w:r>
            <w:r w:rsidRPr="008C5F1C">
              <w:rPr>
                <w:sz w:val="22"/>
                <w:lang w:val="ro-RO"/>
              </w:rPr>
              <w:t>irea izola</w:t>
            </w:r>
            <w:r w:rsidR="00E22FF2" w:rsidRPr="008C5F1C">
              <w:rPr>
                <w:sz w:val="22"/>
                <w:lang w:val="ro-RO"/>
              </w:rPr>
              <w:t>ț</w:t>
            </w:r>
            <w:r w:rsidRPr="008C5F1C">
              <w:rPr>
                <w:sz w:val="22"/>
                <w:lang w:val="ro-RO"/>
              </w:rPr>
              <w:t xml:space="preserve">iei termice </w:t>
            </w:r>
            <w:r w:rsidR="00106240" w:rsidRPr="008C5F1C">
              <w:rPr>
                <w:sz w:val="22"/>
                <w:lang w:val="ro-RO"/>
              </w:rPr>
              <w:t>ș</w:t>
            </w:r>
            <w:r w:rsidRPr="008C5F1C">
              <w:rPr>
                <w:sz w:val="22"/>
                <w:lang w:val="ro-RO"/>
              </w:rPr>
              <w:t>i hidroizolare anvelopei cl</w:t>
            </w:r>
            <w:r w:rsidR="00BA7827" w:rsidRPr="008C5F1C">
              <w:rPr>
                <w:sz w:val="22"/>
                <w:lang w:val="ro-RO"/>
              </w:rPr>
              <w:t>ă</w:t>
            </w:r>
            <w:r w:rsidRPr="008C5F1C">
              <w:rPr>
                <w:sz w:val="22"/>
                <w:lang w:val="ro-RO"/>
              </w:rPr>
              <w:t xml:space="preserve">dirii, </w:t>
            </w:r>
            <w:r w:rsidR="00106240" w:rsidRPr="008C5F1C">
              <w:rPr>
                <w:sz w:val="22"/>
                <w:lang w:val="ro-RO"/>
              </w:rPr>
              <w:t>ș</w:t>
            </w:r>
            <w:r w:rsidRPr="008C5F1C">
              <w:rPr>
                <w:sz w:val="22"/>
                <w:lang w:val="ro-RO"/>
              </w:rPr>
              <w:t>arpantelor, inclusiv m</w:t>
            </w:r>
            <w:r w:rsidR="00BA7827" w:rsidRPr="008C5F1C">
              <w:rPr>
                <w:sz w:val="22"/>
                <w:lang w:val="ro-RO"/>
              </w:rPr>
              <w:t>ă</w:t>
            </w:r>
            <w:r w:rsidRPr="008C5F1C">
              <w:rPr>
                <w:sz w:val="22"/>
                <w:lang w:val="ro-RO"/>
              </w:rPr>
              <w:t>suri de consolidare</w:t>
            </w:r>
            <w:r w:rsidR="00B27788" w:rsidRPr="008C5F1C">
              <w:rPr>
                <w:sz w:val="22"/>
                <w:lang w:val="ro-RO"/>
              </w:rPr>
              <w:t xml:space="preserve"> </w:t>
            </w:r>
            <w:r w:rsidR="00106240" w:rsidRPr="008C5F1C">
              <w:rPr>
                <w:sz w:val="22"/>
                <w:lang w:val="ro-RO"/>
              </w:rPr>
              <w:t>ș</w:t>
            </w:r>
            <w:r w:rsidR="00B27788" w:rsidRPr="008C5F1C">
              <w:rPr>
                <w:sz w:val="22"/>
                <w:lang w:val="ro-RO"/>
              </w:rPr>
              <w:t>i componente regenerabile de tip panouri fotovoltaice</w:t>
            </w:r>
            <w:r w:rsidR="00397A98" w:rsidRPr="008C5F1C">
              <w:rPr>
                <w:sz w:val="22"/>
                <w:lang w:val="ro-RO"/>
              </w:rPr>
              <w:t xml:space="preserve"> </w:t>
            </w:r>
          </w:p>
          <w:p w14:paraId="5D9B45D1" w14:textId="77777777" w:rsidR="00B27788" w:rsidRPr="008C5F1C" w:rsidRDefault="005A27A8" w:rsidP="00F729F2">
            <w:pPr>
              <w:pStyle w:val="ListParagraph"/>
              <w:numPr>
                <w:ilvl w:val="0"/>
                <w:numId w:val="66"/>
              </w:numPr>
              <w:spacing w:before="0" w:after="0" w:line="240" w:lineRule="auto"/>
              <w:rPr>
                <w:lang w:val="ro-RO"/>
              </w:rPr>
            </w:pPr>
            <w:r w:rsidRPr="008C5F1C">
              <w:rPr>
                <w:sz w:val="22"/>
                <w:lang w:val="ro-RO"/>
              </w:rPr>
              <w:t>Sisteme</w:t>
            </w:r>
            <w:r w:rsidR="00653571" w:rsidRPr="008C5F1C">
              <w:rPr>
                <w:sz w:val="22"/>
                <w:lang w:val="ro-RO"/>
              </w:rPr>
              <w:t xml:space="preserve"> de înc</w:t>
            </w:r>
            <w:r w:rsidR="00BA7827" w:rsidRPr="008C5F1C">
              <w:rPr>
                <w:sz w:val="22"/>
                <w:lang w:val="ro-RO"/>
              </w:rPr>
              <w:t>ă</w:t>
            </w:r>
            <w:r w:rsidR="00653571" w:rsidRPr="008C5F1C">
              <w:rPr>
                <w:sz w:val="22"/>
                <w:lang w:val="ro-RO"/>
              </w:rPr>
              <w:t>lzire</w:t>
            </w:r>
            <w:r w:rsidR="0059100C" w:rsidRPr="008C5F1C">
              <w:rPr>
                <w:sz w:val="22"/>
                <w:lang w:val="ro-RO"/>
              </w:rPr>
              <w:t xml:space="preserve"> </w:t>
            </w:r>
            <w:r w:rsidRPr="008C5F1C">
              <w:rPr>
                <w:sz w:val="22"/>
                <w:lang w:val="ro-RO"/>
              </w:rPr>
              <w:t>modernizate;</w:t>
            </w:r>
            <w:r w:rsidR="00397A98" w:rsidRPr="008C5F1C">
              <w:rPr>
                <w:sz w:val="22"/>
                <w:lang w:val="ro-RO"/>
              </w:rPr>
              <w:t xml:space="preserve"> </w:t>
            </w:r>
          </w:p>
          <w:p w14:paraId="28D24F20" w14:textId="77777777" w:rsidR="00653571" w:rsidRPr="008C5F1C" w:rsidRDefault="00653571" w:rsidP="00F729F2">
            <w:pPr>
              <w:pStyle w:val="ListParagraph"/>
              <w:numPr>
                <w:ilvl w:val="0"/>
                <w:numId w:val="66"/>
              </w:numPr>
              <w:spacing w:before="0" w:after="0" w:line="240" w:lineRule="auto"/>
              <w:rPr>
                <w:lang w:val="ro-RO"/>
              </w:rPr>
            </w:pPr>
            <w:r w:rsidRPr="008C5F1C">
              <w:rPr>
                <w:sz w:val="22"/>
                <w:lang w:val="ro-RO"/>
              </w:rPr>
              <w:t>Implementarea sistemelor de management al func</w:t>
            </w:r>
            <w:r w:rsidR="00E22FF2" w:rsidRPr="008C5F1C">
              <w:rPr>
                <w:sz w:val="22"/>
                <w:lang w:val="ro-RO"/>
              </w:rPr>
              <w:t>ț</w:t>
            </w:r>
            <w:r w:rsidRPr="008C5F1C">
              <w:rPr>
                <w:sz w:val="22"/>
                <w:lang w:val="ro-RO"/>
              </w:rPr>
              <w:t>ion</w:t>
            </w:r>
            <w:r w:rsidR="00BA7827" w:rsidRPr="008C5F1C">
              <w:rPr>
                <w:sz w:val="22"/>
                <w:lang w:val="ro-RO"/>
              </w:rPr>
              <w:t>ă</w:t>
            </w:r>
            <w:r w:rsidRPr="008C5F1C">
              <w:rPr>
                <w:sz w:val="22"/>
                <w:lang w:val="ro-RO"/>
              </w:rPr>
              <w:t>rii consumurilor energetice.</w:t>
            </w:r>
          </w:p>
          <w:p w14:paraId="27323D31" w14:textId="29A0CB7F" w:rsidR="00B27788" w:rsidRPr="008C5F1C" w:rsidRDefault="00653571" w:rsidP="005E6A1E">
            <w:pPr>
              <w:spacing w:after="120" w:line="240" w:lineRule="auto"/>
              <w:jc w:val="both"/>
              <w:rPr>
                <w:rFonts w:ascii="Times New Roman" w:hAnsi="Times New Roman" w:cs="Times New Roman"/>
                <w:b/>
                <w:bCs/>
              </w:rPr>
            </w:pPr>
            <w:r w:rsidRPr="008C5F1C">
              <w:rPr>
                <w:rFonts w:ascii="Times New Roman" w:hAnsi="Times New Roman" w:cs="Times New Roman"/>
                <w:b/>
                <w:bCs/>
              </w:rPr>
              <w:t xml:space="preserve">b) </w:t>
            </w:r>
            <w:r w:rsidR="00766FA3" w:rsidRPr="008C5F1C">
              <w:rPr>
                <w:rFonts w:ascii="Times New Roman" w:hAnsi="Times New Roman" w:cs="Times New Roman"/>
                <w:b/>
                <w:bCs/>
              </w:rPr>
              <w:t>Sprijinirea eficien</w:t>
            </w:r>
            <w:r w:rsidR="00E22FF2" w:rsidRPr="008C5F1C">
              <w:rPr>
                <w:rFonts w:ascii="Times New Roman" w:hAnsi="Times New Roman" w:cs="Times New Roman"/>
                <w:b/>
                <w:bCs/>
              </w:rPr>
              <w:t>ț</w:t>
            </w:r>
            <w:r w:rsidR="00766FA3" w:rsidRPr="008C5F1C">
              <w:rPr>
                <w:rFonts w:ascii="Times New Roman" w:hAnsi="Times New Roman" w:cs="Times New Roman"/>
                <w:b/>
                <w:bCs/>
              </w:rPr>
              <w:t>ei energetice în cl</w:t>
            </w:r>
            <w:r w:rsidR="00BA7827" w:rsidRPr="008C5F1C">
              <w:rPr>
                <w:rFonts w:ascii="Times New Roman" w:hAnsi="Times New Roman" w:cs="Times New Roman"/>
                <w:b/>
                <w:bCs/>
              </w:rPr>
              <w:t>ă</w:t>
            </w:r>
            <w:r w:rsidR="00766FA3" w:rsidRPr="008C5F1C">
              <w:rPr>
                <w:rFonts w:ascii="Times New Roman" w:hAnsi="Times New Roman" w:cs="Times New Roman"/>
                <w:b/>
                <w:bCs/>
              </w:rPr>
              <w:t>dirile publice</w:t>
            </w:r>
            <w:r w:rsidR="00397A98" w:rsidRPr="008C5F1C">
              <w:rPr>
                <w:rFonts w:ascii="Times New Roman" w:hAnsi="Times New Roman" w:cs="Times New Roman"/>
                <w:b/>
                <w:bCs/>
              </w:rPr>
              <w:t>, inclusiv</w:t>
            </w:r>
            <w:r w:rsidR="005F400E">
              <w:rPr>
                <w:rFonts w:ascii="Times New Roman" w:hAnsi="Times New Roman" w:cs="Times New Roman"/>
                <w:b/>
                <w:bCs/>
              </w:rPr>
              <w:t xml:space="preserve"> clădiri de patrimoniu</w:t>
            </w:r>
            <w:r w:rsidRPr="008C5F1C">
              <w:rPr>
                <w:rFonts w:ascii="Times New Roman" w:hAnsi="Times New Roman" w:cs="Times New Roman"/>
                <w:b/>
                <w:bCs/>
              </w:rPr>
              <w:t>:</w:t>
            </w:r>
            <w:r w:rsidR="00397A98" w:rsidRPr="008C5F1C">
              <w:rPr>
                <w:rFonts w:ascii="Times New Roman" w:hAnsi="Times New Roman" w:cs="Times New Roman"/>
                <w:b/>
                <w:bCs/>
              </w:rPr>
              <w:t xml:space="preserve"> </w:t>
            </w:r>
          </w:p>
          <w:p w14:paraId="4D624DFA" w14:textId="77777777" w:rsidR="00B27788" w:rsidRPr="008C5F1C" w:rsidRDefault="00653571" w:rsidP="00F729F2">
            <w:pPr>
              <w:pStyle w:val="ListParagraph"/>
              <w:numPr>
                <w:ilvl w:val="0"/>
                <w:numId w:val="66"/>
              </w:numPr>
              <w:spacing w:before="0" w:after="0" w:line="240" w:lineRule="auto"/>
              <w:rPr>
                <w:lang w:val="ro-RO"/>
              </w:rPr>
            </w:pPr>
            <w:r w:rsidRPr="008C5F1C">
              <w:rPr>
                <w:sz w:val="22"/>
                <w:lang w:val="ro-RO"/>
              </w:rPr>
              <w:t>Reabilitarea termic</w:t>
            </w:r>
            <w:r w:rsidR="00BA7827" w:rsidRPr="008C5F1C">
              <w:rPr>
                <w:sz w:val="22"/>
                <w:lang w:val="ro-RO"/>
              </w:rPr>
              <w:t>ă</w:t>
            </w:r>
            <w:r w:rsidRPr="008C5F1C">
              <w:rPr>
                <w:sz w:val="22"/>
                <w:lang w:val="ro-RO"/>
              </w:rPr>
              <w:t xml:space="preserve"> a elementelor de anvelop</w:t>
            </w:r>
            <w:r w:rsidR="00BA7827" w:rsidRPr="008C5F1C">
              <w:rPr>
                <w:sz w:val="22"/>
                <w:lang w:val="ro-RO"/>
              </w:rPr>
              <w:t>ă</w:t>
            </w:r>
            <w:r w:rsidRPr="008C5F1C">
              <w:rPr>
                <w:sz w:val="22"/>
                <w:lang w:val="ro-RO"/>
              </w:rPr>
              <w:t xml:space="preserve"> a cl</w:t>
            </w:r>
            <w:r w:rsidR="00BA7827" w:rsidRPr="008C5F1C">
              <w:rPr>
                <w:sz w:val="22"/>
                <w:lang w:val="ro-RO"/>
              </w:rPr>
              <w:t>ă</w:t>
            </w:r>
            <w:r w:rsidRPr="008C5F1C">
              <w:rPr>
                <w:sz w:val="22"/>
                <w:lang w:val="ro-RO"/>
              </w:rPr>
              <w:t>dirii</w:t>
            </w:r>
            <w:r w:rsidR="002A78D0" w:rsidRPr="008C5F1C">
              <w:rPr>
                <w:sz w:val="22"/>
                <w:lang w:val="ro-RO"/>
              </w:rPr>
              <w:t>, inclusiv masuri de consolidare</w:t>
            </w:r>
            <w:r w:rsidRPr="008C5F1C">
              <w:rPr>
                <w:sz w:val="22"/>
                <w:lang w:val="ro-RO"/>
              </w:rPr>
              <w:t>;</w:t>
            </w:r>
            <w:r w:rsidR="00397A98" w:rsidRPr="008C5F1C">
              <w:rPr>
                <w:sz w:val="22"/>
                <w:lang w:val="ro-RO"/>
              </w:rPr>
              <w:t xml:space="preserve"> </w:t>
            </w:r>
          </w:p>
          <w:p w14:paraId="4F564D1B" w14:textId="77777777" w:rsidR="005A27A8" w:rsidRPr="008C5F1C" w:rsidRDefault="00653571" w:rsidP="00F729F2">
            <w:pPr>
              <w:pStyle w:val="ListParagraph"/>
              <w:numPr>
                <w:ilvl w:val="0"/>
                <w:numId w:val="66"/>
              </w:numPr>
              <w:spacing w:before="0" w:after="0" w:line="240" w:lineRule="auto"/>
              <w:rPr>
                <w:sz w:val="22"/>
                <w:lang w:val="ro-RO"/>
              </w:rPr>
            </w:pPr>
            <w:r w:rsidRPr="008C5F1C">
              <w:rPr>
                <w:sz w:val="22"/>
                <w:lang w:val="ro-RO"/>
              </w:rPr>
              <w:t>Reabilitarea termic</w:t>
            </w:r>
            <w:r w:rsidR="00BA7827" w:rsidRPr="008C5F1C">
              <w:rPr>
                <w:sz w:val="22"/>
                <w:lang w:val="ro-RO"/>
              </w:rPr>
              <w:t>ă</w:t>
            </w:r>
            <w:r w:rsidRPr="008C5F1C">
              <w:rPr>
                <w:sz w:val="22"/>
                <w:lang w:val="ro-RO"/>
              </w:rPr>
              <w:t xml:space="preserve"> a sistemului de înc</w:t>
            </w:r>
            <w:r w:rsidR="00BA7827" w:rsidRPr="008C5F1C">
              <w:rPr>
                <w:sz w:val="22"/>
                <w:lang w:val="ro-RO"/>
              </w:rPr>
              <w:t>ă</w:t>
            </w:r>
            <w:r w:rsidRPr="008C5F1C">
              <w:rPr>
                <w:sz w:val="22"/>
                <w:lang w:val="ro-RO"/>
              </w:rPr>
              <w:t>lzire/ a sistemului de furnizare a apei calde de consum;</w:t>
            </w:r>
            <w:r w:rsidR="00397A98" w:rsidRPr="008C5F1C">
              <w:rPr>
                <w:sz w:val="22"/>
                <w:lang w:val="ro-RO"/>
              </w:rPr>
              <w:t xml:space="preserve"> </w:t>
            </w:r>
          </w:p>
          <w:p w14:paraId="3CD8E41E" w14:textId="77777777" w:rsidR="00B27788" w:rsidRPr="008C5F1C" w:rsidRDefault="005A27A8" w:rsidP="00F729F2">
            <w:pPr>
              <w:pStyle w:val="ListParagraph"/>
              <w:numPr>
                <w:ilvl w:val="0"/>
                <w:numId w:val="66"/>
              </w:numPr>
              <w:spacing w:before="0" w:after="0" w:line="240" w:lineRule="auto"/>
              <w:rPr>
                <w:lang w:val="ro-RO"/>
              </w:rPr>
            </w:pPr>
            <w:r w:rsidRPr="008C5F1C">
              <w:rPr>
                <w:sz w:val="22"/>
                <w:lang w:val="ro-RO"/>
              </w:rPr>
              <w:t>S</w:t>
            </w:r>
            <w:r w:rsidR="00653571" w:rsidRPr="008C5F1C">
              <w:rPr>
                <w:sz w:val="22"/>
                <w:lang w:val="ro-RO"/>
              </w:rPr>
              <w:t xml:space="preserve">isteme alternative de producere a energiei electrice </w:t>
            </w:r>
            <w:r w:rsidR="00106240" w:rsidRPr="008C5F1C">
              <w:rPr>
                <w:sz w:val="22"/>
                <w:lang w:val="ro-RO"/>
              </w:rPr>
              <w:t>ș</w:t>
            </w:r>
            <w:r w:rsidR="00653571" w:rsidRPr="008C5F1C">
              <w:rPr>
                <w:sz w:val="22"/>
                <w:lang w:val="ro-RO"/>
              </w:rPr>
              <w:t>i/sau termice pentru consum propriu;</w:t>
            </w:r>
            <w:r w:rsidR="00397A98" w:rsidRPr="008C5F1C">
              <w:rPr>
                <w:sz w:val="22"/>
                <w:lang w:val="ro-RO"/>
              </w:rPr>
              <w:t xml:space="preserve"> </w:t>
            </w:r>
          </w:p>
          <w:p w14:paraId="67B42E89" w14:textId="77777777" w:rsidR="00B27788" w:rsidRPr="008C5F1C" w:rsidRDefault="00653571" w:rsidP="00F729F2">
            <w:pPr>
              <w:pStyle w:val="ListParagraph"/>
              <w:numPr>
                <w:ilvl w:val="0"/>
                <w:numId w:val="66"/>
              </w:numPr>
              <w:spacing w:before="0" w:after="0" w:line="240" w:lineRule="auto"/>
              <w:rPr>
                <w:lang w:val="ro-RO"/>
              </w:rPr>
            </w:pPr>
            <w:r w:rsidRPr="008C5F1C">
              <w:rPr>
                <w:sz w:val="22"/>
                <w:lang w:val="ro-RO"/>
              </w:rPr>
              <w:t xml:space="preserve">Sisteme de climatizare </w:t>
            </w:r>
            <w:r w:rsidR="00106240" w:rsidRPr="008C5F1C">
              <w:rPr>
                <w:sz w:val="22"/>
                <w:lang w:val="ro-RO"/>
              </w:rPr>
              <w:t>ș</w:t>
            </w:r>
            <w:r w:rsidRPr="008C5F1C">
              <w:rPr>
                <w:sz w:val="22"/>
                <w:lang w:val="ro-RO"/>
              </w:rPr>
              <w:t>i/sau ventilare mecanic</w:t>
            </w:r>
            <w:r w:rsidR="00BA7827" w:rsidRPr="008C5F1C">
              <w:rPr>
                <w:sz w:val="22"/>
                <w:lang w:val="ro-RO"/>
              </w:rPr>
              <w:t>ă</w:t>
            </w:r>
            <w:r w:rsidRPr="008C5F1C">
              <w:rPr>
                <w:sz w:val="22"/>
                <w:lang w:val="ro-RO"/>
              </w:rPr>
              <w:t xml:space="preserve"> pentru asigurarea calit</w:t>
            </w:r>
            <w:r w:rsidR="00BA7827" w:rsidRPr="008C5F1C">
              <w:rPr>
                <w:sz w:val="22"/>
                <w:lang w:val="ro-RO"/>
              </w:rPr>
              <w:t>ă</w:t>
            </w:r>
            <w:r w:rsidR="00E22FF2" w:rsidRPr="008C5F1C">
              <w:rPr>
                <w:sz w:val="22"/>
                <w:lang w:val="ro-RO"/>
              </w:rPr>
              <w:t>ț</w:t>
            </w:r>
            <w:r w:rsidRPr="008C5F1C">
              <w:rPr>
                <w:sz w:val="22"/>
                <w:lang w:val="ro-RO"/>
              </w:rPr>
              <w:t>ii aerului interior;</w:t>
            </w:r>
            <w:r w:rsidR="00397A98" w:rsidRPr="008C5F1C">
              <w:rPr>
                <w:sz w:val="22"/>
                <w:lang w:val="ro-RO"/>
              </w:rPr>
              <w:t xml:space="preserve"> </w:t>
            </w:r>
          </w:p>
          <w:p w14:paraId="19B8D125" w14:textId="77777777" w:rsidR="00653571" w:rsidRPr="008C5F1C" w:rsidRDefault="00653571" w:rsidP="00904C61">
            <w:pPr>
              <w:pStyle w:val="ListParagraph"/>
              <w:numPr>
                <w:ilvl w:val="0"/>
                <w:numId w:val="66"/>
              </w:numPr>
              <w:spacing w:before="0" w:after="0" w:line="240" w:lineRule="auto"/>
              <w:rPr>
                <w:lang w:val="ro-RO"/>
              </w:rPr>
            </w:pPr>
            <w:r w:rsidRPr="008C5F1C">
              <w:rPr>
                <w:sz w:val="22"/>
                <w:lang w:val="ro-RO"/>
              </w:rPr>
              <w:t>Sisteme de management energetic integrat pentru cl</w:t>
            </w:r>
            <w:r w:rsidR="00BA7827" w:rsidRPr="008C5F1C">
              <w:rPr>
                <w:sz w:val="22"/>
                <w:lang w:val="ro-RO"/>
              </w:rPr>
              <w:t>ă</w:t>
            </w:r>
            <w:r w:rsidRPr="008C5F1C">
              <w:rPr>
                <w:sz w:val="22"/>
                <w:lang w:val="ro-RO"/>
              </w:rPr>
              <w:t>diri</w:t>
            </w:r>
            <w:r w:rsidR="004211BE" w:rsidRPr="008C5F1C">
              <w:rPr>
                <w:sz w:val="22"/>
                <w:lang w:val="ro-RO"/>
              </w:rPr>
              <w:t>, inclusiv cl</w:t>
            </w:r>
            <w:r w:rsidR="00BA7827" w:rsidRPr="008C5F1C">
              <w:rPr>
                <w:sz w:val="22"/>
                <w:lang w:val="ro-RO"/>
              </w:rPr>
              <w:t>ă</w:t>
            </w:r>
            <w:r w:rsidR="004211BE" w:rsidRPr="008C5F1C">
              <w:rPr>
                <w:sz w:val="22"/>
                <w:lang w:val="ro-RO"/>
              </w:rPr>
              <w:t>diri publice de patrimoniu,</w:t>
            </w:r>
            <w:r w:rsidR="00397A98" w:rsidRPr="008C5F1C">
              <w:rPr>
                <w:sz w:val="22"/>
                <w:lang w:val="ro-RO"/>
              </w:rPr>
              <w:t xml:space="preserve"> etc. </w:t>
            </w:r>
          </w:p>
          <w:p w14:paraId="2A944829" w14:textId="5DF07D07" w:rsidR="00B52A3E" w:rsidRPr="008C5F1C" w:rsidRDefault="00B52A3E" w:rsidP="00B3273B">
            <w:pPr>
              <w:spacing w:after="120" w:line="240" w:lineRule="auto"/>
              <w:contextualSpacing/>
              <w:jc w:val="both"/>
              <w:rPr>
                <w:rFonts w:ascii="Times New Roman" w:hAnsi="Times New Roman" w:cs="Times New Roman"/>
              </w:rPr>
            </w:pPr>
          </w:p>
        </w:tc>
      </w:tr>
    </w:tbl>
    <w:p w14:paraId="5F1071BB" w14:textId="77777777" w:rsidR="00653571" w:rsidRPr="008C5F1C" w:rsidRDefault="00653571" w:rsidP="00653571">
      <w:pPr>
        <w:spacing w:before="120" w:after="120" w:line="360" w:lineRule="auto"/>
        <w:rPr>
          <w:rFonts w:ascii="Times New Roman" w:eastAsia="Times New Roman" w:hAnsi="Times New Roman" w:cs="Times New Roman"/>
          <w:b/>
          <w:i/>
          <w:iCs/>
          <w:noProof/>
          <w:sz w:val="24"/>
          <w:szCs w:val="24"/>
        </w:rPr>
      </w:pPr>
      <w:r w:rsidRPr="008C5F1C">
        <w:rPr>
          <w:rFonts w:ascii="Times New Roman" w:eastAsia="Times New Roman" w:hAnsi="Times New Roman" w:cs="Times New Roman"/>
          <w:i/>
          <w:noProof/>
          <w:sz w:val="24"/>
          <w:szCs w:val="24"/>
        </w:rPr>
        <w:lastRenderedPageBreak/>
        <w:t>The main target groups - Article 17(3)(d)(iii):</w:t>
      </w:r>
    </w:p>
    <w:p w14:paraId="14E7FA6A" w14:textId="77777777" w:rsidR="00653571" w:rsidRPr="008C5F1C" w:rsidRDefault="003220FF" w:rsidP="0065357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iCs/>
          <w:noProof/>
          <w:sz w:val="24"/>
          <w:szCs w:val="24"/>
        </w:rPr>
      </w:pPr>
      <w:r w:rsidRPr="008C5F1C">
        <w:rPr>
          <w:rFonts w:ascii="Times New Roman" w:eastAsia="Times New Roman" w:hAnsi="Times New Roman" w:cs="Times New Roman"/>
          <w:i/>
          <w:iCs/>
          <w:noProof/>
          <w:sz w:val="24"/>
          <w:szCs w:val="24"/>
        </w:rPr>
        <w:t>Popula</w:t>
      </w:r>
      <w:r w:rsidR="00E22FF2" w:rsidRPr="008C5F1C">
        <w:rPr>
          <w:rFonts w:ascii="Times New Roman" w:eastAsia="Times New Roman" w:hAnsi="Times New Roman" w:cs="Times New Roman"/>
          <w:i/>
          <w:iCs/>
          <w:noProof/>
          <w:sz w:val="24"/>
          <w:szCs w:val="24"/>
        </w:rPr>
        <w:t>ț</w:t>
      </w:r>
      <w:r w:rsidRPr="008C5F1C">
        <w:rPr>
          <w:rFonts w:ascii="Times New Roman" w:eastAsia="Times New Roman" w:hAnsi="Times New Roman" w:cs="Times New Roman"/>
          <w:i/>
          <w:iCs/>
          <w:noProof/>
          <w:sz w:val="24"/>
          <w:szCs w:val="24"/>
        </w:rPr>
        <w:t>ia din mediul urban</w:t>
      </w:r>
    </w:p>
    <w:p w14:paraId="3D218257" w14:textId="77777777" w:rsidR="00257AFE" w:rsidRPr="008C5F1C" w:rsidRDefault="005A27A8" w:rsidP="00653571">
      <w:pPr>
        <w:spacing w:before="120" w:after="120" w:line="360" w:lineRule="auto"/>
        <w:rPr>
          <w:rFonts w:ascii="Times New Roman" w:eastAsia="Times New Roman" w:hAnsi="Times New Roman" w:cs="Times New Roman"/>
          <w:noProof/>
        </w:rPr>
      </w:pPr>
      <w:r w:rsidRPr="008C5F1C">
        <w:rPr>
          <w:rFonts w:ascii="Times New Roman" w:eastAsia="Times New Roman" w:hAnsi="Times New Roman" w:cs="Times New Roman"/>
          <w:noProof/>
        </w:rPr>
        <w:t>Popula</w:t>
      </w:r>
      <w:r w:rsidR="00E22FF2" w:rsidRPr="008C5F1C">
        <w:rPr>
          <w:rFonts w:ascii="Times New Roman" w:eastAsia="Times New Roman" w:hAnsi="Times New Roman" w:cs="Times New Roman"/>
          <w:noProof/>
        </w:rPr>
        <w:t>ț</w:t>
      </w:r>
      <w:r w:rsidRPr="008C5F1C">
        <w:rPr>
          <w:rFonts w:ascii="Times New Roman" w:eastAsia="Times New Roman" w:hAnsi="Times New Roman" w:cs="Times New Roman"/>
          <w:noProof/>
        </w:rPr>
        <w:t>ia din localită</w:t>
      </w:r>
      <w:r w:rsidR="00E22FF2" w:rsidRPr="008C5F1C">
        <w:rPr>
          <w:rFonts w:ascii="Times New Roman" w:eastAsia="Times New Roman" w:hAnsi="Times New Roman" w:cs="Times New Roman"/>
          <w:noProof/>
        </w:rPr>
        <w:t>ț</w:t>
      </w:r>
      <w:r w:rsidRPr="008C5F1C">
        <w:rPr>
          <w:rFonts w:ascii="Times New Roman" w:eastAsia="Times New Roman" w:hAnsi="Times New Roman" w:cs="Times New Roman"/>
          <w:noProof/>
        </w:rPr>
        <w:t>ile deservite de infrastructura îmbunătă</w:t>
      </w:r>
      <w:r w:rsidR="00E22FF2" w:rsidRPr="008C5F1C">
        <w:rPr>
          <w:rFonts w:ascii="Times New Roman" w:eastAsia="Times New Roman" w:hAnsi="Times New Roman" w:cs="Times New Roman"/>
          <w:noProof/>
        </w:rPr>
        <w:t>ț</w:t>
      </w:r>
      <w:r w:rsidRPr="008C5F1C">
        <w:rPr>
          <w:rFonts w:ascii="Times New Roman" w:eastAsia="Times New Roman" w:hAnsi="Times New Roman" w:cs="Times New Roman"/>
          <w:noProof/>
        </w:rPr>
        <w:t>ită</w:t>
      </w:r>
    </w:p>
    <w:p w14:paraId="227E6211" w14:textId="1F2A8448" w:rsidR="00653571" w:rsidRPr="008C5F1C" w:rsidRDefault="00653571" w:rsidP="00653571">
      <w:pPr>
        <w:spacing w:before="120" w:after="120" w:line="360" w:lineRule="auto"/>
        <w:rPr>
          <w:rFonts w:ascii="Times New Roman" w:eastAsia="Times New Roman" w:hAnsi="Times New Roman" w:cs="Times New Roman"/>
          <w:i/>
          <w:noProof/>
          <w:sz w:val="24"/>
          <w:szCs w:val="24"/>
        </w:rPr>
      </w:pPr>
      <w:r w:rsidRPr="008C5F1C">
        <w:rPr>
          <w:rFonts w:ascii="Times New Roman" w:eastAsia="Times New Roman" w:hAnsi="Times New Roman" w:cs="Times New Roman"/>
          <w:i/>
          <w:noProof/>
          <w:sz w:val="24"/>
          <w:szCs w:val="24"/>
        </w:rPr>
        <w:t>Specific territories tageted, including the planned use of territorial tools – Article 17(3)(d)(iv)</w:t>
      </w:r>
    </w:p>
    <w:p w14:paraId="69E4EDEF" w14:textId="1AF6C129" w:rsidR="00647EF4" w:rsidRPr="008C5F1C" w:rsidRDefault="00647EF4" w:rsidP="00647EF4">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iCs/>
          <w:noProof/>
          <w:sz w:val="24"/>
          <w:szCs w:val="24"/>
        </w:rPr>
      </w:pPr>
      <w:r w:rsidRPr="008C5F1C">
        <w:rPr>
          <w:rFonts w:ascii="Times New Roman" w:eastAsia="Times New Roman" w:hAnsi="Times New Roman" w:cs="Times New Roman"/>
          <w:i/>
          <w:iCs/>
          <w:noProof/>
          <w:sz w:val="24"/>
          <w:szCs w:val="24"/>
        </w:rPr>
        <w:t>Zone metropolitane, zone urbane funcționale, cartiere urbane.</w:t>
      </w:r>
    </w:p>
    <w:p w14:paraId="6584EA6F" w14:textId="75F4C290" w:rsidR="00653571" w:rsidRPr="008C5F1C" w:rsidRDefault="00647EF4" w:rsidP="00F664A9">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noProof/>
          <w:sz w:val="24"/>
        </w:rPr>
      </w:pPr>
      <w:r w:rsidRPr="008C5F1C">
        <w:rPr>
          <w:rFonts w:ascii="Times New Roman" w:eastAsia="Times New Roman" w:hAnsi="Times New Roman" w:cs="Times New Roman"/>
          <w:iCs/>
          <w:noProof/>
          <w:szCs w:val="20"/>
        </w:rPr>
        <w:t>Accesarea fondurilor va continua să fie condiționată de existența Strategiilor Integrate de Dezvoltare Urbană (SIDU) și de justificări bazate pe dovezi în ceea ce privește oportunitatea și rolul investițiilor în ansamblul dezvoltării. În funcție de situație, SIDU vor fi însoțite de Planuri de Mobilitate Urbană Durabilă sau de alte  și alte strategii relevante la nivel regional sau local</w:t>
      </w:r>
      <w:r w:rsidR="00F664A9" w:rsidRPr="008C5F1C">
        <w:rPr>
          <w:rFonts w:ascii="Times New Roman" w:eastAsia="Times New Roman" w:hAnsi="Times New Roman" w:cs="Times New Roman"/>
          <w:iCs/>
          <w:noProof/>
          <w:szCs w:val="20"/>
        </w:rPr>
        <w:t>.</w:t>
      </w:r>
    </w:p>
    <w:p w14:paraId="3722905F" w14:textId="77777777" w:rsidR="00653571" w:rsidRPr="008C5F1C" w:rsidRDefault="00653571" w:rsidP="00653571">
      <w:pPr>
        <w:spacing w:before="120" w:after="120" w:line="360" w:lineRule="auto"/>
        <w:rPr>
          <w:rFonts w:ascii="Times New Roman" w:eastAsia="Times New Roman" w:hAnsi="Times New Roman" w:cs="Times New Roman"/>
          <w:b/>
          <w:i/>
          <w:iCs/>
          <w:noProof/>
          <w:sz w:val="24"/>
          <w:szCs w:val="24"/>
        </w:rPr>
      </w:pPr>
      <w:r w:rsidRPr="008C5F1C">
        <w:rPr>
          <w:rFonts w:ascii="Times New Roman" w:eastAsia="Times New Roman" w:hAnsi="Times New Roman" w:cs="Times New Roman"/>
          <w:i/>
          <w:noProof/>
          <w:sz w:val="24"/>
          <w:szCs w:val="24"/>
        </w:rPr>
        <w:t>The interregional and transnational actions  –Article – 17(3)(d)(v)</w:t>
      </w:r>
    </w:p>
    <w:p w14:paraId="44096381" w14:textId="77777777" w:rsidR="00653571" w:rsidRPr="008C5F1C" w:rsidRDefault="00653571" w:rsidP="0065357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rPr>
      </w:pPr>
      <w:r w:rsidRPr="008C5F1C">
        <w:rPr>
          <w:rFonts w:ascii="Times New Roman" w:eastAsia="Times New Roman" w:hAnsi="Times New Roman" w:cs="Times New Roman"/>
          <w:i/>
          <w:iCs/>
          <w:noProof/>
          <w:sz w:val="24"/>
          <w:szCs w:val="24"/>
        </w:rPr>
        <w:t>Nu este cazul</w:t>
      </w:r>
    </w:p>
    <w:p w14:paraId="373B2148" w14:textId="77777777" w:rsidR="00653571" w:rsidRPr="008C5F1C" w:rsidRDefault="00653571" w:rsidP="00653571">
      <w:pPr>
        <w:spacing w:before="120" w:after="120" w:line="360" w:lineRule="auto"/>
        <w:rPr>
          <w:rFonts w:ascii="Times New Roman" w:eastAsia="Times New Roman" w:hAnsi="Times New Roman" w:cs="Times New Roman"/>
          <w:b/>
          <w:i/>
          <w:iCs/>
          <w:noProof/>
          <w:sz w:val="24"/>
          <w:szCs w:val="24"/>
        </w:rPr>
      </w:pPr>
      <w:r w:rsidRPr="008C5F1C">
        <w:rPr>
          <w:rFonts w:ascii="Times New Roman" w:eastAsia="Times New Roman" w:hAnsi="Times New Roman" w:cs="Times New Roman"/>
          <w:i/>
          <w:noProof/>
          <w:sz w:val="24"/>
          <w:szCs w:val="24"/>
        </w:rPr>
        <w:t>The planned use of financial instruments – Article – 17(3)(d)(vi)</w:t>
      </w:r>
    </w:p>
    <w:p w14:paraId="7278A3B1" w14:textId="77777777" w:rsidR="00653571" w:rsidRPr="008C5F1C" w:rsidRDefault="00653571" w:rsidP="0065357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rPr>
      </w:pPr>
      <w:r w:rsidRPr="008C5F1C">
        <w:rPr>
          <w:rFonts w:ascii="Times New Roman" w:eastAsia="Times New Roman" w:hAnsi="Times New Roman" w:cs="Times New Roman"/>
          <w:i/>
          <w:iCs/>
          <w:noProof/>
          <w:sz w:val="24"/>
          <w:szCs w:val="24"/>
        </w:rPr>
        <w:t>Nu este cazul</w:t>
      </w:r>
    </w:p>
    <w:p w14:paraId="192CA3A8" w14:textId="77777777" w:rsidR="00653571" w:rsidRPr="008C5F1C" w:rsidRDefault="00653571" w:rsidP="00653571">
      <w:pPr>
        <w:spacing w:before="120" w:after="120" w:line="240" w:lineRule="auto"/>
        <w:rPr>
          <w:rFonts w:ascii="Times New Roman" w:eastAsia="Times New Roman" w:hAnsi="Times New Roman" w:cs="Times New Roman"/>
          <w:b/>
          <w:iCs/>
          <w:noProof/>
          <w:sz w:val="24"/>
          <w:szCs w:val="24"/>
        </w:rPr>
      </w:pPr>
    </w:p>
    <w:p w14:paraId="608F1C4D" w14:textId="77777777" w:rsidR="00653571" w:rsidRPr="008C5F1C" w:rsidRDefault="00653571" w:rsidP="00653571">
      <w:pPr>
        <w:pStyle w:val="Heading4"/>
        <w:numPr>
          <w:ilvl w:val="0"/>
          <w:numId w:val="0"/>
        </w:numPr>
        <w:ind w:left="851" w:hanging="851"/>
        <w:rPr>
          <w:rFonts w:cs="Times New Roman"/>
          <w:b/>
          <w:bCs/>
          <w:lang w:val="ro-RO"/>
        </w:rPr>
      </w:pPr>
      <w:r w:rsidRPr="008C5F1C">
        <w:rPr>
          <w:rFonts w:cs="Times New Roman"/>
          <w:b/>
          <w:bCs/>
          <w:lang w:val="ro-RO"/>
        </w:rPr>
        <w:t xml:space="preserve">2.A.3.2 </w:t>
      </w:r>
      <w:proofErr w:type="spellStart"/>
      <w:r w:rsidRPr="008C5F1C">
        <w:rPr>
          <w:rFonts w:cs="Times New Roman"/>
          <w:b/>
          <w:bCs/>
          <w:lang w:val="ro-RO"/>
        </w:rPr>
        <w:t>Indicators</w:t>
      </w:r>
      <w:proofErr w:type="spellEnd"/>
    </w:p>
    <w:p w14:paraId="6D3D9F9E" w14:textId="77777777" w:rsidR="00653571" w:rsidRPr="008C5F1C" w:rsidRDefault="00653571" w:rsidP="00653571">
      <w:pPr>
        <w:rPr>
          <w:rFonts w:ascii="Times New Roman" w:hAnsi="Times New Roman" w:cs="Times New Roman"/>
          <w:b/>
          <w:bCs/>
          <w:i/>
          <w:u w:val="single"/>
        </w:rPr>
      </w:pPr>
      <w:proofErr w:type="spellStart"/>
      <w:r w:rsidRPr="008C5F1C">
        <w:rPr>
          <w:rFonts w:ascii="Times New Roman" w:hAnsi="Times New Roman" w:cs="Times New Roman"/>
          <w:i/>
        </w:rPr>
        <w:t>Reference</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Article</w:t>
      </w:r>
      <w:proofErr w:type="spellEnd"/>
      <w:r w:rsidRPr="008C5F1C">
        <w:rPr>
          <w:rFonts w:ascii="Times New Roman" w:hAnsi="Times New Roman" w:cs="Times New Roman"/>
          <w:i/>
        </w:rPr>
        <w:t xml:space="preserve"> 17(3)(d)(ii) CPR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8"/>
        <w:gridCol w:w="1716"/>
        <w:gridCol w:w="626"/>
        <w:gridCol w:w="874"/>
        <w:gridCol w:w="545"/>
        <w:gridCol w:w="1710"/>
        <w:gridCol w:w="1158"/>
        <w:gridCol w:w="999"/>
        <w:gridCol w:w="1242"/>
      </w:tblGrid>
      <w:tr w:rsidR="00653571" w:rsidRPr="008C5F1C" w14:paraId="4E904E31" w14:textId="77777777" w:rsidTr="00534127">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702174F2" w14:textId="77777777" w:rsidR="00653571" w:rsidRPr="008C5F1C" w:rsidRDefault="00653571" w:rsidP="00534127">
            <w:pPr>
              <w:rPr>
                <w:rFonts w:ascii="Times New Roman" w:hAnsi="Times New Roman" w:cs="Times New Roman"/>
                <w:b/>
              </w:rPr>
            </w:pPr>
            <w:r w:rsidRPr="008C5F1C">
              <w:rPr>
                <w:rFonts w:ascii="Times New Roman" w:hAnsi="Times New Roman" w:cs="Times New Roman"/>
                <w:b/>
                <w:iCs/>
              </w:rPr>
              <w:t xml:space="preserve">Table 2: Output </w:t>
            </w:r>
            <w:proofErr w:type="spellStart"/>
            <w:r w:rsidRPr="008C5F1C">
              <w:rPr>
                <w:rFonts w:ascii="Times New Roman" w:hAnsi="Times New Roman" w:cs="Times New Roman"/>
                <w:b/>
                <w:iCs/>
              </w:rPr>
              <w:t>indicators</w:t>
            </w:r>
            <w:proofErr w:type="spellEnd"/>
          </w:p>
        </w:tc>
      </w:tr>
      <w:tr w:rsidR="00653571" w:rsidRPr="008C5F1C" w14:paraId="7B1A5288" w14:textId="77777777" w:rsidTr="0055580C">
        <w:trPr>
          <w:trHeight w:val="762"/>
        </w:trPr>
        <w:tc>
          <w:tcPr>
            <w:tcW w:w="394" w:type="pct"/>
            <w:tcBorders>
              <w:top w:val="single" w:sz="4" w:space="0" w:color="auto"/>
              <w:left w:val="single" w:sz="4" w:space="0" w:color="auto"/>
              <w:bottom w:val="single" w:sz="4" w:space="0" w:color="auto"/>
              <w:right w:val="single" w:sz="4" w:space="0" w:color="auto"/>
            </w:tcBorders>
            <w:hideMark/>
          </w:tcPr>
          <w:p w14:paraId="11148565"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Priority</w:t>
            </w:r>
            <w:proofErr w:type="spellEnd"/>
            <w:r w:rsidRPr="008C5F1C">
              <w:rPr>
                <w:rFonts w:ascii="Times New Roman" w:hAnsi="Times New Roman" w:cs="Times New Roman"/>
                <w:b/>
                <w:sz w:val="16"/>
                <w:szCs w:val="16"/>
              </w:rPr>
              <w:t xml:space="preserve"> </w:t>
            </w:r>
          </w:p>
        </w:tc>
        <w:tc>
          <w:tcPr>
            <w:tcW w:w="891" w:type="pct"/>
            <w:tcBorders>
              <w:top w:val="single" w:sz="4" w:space="0" w:color="auto"/>
              <w:left w:val="single" w:sz="4" w:space="0" w:color="auto"/>
              <w:bottom w:val="single" w:sz="4" w:space="0" w:color="auto"/>
              <w:right w:val="single" w:sz="4" w:space="0" w:color="auto"/>
            </w:tcBorders>
            <w:hideMark/>
          </w:tcPr>
          <w:p w14:paraId="5B4E3421"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 xml:space="preserve">Specific </w:t>
            </w:r>
            <w:proofErr w:type="spellStart"/>
            <w:r w:rsidRPr="008C5F1C">
              <w:rPr>
                <w:rFonts w:ascii="Times New Roman" w:hAnsi="Times New Roman" w:cs="Times New Roman"/>
                <w:b/>
                <w:sz w:val="16"/>
                <w:szCs w:val="16"/>
              </w:rPr>
              <w:t>objective</w:t>
            </w:r>
            <w:proofErr w:type="spellEnd"/>
            <w:r w:rsidRPr="008C5F1C">
              <w:rPr>
                <w:rFonts w:ascii="Times New Roman" w:hAnsi="Times New Roman" w:cs="Times New Roman"/>
                <w:b/>
                <w:sz w:val="16"/>
                <w:szCs w:val="16"/>
              </w:rPr>
              <w:t xml:space="preserve"> (Investment for </w:t>
            </w:r>
            <w:proofErr w:type="spellStart"/>
            <w:r w:rsidRPr="008C5F1C">
              <w:rPr>
                <w:rFonts w:ascii="Times New Roman" w:hAnsi="Times New Roman" w:cs="Times New Roman"/>
                <w:b/>
                <w:sz w:val="16"/>
                <w:szCs w:val="16"/>
              </w:rPr>
              <w:t>Jobs</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and</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Growth</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goal</w:t>
            </w:r>
            <w:proofErr w:type="spellEnd"/>
            <w:r w:rsidRPr="008C5F1C">
              <w:rPr>
                <w:rFonts w:ascii="Times New Roman" w:hAnsi="Times New Roman" w:cs="Times New Roman"/>
                <w:b/>
                <w:sz w:val="16"/>
                <w:szCs w:val="16"/>
              </w:rPr>
              <w:t xml:space="preserve"> or EMFF)</w:t>
            </w:r>
          </w:p>
        </w:tc>
        <w:tc>
          <w:tcPr>
            <w:tcW w:w="325" w:type="pct"/>
            <w:tcBorders>
              <w:top w:val="single" w:sz="4" w:space="0" w:color="auto"/>
              <w:left w:val="single" w:sz="4" w:space="0" w:color="auto"/>
              <w:bottom w:val="single" w:sz="4" w:space="0" w:color="auto"/>
              <w:right w:val="single" w:sz="4" w:space="0" w:color="auto"/>
            </w:tcBorders>
            <w:hideMark/>
          </w:tcPr>
          <w:p w14:paraId="6232B7EB"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Fund</w:t>
            </w:r>
          </w:p>
        </w:tc>
        <w:tc>
          <w:tcPr>
            <w:tcW w:w="454" w:type="pct"/>
            <w:tcBorders>
              <w:top w:val="single" w:sz="4" w:space="0" w:color="auto"/>
              <w:left w:val="single" w:sz="4" w:space="0" w:color="auto"/>
              <w:bottom w:val="single" w:sz="4" w:space="0" w:color="auto"/>
              <w:right w:val="single" w:sz="4" w:space="0" w:color="auto"/>
            </w:tcBorders>
            <w:hideMark/>
          </w:tcPr>
          <w:p w14:paraId="4EC69BB8"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Category</w:t>
            </w:r>
            <w:proofErr w:type="spellEnd"/>
            <w:r w:rsidRPr="008C5F1C">
              <w:rPr>
                <w:rFonts w:ascii="Times New Roman" w:hAnsi="Times New Roman" w:cs="Times New Roman"/>
                <w:b/>
                <w:sz w:val="16"/>
                <w:szCs w:val="16"/>
              </w:rPr>
              <w:t xml:space="preserve"> of </w:t>
            </w:r>
            <w:proofErr w:type="spellStart"/>
            <w:r w:rsidRPr="008C5F1C">
              <w:rPr>
                <w:rFonts w:ascii="Times New Roman" w:hAnsi="Times New Roman" w:cs="Times New Roman"/>
                <w:b/>
                <w:sz w:val="16"/>
                <w:szCs w:val="16"/>
              </w:rPr>
              <w:t>region</w:t>
            </w:r>
            <w:proofErr w:type="spellEnd"/>
          </w:p>
        </w:tc>
        <w:tc>
          <w:tcPr>
            <w:tcW w:w="283" w:type="pct"/>
            <w:tcBorders>
              <w:top w:val="single" w:sz="4" w:space="0" w:color="auto"/>
              <w:left w:val="single" w:sz="4" w:space="0" w:color="auto"/>
              <w:bottom w:val="single" w:sz="4" w:space="0" w:color="auto"/>
              <w:right w:val="single" w:sz="4" w:space="0" w:color="auto"/>
            </w:tcBorders>
            <w:hideMark/>
          </w:tcPr>
          <w:p w14:paraId="3450CA85"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ID [5]</w:t>
            </w:r>
          </w:p>
        </w:tc>
        <w:tc>
          <w:tcPr>
            <w:tcW w:w="888" w:type="pct"/>
            <w:tcBorders>
              <w:top w:val="single" w:sz="4" w:space="0" w:color="auto"/>
              <w:left w:val="single" w:sz="4" w:space="0" w:color="auto"/>
              <w:bottom w:val="single" w:sz="4" w:space="0" w:color="auto"/>
              <w:right w:val="single" w:sz="4" w:space="0" w:color="auto"/>
            </w:tcBorders>
            <w:hideMark/>
          </w:tcPr>
          <w:p w14:paraId="1A7620A4"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 xml:space="preserve">Indicator [255] </w:t>
            </w:r>
          </w:p>
        </w:tc>
        <w:tc>
          <w:tcPr>
            <w:tcW w:w="601" w:type="pct"/>
            <w:tcBorders>
              <w:top w:val="single" w:sz="4" w:space="0" w:color="auto"/>
              <w:left w:val="single" w:sz="4" w:space="0" w:color="auto"/>
              <w:bottom w:val="single" w:sz="4" w:space="0" w:color="auto"/>
              <w:right w:val="single" w:sz="4" w:space="0" w:color="auto"/>
            </w:tcBorders>
            <w:hideMark/>
          </w:tcPr>
          <w:p w14:paraId="40CF02A1"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Measurement</w:t>
            </w:r>
            <w:proofErr w:type="spellEnd"/>
            <w:r w:rsidRPr="008C5F1C">
              <w:rPr>
                <w:rFonts w:ascii="Times New Roman" w:hAnsi="Times New Roman" w:cs="Times New Roman"/>
                <w:b/>
                <w:sz w:val="16"/>
                <w:szCs w:val="16"/>
              </w:rPr>
              <w:t xml:space="preserve"> unit</w:t>
            </w:r>
          </w:p>
        </w:tc>
        <w:tc>
          <w:tcPr>
            <w:tcW w:w="519" w:type="pct"/>
            <w:tcBorders>
              <w:top w:val="single" w:sz="4" w:space="0" w:color="auto"/>
              <w:left w:val="single" w:sz="4" w:space="0" w:color="auto"/>
              <w:bottom w:val="single" w:sz="4" w:space="0" w:color="auto"/>
              <w:right w:val="single" w:sz="4" w:space="0" w:color="auto"/>
            </w:tcBorders>
          </w:tcPr>
          <w:p w14:paraId="60A4A62A"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Milestone</w:t>
            </w:r>
            <w:proofErr w:type="spellEnd"/>
            <w:r w:rsidRPr="008C5F1C">
              <w:rPr>
                <w:rFonts w:ascii="Times New Roman" w:hAnsi="Times New Roman" w:cs="Times New Roman"/>
                <w:b/>
                <w:sz w:val="16"/>
                <w:szCs w:val="16"/>
              </w:rPr>
              <w:t xml:space="preserve"> (2024)</w:t>
            </w:r>
          </w:p>
          <w:p w14:paraId="278784A2" w14:textId="77777777" w:rsidR="00653571" w:rsidRPr="008C5F1C" w:rsidRDefault="00653571" w:rsidP="00534127">
            <w:pPr>
              <w:rPr>
                <w:rFonts w:ascii="Times New Roman" w:hAnsi="Times New Roman" w:cs="Times New Roman"/>
                <w:b/>
                <w:sz w:val="16"/>
                <w:szCs w:val="16"/>
              </w:rPr>
            </w:pPr>
          </w:p>
        </w:tc>
        <w:tc>
          <w:tcPr>
            <w:tcW w:w="645" w:type="pct"/>
            <w:tcBorders>
              <w:top w:val="single" w:sz="4" w:space="0" w:color="auto"/>
              <w:left w:val="single" w:sz="4" w:space="0" w:color="auto"/>
              <w:bottom w:val="single" w:sz="4" w:space="0" w:color="auto"/>
              <w:right w:val="single" w:sz="4" w:space="0" w:color="auto"/>
            </w:tcBorders>
          </w:tcPr>
          <w:p w14:paraId="14F7F97F"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Target (2029)</w:t>
            </w:r>
          </w:p>
          <w:p w14:paraId="082B2AEC" w14:textId="77777777" w:rsidR="00653571" w:rsidRPr="008C5F1C" w:rsidRDefault="00653571" w:rsidP="00534127">
            <w:pPr>
              <w:rPr>
                <w:rFonts w:ascii="Times New Roman" w:hAnsi="Times New Roman" w:cs="Times New Roman"/>
                <w:b/>
                <w:sz w:val="16"/>
                <w:szCs w:val="16"/>
              </w:rPr>
            </w:pPr>
          </w:p>
        </w:tc>
      </w:tr>
      <w:tr w:rsidR="00653571" w:rsidRPr="008C5F1C" w14:paraId="1E4F0157" w14:textId="77777777" w:rsidTr="0055580C">
        <w:trPr>
          <w:trHeight w:val="340"/>
        </w:trPr>
        <w:tc>
          <w:tcPr>
            <w:tcW w:w="394" w:type="pct"/>
            <w:tcBorders>
              <w:top w:val="single" w:sz="4" w:space="0" w:color="auto"/>
              <w:left w:val="single" w:sz="4" w:space="0" w:color="auto"/>
              <w:bottom w:val="single" w:sz="4" w:space="0" w:color="auto"/>
              <w:right w:val="single" w:sz="4" w:space="0" w:color="auto"/>
            </w:tcBorders>
          </w:tcPr>
          <w:p w14:paraId="3BDD3174" w14:textId="77777777" w:rsidR="00653571" w:rsidRPr="008C5F1C" w:rsidRDefault="00904C61" w:rsidP="00534127">
            <w:pPr>
              <w:rPr>
                <w:rFonts w:ascii="Times New Roman" w:hAnsi="Times New Roman" w:cs="Times New Roman"/>
                <w:bCs/>
                <w:iCs/>
                <w:sz w:val="16"/>
                <w:szCs w:val="16"/>
              </w:rPr>
            </w:pPr>
            <w:r w:rsidRPr="008C5F1C">
              <w:rPr>
                <w:rFonts w:ascii="Times New Roman" w:hAnsi="Times New Roman" w:cs="Times New Roman"/>
                <w:bCs/>
                <w:iCs/>
                <w:sz w:val="16"/>
                <w:szCs w:val="16"/>
              </w:rPr>
              <w:t>3</w:t>
            </w:r>
          </w:p>
        </w:tc>
        <w:tc>
          <w:tcPr>
            <w:tcW w:w="891" w:type="pct"/>
            <w:tcBorders>
              <w:top w:val="single" w:sz="4" w:space="0" w:color="auto"/>
              <w:left w:val="single" w:sz="4" w:space="0" w:color="auto"/>
              <w:bottom w:val="single" w:sz="4" w:space="0" w:color="auto"/>
              <w:right w:val="single" w:sz="4" w:space="0" w:color="auto"/>
            </w:tcBorders>
          </w:tcPr>
          <w:p w14:paraId="2FBF0755"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bCs/>
                <w:iCs/>
                <w:sz w:val="16"/>
                <w:szCs w:val="16"/>
              </w:rPr>
              <w:t>b (i) Promovarea eficien</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 xml:space="preserve">ei energetice </w:t>
            </w:r>
            <w:r w:rsidR="00106240" w:rsidRPr="008C5F1C">
              <w:rPr>
                <w:rFonts w:ascii="Times New Roman" w:hAnsi="Times New Roman" w:cs="Times New Roman"/>
                <w:bCs/>
                <w:iCs/>
                <w:sz w:val="16"/>
                <w:szCs w:val="16"/>
              </w:rPr>
              <w:t>ș</w:t>
            </w:r>
            <w:r w:rsidRPr="008C5F1C">
              <w:rPr>
                <w:rFonts w:ascii="Times New Roman" w:hAnsi="Times New Roman" w:cs="Times New Roman"/>
                <w:bCs/>
                <w:iCs/>
                <w:sz w:val="16"/>
                <w:szCs w:val="16"/>
              </w:rPr>
              <w:t>i reducerea emisiilor de gaze cu efect de ser</w:t>
            </w:r>
            <w:r w:rsidR="00BA7827" w:rsidRPr="008C5F1C">
              <w:rPr>
                <w:rFonts w:ascii="Times New Roman" w:hAnsi="Times New Roman" w:cs="Times New Roman"/>
                <w:bCs/>
                <w:iCs/>
                <w:sz w:val="16"/>
                <w:szCs w:val="16"/>
              </w:rPr>
              <w:t>ă</w:t>
            </w:r>
          </w:p>
        </w:tc>
        <w:tc>
          <w:tcPr>
            <w:tcW w:w="325" w:type="pct"/>
            <w:tcBorders>
              <w:top w:val="single" w:sz="4" w:space="0" w:color="auto"/>
              <w:left w:val="single" w:sz="4" w:space="0" w:color="auto"/>
              <w:bottom w:val="single" w:sz="4" w:space="0" w:color="auto"/>
              <w:right w:val="single" w:sz="4" w:space="0" w:color="auto"/>
            </w:tcBorders>
          </w:tcPr>
          <w:p w14:paraId="4E8919B3"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noProof/>
                <w:sz w:val="16"/>
                <w:szCs w:val="16"/>
              </w:rPr>
              <w:t>FEDR</w:t>
            </w:r>
          </w:p>
        </w:tc>
        <w:tc>
          <w:tcPr>
            <w:tcW w:w="454" w:type="pct"/>
            <w:tcBorders>
              <w:top w:val="single" w:sz="4" w:space="0" w:color="auto"/>
              <w:left w:val="single" w:sz="4" w:space="0" w:color="auto"/>
              <w:bottom w:val="single" w:sz="4" w:space="0" w:color="auto"/>
              <w:right w:val="single" w:sz="4" w:space="0" w:color="auto"/>
            </w:tcBorders>
          </w:tcPr>
          <w:p w14:paraId="7CABCF5A"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noProof/>
                <w:sz w:val="16"/>
                <w:szCs w:val="16"/>
              </w:rPr>
              <w:t>Mai pu</w:t>
            </w:r>
            <w:r w:rsidR="00E22FF2" w:rsidRPr="008C5F1C">
              <w:rPr>
                <w:rFonts w:ascii="Times New Roman" w:hAnsi="Times New Roman" w:cs="Times New Roman"/>
                <w:noProof/>
                <w:sz w:val="16"/>
                <w:szCs w:val="16"/>
              </w:rPr>
              <w:t>ț</w:t>
            </w:r>
            <w:r w:rsidRPr="008C5F1C">
              <w:rPr>
                <w:rFonts w:ascii="Times New Roman" w:hAnsi="Times New Roman" w:cs="Times New Roman"/>
                <w:noProof/>
                <w:sz w:val="16"/>
                <w:szCs w:val="16"/>
              </w:rPr>
              <w:t>in dezvoltate</w:t>
            </w:r>
          </w:p>
        </w:tc>
        <w:tc>
          <w:tcPr>
            <w:tcW w:w="283" w:type="pct"/>
            <w:tcBorders>
              <w:top w:val="single" w:sz="4" w:space="0" w:color="auto"/>
              <w:left w:val="single" w:sz="4" w:space="0" w:color="auto"/>
              <w:bottom w:val="single" w:sz="4" w:space="0" w:color="auto"/>
              <w:right w:val="single" w:sz="4" w:space="0" w:color="auto"/>
            </w:tcBorders>
          </w:tcPr>
          <w:p w14:paraId="663E9C0A"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bCs/>
                <w:iCs/>
                <w:sz w:val="16"/>
                <w:szCs w:val="16"/>
              </w:rPr>
              <w:t>RCO 18</w:t>
            </w:r>
          </w:p>
        </w:tc>
        <w:tc>
          <w:tcPr>
            <w:tcW w:w="888" w:type="pct"/>
            <w:tcBorders>
              <w:top w:val="single" w:sz="4" w:space="0" w:color="auto"/>
              <w:left w:val="single" w:sz="4" w:space="0" w:color="auto"/>
              <w:bottom w:val="single" w:sz="4" w:space="0" w:color="auto"/>
              <w:right w:val="single" w:sz="4" w:space="0" w:color="auto"/>
            </w:tcBorders>
          </w:tcPr>
          <w:p w14:paraId="0AF51EA7"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bCs/>
                <w:iCs/>
                <w:sz w:val="16"/>
                <w:szCs w:val="16"/>
              </w:rPr>
              <w:t>RCO 18 – Gospod</w:t>
            </w:r>
            <w:r w:rsidR="00BA7827" w:rsidRPr="008C5F1C">
              <w:rPr>
                <w:rFonts w:ascii="Times New Roman" w:hAnsi="Times New Roman" w:cs="Times New Roman"/>
                <w:bCs/>
                <w:iCs/>
                <w:sz w:val="16"/>
                <w:szCs w:val="16"/>
              </w:rPr>
              <w:t>ă</w:t>
            </w:r>
            <w:r w:rsidRPr="008C5F1C">
              <w:rPr>
                <w:rFonts w:ascii="Times New Roman" w:hAnsi="Times New Roman" w:cs="Times New Roman"/>
                <w:bCs/>
                <w:iCs/>
                <w:sz w:val="16"/>
                <w:szCs w:val="16"/>
              </w:rPr>
              <w:t>rii care beneficiaz</w:t>
            </w:r>
            <w:r w:rsidR="00BA7827" w:rsidRPr="008C5F1C">
              <w:rPr>
                <w:rFonts w:ascii="Times New Roman" w:hAnsi="Times New Roman" w:cs="Times New Roman"/>
                <w:bCs/>
                <w:iCs/>
                <w:sz w:val="16"/>
                <w:szCs w:val="16"/>
              </w:rPr>
              <w:t>ă</w:t>
            </w:r>
            <w:r w:rsidRPr="008C5F1C">
              <w:rPr>
                <w:rFonts w:ascii="Times New Roman" w:hAnsi="Times New Roman" w:cs="Times New Roman"/>
                <w:bCs/>
                <w:iCs/>
                <w:sz w:val="16"/>
                <w:szCs w:val="16"/>
              </w:rPr>
              <w:t xml:space="preserve"> de sprijin pentru îmbun</w:t>
            </w:r>
            <w:r w:rsidR="00BA7827" w:rsidRPr="008C5F1C">
              <w:rPr>
                <w:rFonts w:ascii="Times New Roman" w:hAnsi="Times New Roman" w:cs="Times New Roman"/>
                <w:bCs/>
                <w:iCs/>
                <w:sz w:val="16"/>
                <w:szCs w:val="16"/>
              </w:rPr>
              <w:t>ă</w:t>
            </w:r>
            <w:r w:rsidRPr="008C5F1C">
              <w:rPr>
                <w:rFonts w:ascii="Times New Roman" w:hAnsi="Times New Roman" w:cs="Times New Roman"/>
                <w:bCs/>
                <w:iCs/>
                <w:sz w:val="16"/>
                <w:szCs w:val="16"/>
              </w:rPr>
              <w:t>t</w:t>
            </w:r>
            <w:r w:rsidR="00BA7827" w:rsidRPr="008C5F1C">
              <w:rPr>
                <w:rFonts w:ascii="Times New Roman" w:hAnsi="Times New Roman" w:cs="Times New Roman"/>
                <w:bCs/>
                <w:iCs/>
                <w:sz w:val="16"/>
                <w:szCs w:val="16"/>
              </w:rPr>
              <w:t>ă</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irea performan</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ei energetice a locuin</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ei</w:t>
            </w:r>
          </w:p>
        </w:tc>
        <w:tc>
          <w:tcPr>
            <w:tcW w:w="601" w:type="pct"/>
            <w:tcBorders>
              <w:top w:val="single" w:sz="4" w:space="0" w:color="auto"/>
              <w:left w:val="single" w:sz="4" w:space="0" w:color="auto"/>
              <w:bottom w:val="single" w:sz="4" w:space="0" w:color="auto"/>
              <w:right w:val="single" w:sz="4" w:space="0" w:color="auto"/>
            </w:tcBorders>
          </w:tcPr>
          <w:p w14:paraId="78A5992C" w14:textId="77777777" w:rsidR="00653571" w:rsidRPr="008C5F1C" w:rsidRDefault="00EC5AD5" w:rsidP="00534127">
            <w:pPr>
              <w:rPr>
                <w:rFonts w:ascii="Times New Roman" w:hAnsi="Times New Roman" w:cs="Times New Roman"/>
                <w:bCs/>
                <w:iCs/>
                <w:sz w:val="16"/>
                <w:szCs w:val="16"/>
              </w:rPr>
            </w:pPr>
            <w:r w:rsidRPr="008C5F1C">
              <w:rPr>
                <w:rFonts w:ascii="Times New Roman" w:hAnsi="Times New Roman" w:cs="Times New Roman"/>
                <w:bCs/>
                <w:iCs/>
                <w:sz w:val="16"/>
                <w:szCs w:val="16"/>
              </w:rPr>
              <w:t>Gospodarii</w:t>
            </w:r>
          </w:p>
        </w:tc>
        <w:tc>
          <w:tcPr>
            <w:tcW w:w="519" w:type="pct"/>
            <w:tcBorders>
              <w:top w:val="single" w:sz="4" w:space="0" w:color="auto"/>
              <w:left w:val="single" w:sz="4" w:space="0" w:color="auto"/>
              <w:bottom w:val="single" w:sz="4" w:space="0" w:color="auto"/>
              <w:right w:val="single" w:sz="4" w:space="0" w:color="auto"/>
            </w:tcBorders>
          </w:tcPr>
          <w:p w14:paraId="03F22925" w14:textId="4C090BF3" w:rsidR="00653571" w:rsidRPr="008C5F1C" w:rsidRDefault="00761529" w:rsidP="00534127">
            <w:pPr>
              <w:rPr>
                <w:rFonts w:ascii="Times New Roman" w:hAnsi="Times New Roman" w:cs="Times New Roman"/>
                <w:bCs/>
                <w:iCs/>
                <w:sz w:val="16"/>
                <w:szCs w:val="16"/>
              </w:rPr>
            </w:pPr>
            <w:r w:rsidRPr="008C5F1C">
              <w:rPr>
                <w:rFonts w:ascii="Times New Roman" w:hAnsi="Times New Roman" w:cs="Times New Roman"/>
                <w:bCs/>
                <w:iCs/>
                <w:sz w:val="16"/>
                <w:szCs w:val="16"/>
              </w:rPr>
              <w:t>1.000</w:t>
            </w:r>
          </w:p>
        </w:tc>
        <w:tc>
          <w:tcPr>
            <w:tcW w:w="645" w:type="pct"/>
            <w:tcBorders>
              <w:top w:val="single" w:sz="4" w:space="0" w:color="auto"/>
              <w:left w:val="single" w:sz="4" w:space="0" w:color="auto"/>
              <w:bottom w:val="single" w:sz="4" w:space="0" w:color="auto"/>
              <w:right w:val="single" w:sz="4" w:space="0" w:color="auto"/>
            </w:tcBorders>
          </w:tcPr>
          <w:p w14:paraId="7C21232A" w14:textId="272D9710" w:rsidR="00653571" w:rsidRPr="008C5F1C" w:rsidRDefault="003B6DD5" w:rsidP="00534127">
            <w:pPr>
              <w:rPr>
                <w:rFonts w:ascii="Times New Roman" w:hAnsi="Times New Roman" w:cs="Times New Roman"/>
                <w:bCs/>
                <w:iCs/>
                <w:sz w:val="16"/>
                <w:szCs w:val="16"/>
              </w:rPr>
            </w:pPr>
            <w:r>
              <w:rPr>
                <w:rFonts w:ascii="Times New Roman" w:hAnsi="Times New Roman" w:cs="Times New Roman"/>
                <w:bCs/>
                <w:iCs/>
                <w:sz w:val="16"/>
                <w:szCs w:val="16"/>
              </w:rPr>
              <w:t>12</w:t>
            </w:r>
            <w:r w:rsidR="00FA5677" w:rsidRPr="008C5F1C">
              <w:rPr>
                <w:rFonts w:ascii="Times New Roman" w:hAnsi="Times New Roman" w:cs="Times New Roman"/>
                <w:bCs/>
                <w:iCs/>
                <w:sz w:val="16"/>
                <w:szCs w:val="16"/>
              </w:rPr>
              <w:t>.</w:t>
            </w:r>
            <w:r>
              <w:rPr>
                <w:rFonts w:ascii="Times New Roman" w:hAnsi="Times New Roman" w:cs="Times New Roman"/>
                <w:bCs/>
                <w:iCs/>
                <w:sz w:val="16"/>
                <w:szCs w:val="16"/>
              </w:rPr>
              <w:t>6</w:t>
            </w:r>
            <w:r w:rsidR="00FA5677" w:rsidRPr="008C5F1C">
              <w:rPr>
                <w:rFonts w:ascii="Times New Roman" w:hAnsi="Times New Roman" w:cs="Times New Roman"/>
                <w:bCs/>
                <w:iCs/>
                <w:sz w:val="16"/>
                <w:szCs w:val="16"/>
              </w:rPr>
              <w:t>0</w:t>
            </w:r>
            <w:r w:rsidR="00761529" w:rsidRPr="008C5F1C">
              <w:rPr>
                <w:rFonts w:ascii="Times New Roman" w:hAnsi="Times New Roman" w:cs="Times New Roman"/>
                <w:bCs/>
                <w:iCs/>
                <w:sz w:val="16"/>
                <w:szCs w:val="16"/>
              </w:rPr>
              <w:t>0</w:t>
            </w:r>
          </w:p>
        </w:tc>
      </w:tr>
      <w:tr w:rsidR="00653571" w:rsidRPr="008C5F1C" w14:paraId="3CB861E8" w14:textId="77777777" w:rsidTr="009D14B8">
        <w:trPr>
          <w:trHeight w:val="1066"/>
        </w:trPr>
        <w:tc>
          <w:tcPr>
            <w:tcW w:w="394" w:type="pct"/>
            <w:tcBorders>
              <w:top w:val="single" w:sz="4" w:space="0" w:color="auto"/>
              <w:left w:val="single" w:sz="4" w:space="0" w:color="auto"/>
              <w:bottom w:val="single" w:sz="4" w:space="0" w:color="auto"/>
              <w:right w:val="single" w:sz="4" w:space="0" w:color="auto"/>
            </w:tcBorders>
          </w:tcPr>
          <w:p w14:paraId="57F31C7A" w14:textId="77777777" w:rsidR="00653571" w:rsidRPr="008C5F1C" w:rsidRDefault="00904C61" w:rsidP="00534127">
            <w:pPr>
              <w:rPr>
                <w:rFonts w:ascii="Times New Roman" w:hAnsi="Times New Roman" w:cs="Times New Roman"/>
                <w:bCs/>
                <w:iCs/>
                <w:sz w:val="16"/>
                <w:szCs w:val="16"/>
              </w:rPr>
            </w:pPr>
            <w:r w:rsidRPr="008C5F1C">
              <w:rPr>
                <w:rFonts w:ascii="Times New Roman" w:hAnsi="Times New Roman" w:cs="Times New Roman"/>
                <w:bCs/>
                <w:iCs/>
                <w:sz w:val="16"/>
                <w:szCs w:val="16"/>
              </w:rPr>
              <w:t>3</w:t>
            </w:r>
          </w:p>
        </w:tc>
        <w:tc>
          <w:tcPr>
            <w:tcW w:w="891" w:type="pct"/>
            <w:tcBorders>
              <w:top w:val="single" w:sz="4" w:space="0" w:color="auto"/>
              <w:left w:val="single" w:sz="4" w:space="0" w:color="auto"/>
              <w:bottom w:val="single" w:sz="4" w:space="0" w:color="auto"/>
              <w:right w:val="single" w:sz="4" w:space="0" w:color="auto"/>
            </w:tcBorders>
          </w:tcPr>
          <w:p w14:paraId="2498652A"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bCs/>
                <w:iCs/>
                <w:sz w:val="16"/>
                <w:szCs w:val="16"/>
              </w:rPr>
              <w:t>b (i) Promovarea eficien</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 xml:space="preserve">ei energetice </w:t>
            </w:r>
            <w:r w:rsidR="00106240" w:rsidRPr="008C5F1C">
              <w:rPr>
                <w:rFonts w:ascii="Times New Roman" w:hAnsi="Times New Roman" w:cs="Times New Roman"/>
                <w:bCs/>
                <w:iCs/>
                <w:sz w:val="16"/>
                <w:szCs w:val="16"/>
              </w:rPr>
              <w:t>ș</w:t>
            </w:r>
            <w:r w:rsidRPr="008C5F1C">
              <w:rPr>
                <w:rFonts w:ascii="Times New Roman" w:hAnsi="Times New Roman" w:cs="Times New Roman"/>
                <w:bCs/>
                <w:iCs/>
                <w:sz w:val="16"/>
                <w:szCs w:val="16"/>
              </w:rPr>
              <w:t>i reducerea emisiilor de gaze cu efect de ser</w:t>
            </w:r>
            <w:r w:rsidR="00BA7827" w:rsidRPr="008C5F1C">
              <w:rPr>
                <w:rFonts w:ascii="Times New Roman" w:hAnsi="Times New Roman" w:cs="Times New Roman"/>
                <w:bCs/>
                <w:iCs/>
                <w:sz w:val="16"/>
                <w:szCs w:val="16"/>
              </w:rPr>
              <w:t>ă</w:t>
            </w:r>
          </w:p>
        </w:tc>
        <w:tc>
          <w:tcPr>
            <w:tcW w:w="325" w:type="pct"/>
            <w:tcBorders>
              <w:top w:val="single" w:sz="4" w:space="0" w:color="auto"/>
              <w:left w:val="single" w:sz="4" w:space="0" w:color="auto"/>
              <w:bottom w:val="single" w:sz="4" w:space="0" w:color="auto"/>
              <w:right w:val="single" w:sz="4" w:space="0" w:color="auto"/>
            </w:tcBorders>
          </w:tcPr>
          <w:p w14:paraId="056DC4DE" w14:textId="77777777" w:rsidR="00653571" w:rsidRPr="008C5F1C" w:rsidRDefault="00653571" w:rsidP="00534127">
            <w:pPr>
              <w:rPr>
                <w:rFonts w:ascii="Times New Roman" w:hAnsi="Times New Roman" w:cs="Times New Roman"/>
                <w:noProof/>
                <w:sz w:val="16"/>
                <w:szCs w:val="16"/>
              </w:rPr>
            </w:pPr>
            <w:r w:rsidRPr="008C5F1C">
              <w:rPr>
                <w:rFonts w:ascii="Times New Roman" w:hAnsi="Times New Roman" w:cs="Times New Roman"/>
                <w:noProof/>
                <w:sz w:val="16"/>
                <w:szCs w:val="16"/>
              </w:rPr>
              <w:t>FEDR</w:t>
            </w:r>
          </w:p>
        </w:tc>
        <w:tc>
          <w:tcPr>
            <w:tcW w:w="454" w:type="pct"/>
            <w:tcBorders>
              <w:top w:val="single" w:sz="4" w:space="0" w:color="auto"/>
              <w:left w:val="single" w:sz="4" w:space="0" w:color="auto"/>
              <w:bottom w:val="single" w:sz="4" w:space="0" w:color="auto"/>
              <w:right w:val="single" w:sz="4" w:space="0" w:color="auto"/>
            </w:tcBorders>
          </w:tcPr>
          <w:p w14:paraId="5F262C7F" w14:textId="4318909E" w:rsidR="00653571" w:rsidRPr="008C5F1C" w:rsidRDefault="00653571" w:rsidP="00534127">
            <w:pPr>
              <w:rPr>
                <w:rFonts w:ascii="Times New Roman" w:hAnsi="Times New Roman" w:cs="Times New Roman"/>
                <w:noProof/>
                <w:sz w:val="16"/>
                <w:szCs w:val="16"/>
              </w:rPr>
            </w:pPr>
            <w:r w:rsidRPr="008C5F1C">
              <w:rPr>
                <w:rFonts w:ascii="Times New Roman" w:hAnsi="Times New Roman" w:cs="Times New Roman"/>
                <w:noProof/>
                <w:sz w:val="16"/>
                <w:szCs w:val="16"/>
              </w:rPr>
              <w:t>Mai pu</w:t>
            </w:r>
            <w:r w:rsidR="00E22FF2" w:rsidRPr="008C5F1C">
              <w:rPr>
                <w:rFonts w:ascii="Times New Roman" w:hAnsi="Times New Roman" w:cs="Times New Roman"/>
                <w:noProof/>
                <w:sz w:val="16"/>
                <w:szCs w:val="16"/>
              </w:rPr>
              <w:t>ț</w:t>
            </w:r>
            <w:r w:rsidRPr="008C5F1C">
              <w:rPr>
                <w:rFonts w:ascii="Times New Roman" w:hAnsi="Times New Roman" w:cs="Times New Roman"/>
                <w:noProof/>
                <w:sz w:val="16"/>
                <w:szCs w:val="16"/>
              </w:rPr>
              <w:t>in dezvoltate</w:t>
            </w:r>
          </w:p>
        </w:tc>
        <w:tc>
          <w:tcPr>
            <w:tcW w:w="283" w:type="pct"/>
            <w:tcBorders>
              <w:top w:val="single" w:sz="4" w:space="0" w:color="auto"/>
              <w:left w:val="single" w:sz="4" w:space="0" w:color="auto"/>
              <w:bottom w:val="single" w:sz="4" w:space="0" w:color="auto"/>
              <w:right w:val="single" w:sz="4" w:space="0" w:color="auto"/>
            </w:tcBorders>
          </w:tcPr>
          <w:p w14:paraId="5685F8A6"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bCs/>
                <w:iCs/>
                <w:sz w:val="16"/>
                <w:szCs w:val="16"/>
              </w:rPr>
              <w:t>RCO 19</w:t>
            </w:r>
          </w:p>
        </w:tc>
        <w:tc>
          <w:tcPr>
            <w:tcW w:w="888" w:type="pct"/>
            <w:tcBorders>
              <w:top w:val="single" w:sz="4" w:space="0" w:color="auto"/>
              <w:left w:val="single" w:sz="4" w:space="0" w:color="auto"/>
              <w:bottom w:val="single" w:sz="4" w:space="0" w:color="auto"/>
              <w:right w:val="single" w:sz="4" w:space="0" w:color="auto"/>
            </w:tcBorders>
          </w:tcPr>
          <w:p w14:paraId="6CA0E373"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bCs/>
                <w:iCs/>
                <w:sz w:val="16"/>
                <w:szCs w:val="16"/>
              </w:rPr>
              <w:t>RCO 19 – Cl</w:t>
            </w:r>
            <w:r w:rsidR="00BA7827" w:rsidRPr="008C5F1C">
              <w:rPr>
                <w:rFonts w:ascii="Times New Roman" w:hAnsi="Times New Roman" w:cs="Times New Roman"/>
                <w:bCs/>
                <w:iCs/>
                <w:sz w:val="16"/>
                <w:szCs w:val="16"/>
              </w:rPr>
              <w:t>ă</w:t>
            </w:r>
            <w:r w:rsidRPr="008C5F1C">
              <w:rPr>
                <w:rFonts w:ascii="Times New Roman" w:hAnsi="Times New Roman" w:cs="Times New Roman"/>
                <w:bCs/>
                <w:iCs/>
                <w:sz w:val="16"/>
                <w:szCs w:val="16"/>
              </w:rPr>
              <w:t>diri publice care beneficiaz</w:t>
            </w:r>
            <w:r w:rsidR="00BA7827" w:rsidRPr="008C5F1C">
              <w:rPr>
                <w:rFonts w:ascii="Times New Roman" w:hAnsi="Times New Roman" w:cs="Times New Roman"/>
                <w:bCs/>
                <w:iCs/>
                <w:sz w:val="16"/>
                <w:szCs w:val="16"/>
              </w:rPr>
              <w:t>ă</w:t>
            </w:r>
            <w:r w:rsidRPr="008C5F1C">
              <w:rPr>
                <w:rFonts w:ascii="Times New Roman" w:hAnsi="Times New Roman" w:cs="Times New Roman"/>
                <w:bCs/>
                <w:iCs/>
                <w:sz w:val="16"/>
                <w:szCs w:val="16"/>
              </w:rPr>
              <w:t xml:space="preserve"> de sprijin pentru îmbun</w:t>
            </w:r>
            <w:r w:rsidR="00BA7827" w:rsidRPr="008C5F1C">
              <w:rPr>
                <w:rFonts w:ascii="Times New Roman" w:hAnsi="Times New Roman" w:cs="Times New Roman"/>
                <w:bCs/>
                <w:iCs/>
                <w:sz w:val="16"/>
                <w:szCs w:val="16"/>
              </w:rPr>
              <w:t>ă</w:t>
            </w:r>
            <w:r w:rsidRPr="008C5F1C">
              <w:rPr>
                <w:rFonts w:ascii="Times New Roman" w:hAnsi="Times New Roman" w:cs="Times New Roman"/>
                <w:bCs/>
                <w:iCs/>
                <w:sz w:val="16"/>
                <w:szCs w:val="16"/>
              </w:rPr>
              <w:t>t</w:t>
            </w:r>
            <w:r w:rsidR="00BA7827" w:rsidRPr="008C5F1C">
              <w:rPr>
                <w:rFonts w:ascii="Times New Roman" w:hAnsi="Times New Roman" w:cs="Times New Roman"/>
                <w:bCs/>
                <w:iCs/>
                <w:sz w:val="16"/>
                <w:szCs w:val="16"/>
              </w:rPr>
              <w:t>ă</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irea performan</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ei energetice</w:t>
            </w:r>
          </w:p>
        </w:tc>
        <w:tc>
          <w:tcPr>
            <w:tcW w:w="601" w:type="pct"/>
            <w:tcBorders>
              <w:top w:val="single" w:sz="4" w:space="0" w:color="auto"/>
              <w:left w:val="single" w:sz="4" w:space="0" w:color="auto"/>
              <w:bottom w:val="single" w:sz="4" w:space="0" w:color="auto"/>
              <w:right w:val="single" w:sz="4" w:space="0" w:color="auto"/>
            </w:tcBorders>
          </w:tcPr>
          <w:p w14:paraId="7342A93C" w14:textId="77777777" w:rsidR="00653571" w:rsidRPr="008C5F1C" w:rsidRDefault="00EC5AD5" w:rsidP="00534127">
            <w:pPr>
              <w:rPr>
                <w:rFonts w:ascii="Times New Roman" w:hAnsi="Times New Roman" w:cs="Times New Roman"/>
                <w:bCs/>
                <w:iCs/>
                <w:sz w:val="16"/>
                <w:szCs w:val="16"/>
              </w:rPr>
            </w:pPr>
            <w:r w:rsidRPr="008C5F1C">
              <w:rPr>
                <w:rFonts w:ascii="Times New Roman" w:hAnsi="Times New Roman" w:cs="Times New Roman"/>
                <w:bCs/>
                <w:iCs/>
                <w:sz w:val="16"/>
                <w:szCs w:val="16"/>
              </w:rPr>
              <w:t xml:space="preserve">Metri </w:t>
            </w:r>
            <w:proofErr w:type="spellStart"/>
            <w:r w:rsidRPr="008C5F1C">
              <w:rPr>
                <w:rFonts w:ascii="Times New Roman" w:hAnsi="Times New Roman" w:cs="Times New Roman"/>
                <w:bCs/>
                <w:iCs/>
                <w:sz w:val="16"/>
                <w:szCs w:val="16"/>
              </w:rPr>
              <w:t>patrati</w:t>
            </w:r>
            <w:proofErr w:type="spellEnd"/>
          </w:p>
        </w:tc>
        <w:tc>
          <w:tcPr>
            <w:tcW w:w="519" w:type="pct"/>
            <w:tcBorders>
              <w:top w:val="single" w:sz="4" w:space="0" w:color="auto"/>
              <w:left w:val="single" w:sz="4" w:space="0" w:color="auto"/>
              <w:bottom w:val="single" w:sz="4" w:space="0" w:color="auto"/>
              <w:right w:val="single" w:sz="4" w:space="0" w:color="auto"/>
            </w:tcBorders>
          </w:tcPr>
          <w:p w14:paraId="5F6369BE" w14:textId="1EC945E8" w:rsidR="00653571" w:rsidRPr="008C5F1C" w:rsidRDefault="00761529" w:rsidP="00534127">
            <w:pPr>
              <w:rPr>
                <w:rFonts w:ascii="Times New Roman" w:hAnsi="Times New Roman" w:cs="Times New Roman"/>
                <w:bCs/>
                <w:iCs/>
                <w:sz w:val="16"/>
                <w:szCs w:val="16"/>
              </w:rPr>
            </w:pPr>
            <w:r w:rsidRPr="008C5F1C">
              <w:rPr>
                <w:rFonts w:ascii="Times New Roman" w:hAnsi="Times New Roman" w:cs="Times New Roman"/>
                <w:bCs/>
                <w:iCs/>
                <w:sz w:val="16"/>
                <w:szCs w:val="16"/>
              </w:rPr>
              <w:t>2</w:t>
            </w:r>
            <w:r w:rsidR="003B6DD5">
              <w:rPr>
                <w:rFonts w:ascii="Times New Roman" w:hAnsi="Times New Roman" w:cs="Times New Roman"/>
                <w:bCs/>
                <w:iCs/>
                <w:sz w:val="16"/>
                <w:szCs w:val="16"/>
              </w:rPr>
              <w:t>0</w:t>
            </w:r>
            <w:r w:rsidRPr="008C5F1C">
              <w:rPr>
                <w:rFonts w:ascii="Times New Roman" w:hAnsi="Times New Roman" w:cs="Times New Roman"/>
                <w:bCs/>
                <w:iCs/>
                <w:sz w:val="16"/>
                <w:szCs w:val="16"/>
              </w:rPr>
              <w:t>.000</w:t>
            </w:r>
          </w:p>
        </w:tc>
        <w:tc>
          <w:tcPr>
            <w:tcW w:w="645" w:type="pct"/>
            <w:tcBorders>
              <w:top w:val="single" w:sz="4" w:space="0" w:color="auto"/>
              <w:left w:val="single" w:sz="4" w:space="0" w:color="auto"/>
              <w:bottom w:val="single" w:sz="4" w:space="0" w:color="auto"/>
              <w:right w:val="single" w:sz="4" w:space="0" w:color="auto"/>
            </w:tcBorders>
          </w:tcPr>
          <w:p w14:paraId="03DC7D1D" w14:textId="4602D957" w:rsidR="00653571" w:rsidRPr="008C5F1C" w:rsidRDefault="00FA5677" w:rsidP="00534127">
            <w:pPr>
              <w:rPr>
                <w:rFonts w:ascii="Times New Roman" w:hAnsi="Times New Roman" w:cs="Times New Roman"/>
                <w:bCs/>
                <w:iCs/>
                <w:sz w:val="16"/>
                <w:szCs w:val="16"/>
              </w:rPr>
            </w:pPr>
            <w:r w:rsidRPr="008C5F1C">
              <w:rPr>
                <w:rFonts w:ascii="Times New Roman" w:hAnsi="Times New Roman" w:cs="Times New Roman"/>
                <w:bCs/>
                <w:iCs/>
                <w:sz w:val="16"/>
                <w:szCs w:val="16"/>
              </w:rPr>
              <w:t>15</w:t>
            </w:r>
            <w:r w:rsidR="003B6DD5">
              <w:rPr>
                <w:rFonts w:ascii="Times New Roman" w:hAnsi="Times New Roman" w:cs="Times New Roman"/>
                <w:bCs/>
                <w:iCs/>
                <w:sz w:val="16"/>
                <w:szCs w:val="16"/>
              </w:rPr>
              <w:t>6</w:t>
            </w:r>
            <w:r w:rsidR="00761529" w:rsidRPr="008C5F1C">
              <w:rPr>
                <w:rFonts w:ascii="Times New Roman" w:hAnsi="Times New Roman" w:cs="Times New Roman"/>
                <w:bCs/>
                <w:iCs/>
                <w:sz w:val="16"/>
                <w:szCs w:val="16"/>
              </w:rPr>
              <w:t>.000</w:t>
            </w:r>
          </w:p>
        </w:tc>
      </w:tr>
    </w:tbl>
    <w:p w14:paraId="65499660" w14:textId="77777777" w:rsidR="00B11C00" w:rsidRPr="008C5F1C" w:rsidRDefault="00B11C00" w:rsidP="00653571">
      <w:pPr>
        <w:rPr>
          <w:rFonts w:ascii="Times New Roman" w:hAnsi="Times New Roman" w:cs="Times New Roman"/>
        </w:rPr>
        <w:sectPr w:rsidR="00B11C00" w:rsidRPr="008C5F1C" w:rsidSect="00F72A1C">
          <w:footerReference w:type="default" r:id="rId8"/>
          <w:type w:val="continuous"/>
          <w:pgSz w:w="11906" w:h="16838"/>
          <w:pgMar w:top="1134" w:right="1134" w:bottom="1134" w:left="1134" w:header="567" w:footer="567" w:gutter="0"/>
          <w:cols w:space="720"/>
          <w:docGrid w:linePitch="326"/>
        </w:sectPr>
      </w:pPr>
    </w:p>
    <w:tbl>
      <w:tblPr>
        <w:tblW w:w="53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1"/>
        <w:gridCol w:w="999"/>
        <w:gridCol w:w="645"/>
        <w:gridCol w:w="941"/>
        <w:gridCol w:w="905"/>
        <w:gridCol w:w="1221"/>
        <w:gridCol w:w="721"/>
        <w:gridCol w:w="837"/>
        <w:gridCol w:w="602"/>
        <w:gridCol w:w="817"/>
        <w:gridCol w:w="660"/>
        <w:gridCol w:w="756"/>
        <w:gridCol w:w="145"/>
      </w:tblGrid>
      <w:tr w:rsidR="00653571" w:rsidRPr="008C5F1C" w14:paraId="46EFB8AA" w14:textId="77777777" w:rsidTr="00F72A1C">
        <w:trPr>
          <w:trHeight w:val="480"/>
        </w:trPr>
        <w:tc>
          <w:tcPr>
            <w:tcW w:w="5000" w:type="pct"/>
            <w:gridSpan w:val="13"/>
            <w:tcBorders>
              <w:top w:val="single" w:sz="4" w:space="0" w:color="auto"/>
              <w:left w:val="single" w:sz="4" w:space="0" w:color="auto"/>
              <w:bottom w:val="single" w:sz="4" w:space="0" w:color="auto"/>
              <w:right w:val="single" w:sz="4" w:space="0" w:color="auto"/>
            </w:tcBorders>
            <w:hideMark/>
          </w:tcPr>
          <w:p w14:paraId="791F759B" w14:textId="77777777" w:rsidR="00653571" w:rsidRPr="008C5F1C" w:rsidRDefault="00653571" w:rsidP="00534127">
            <w:pPr>
              <w:rPr>
                <w:rFonts w:ascii="Times New Roman" w:hAnsi="Times New Roman" w:cs="Times New Roman"/>
                <w:b/>
              </w:rPr>
            </w:pPr>
            <w:r w:rsidRPr="008C5F1C">
              <w:rPr>
                <w:rFonts w:ascii="Times New Roman" w:hAnsi="Times New Roman" w:cs="Times New Roman"/>
                <w:b/>
                <w:iCs/>
              </w:rPr>
              <w:t xml:space="preserve">Table 3: </w:t>
            </w:r>
            <w:proofErr w:type="spellStart"/>
            <w:r w:rsidRPr="008C5F1C">
              <w:rPr>
                <w:rFonts w:ascii="Times New Roman" w:hAnsi="Times New Roman" w:cs="Times New Roman"/>
                <w:b/>
                <w:iCs/>
              </w:rPr>
              <w:t>Result</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indicators</w:t>
            </w:r>
            <w:proofErr w:type="spellEnd"/>
          </w:p>
        </w:tc>
      </w:tr>
      <w:tr w:rsidR="00F72A1C" w:rsidRPr="008C5F1C" w14:paraId="67E948AF" w14:textId="77777777" w:rsidTr="00F72A1C">
        <w:trPr>
          <w:gridAfter w:val="1"/>
          <w:wAfter w:w="71" w:type="pct"/>
          <w:trHeight w:val="1059"/>
        </w:trPr>
        <w:tc>
          <w:tcPr>
            <w:tcW w:w="471" w:type="pct"/>
            <w:tcBorders>
              <w:top w:val="single" w:sz="4" w:space="0" w:color="auto"/>
              <w:left w:val="single" w:sz="4" w:space="0" w:color="auto"/>
              <w:bottom w:val="single" w:sz="4" w:space="0" w:color="auto"/>
              <w:right w:val="single" w:sz="4" w:space="0" w:color="auto"/>
            </w:tcBorders>
            <w:hideMark/>
          </w:tcPr>
          <w:p w14:paraId="758C2740"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Priority</w:t>
            </w:r>
            <w:proofErr w:type="spellEnd"/>
            <w:r w:rsidRPr="008C5F1C">
              <w:rPr>
                <w:rFonts w:ascii="Times New Roman" w:hAnsi="Times New Roman" w:cs="Times New Roman"/>
                <w:b/>
                <w:sz w:val="16"/>
                <w:szCs w:val="16"/>
              </w:rPr>
              <w:t xml:space="preserve"> </w:t>
            </w:r>
          </w:p>
        </w:tc>
        <w:tc>
          <w:tcPr>
            <w:tcW w:w="489" w:type="pct"/>
            <w:tcBorders>
              <w:top w:val="single" w:sz="4" w:space="0" w:color="auto"/>
              <w:left w:val="single" w:sz="4" w:space="0" w:color="auto"/>
              <w:bottom w:val="single" w:sz="4" w:space="0" w:color="auto"/>
              <w:right w:val="single" w:sz="4" w:space="0" w:color="auto"/>
            </w:tcBorders>
            <w:hideMark/>
          </w:tcPr>
          <w:p w14:paraId="1CCAA5C2"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 xml:space="preserve">Specific </w:t>
            </w:r>
            <w:proofErr w:type="spellStart"/>
            <w:r w:rsidRPr="008C5F1C">
              <w:rPr>
                <w:rFonts w:ascii="Times New Roman" w:hAnsi="Times New Roman" w:cs="Times New Roman"/>
                <w:b/>
                <w:sz w:val="16"/>
                <w:szCs w:val="16"/>
              </w:rPr>
              <w:t>objective</w:t>
            </w:r>
            <w:proofErr w:type="spellEnd"/>
            <w:r w:rsidRPr="008C5F1C">
              <w:rPr>
                <w:rFonts w:ascii="Times New Roman" w:hAnsi="Times New Roman" w:cs="Times New Roman"/>
                <w:b/>
                <w:sz w:val="16"/>
                <w:szCs w:val="16"/>
              </w:rPr>
              <w:t xml:space="preserve"> (Investment for </w:t>
            </w:r>
            <w:proofErr w:type="spellStart"/>
            <w:r w:rsidRPr="008C5F1C">
              <w:rPr>
                <w:rFonts w:ascii="Times New Roman" w:hAnsi="Times New Roman" w:cs="Times New Roman"/>
                <w:b/>
                <w:sz w:val="16"/>
                <w:szCs w:val="16"/>
              </w:rPr>
              <w:t>Jobs</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and</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lastRenderedPageBreak/>
              <w:t>Growth</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goal</w:t>
            </w:r>
            <w:proofErr w:type="spellEnd"/>
            <w:r w:rsidRPr="008C5F1C">
              <w:rPr>
                <w:rFonts w:ascii="Times New Roman" w:hAnsi="Times New Roman" w:cs="Times New Roman"/>
                <w:b/>
                <w:sz w:val="16"/>
                <w:szCs w:val="16"/>
              </w:rPr>
              <w:t xml:space="preserve"> or EMFF)</w:t>
            </w:r>
          </w:p>
        </w:tc>
        <w:tc>
          <w:tcPr>
            <w:tcW w:w="316" w:type="pct"/>
            <w:tcBorders>
              <w:top w:val="single" w:sz="4" w:space="0" w:color="auto"/>
              <w:left w:val="single" w:sz="4" w:space="0" w:color="auto"/>
              <w:bottom w:val="single" w:sz="4" w:space="0" w:color="auto"/>
              <w:right w:val="single" w:sz="4" w:space="0" w:color="auto"/>
            </w:tcBorders>
            <w:hideMark/>
          </w:tcPr>
          <w:p w14:paraId="2545BF59"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lastRenderedPageBreak/>
              <w:t>Fund</w:t>
            </w:r>
          </w:p>
        </w:tc>
        <w:tc>
          <w:tcPr>
            <w:tcW w:w="461" w:type="pct"/>
            <w:tcBorders>
              <w:top w:val="single" w:sz="4" w:space="0" w:color="auto"/>
              <w:left w:val="single" w:sz="4" w:space="0" w:color="auto"/>
              <w:bottom w:val="single" w:sz="4" w:space="0" w:color="auto"/>
              <w:right w:val="single" w:sz="4" w:space="0" w:color="auto"/>
            </w:tcBorders>
            <w:hideMark/>
          </w:tcPr>
          <w:p w14:paraId="7FCA71D3"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Category</w:t>
            </w:r>
            <w:proofErr w:type="spellEnd"/>
            <w:r w:rsidRPr="008C5F1C">
              <w:rPr>
                <w:rFonts w:ascii="Times New Roman" w:hAnsi="Times New Roman" w:cs="Times New Roman"/>
                <w:b/>
                <w:sz w:val="16"/>
                <w:szCs w:val="16"/>
              </w:rPr>
              <w:t xml:space="preserve"> of </w:t>
            </w:r>
            <w:proofErr w:type="spellStart"/>
            <w:r w:rsidRPr="008C5F1C">
              <w:rPr>
                <w:rFonts w:ascii="Times New Roman" w:hAnsi="Times New Roman" w:cs="Times New Roman"/>
                <w:b/>
                <w:sz w:val="16"/>
                <w:szCs w:val="16"/>
              </w:rPr>
              <w:t>region</w:t>
            </w:r>
            <w:proofErr w:type="spellEnd"/>
            <w:r w:rsidRPr="008C5F1C">
              <w:rPr>
                <w:rFonts w:ascii="Times New Roman" w:hAnsi="Times New Roman" w:cs="Times New Roman"/>
                <w:sz w:val="16"/>
                <w:szCs w:val="16"/>
              </w:rPr>
              <w:t xml:space="preserve"> </w:t>
            </w:r>
          </w:p>
        </w:tc>
        <w:tc>
          <w:tcPr>
            <w:tcW w:w="443" w:type="pct"/>
            <w:tcBorders>
              <w:top w:val="single" w:sz="4" w:space="0" w:color="auto"/>
              <w:left w:val="single" w:sz="4" w:space="0" w:color="auto"/>
              <w:bottom w:val="single" w:sz="4" w:space="0" w:color="auto"/>
              <w:right w:val="single" w:sz="4" w:space="0" w:color="auto"/>
            </w:tcBorders>
            <w:hideMark/>
          </w:tcPr>
          <w:p w14:paraId="147DAA36"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ID [5]</w:t>
            </w:r>
          </w:p>
        </w:tc>
        <w:tc>
          <w:tcPr>
            <w:tcW w:w="598" w:type="pct"/>
            <w:tcBorders>
              <w:top w:val="single" w:sz="4" w:space="0" w:color="auto"/>
              <w:left w:val="single" w:sz="4" w:space="0" w:color="auto"/>
              <w:bottom w:val="single" w:sz="4" w:space="0" w:color="auto"/>
              <w:right w:val="single" w:sz="4" w:space="0" w:color="auto"/>
            </w:tcBorders>
            <w:hideMark/>
          </w:tcPr>
          <w:p w14:paraId="33F78527"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Indicator [255]</w:t>
            </w:r>
          </w:p>
        </w:tc>
        <w:tc>
          <w:tcPr>
            <w:tcW w:w="353" w:type="pct"/>
            <w:tcBorders>
              <w:top w:val="single" w:sz="4" w:space="0" w:color="auto"/>
              <w:left w:val="single" w:sz="4" w:space="0" w:color="auto"/>
              <w:bottom w:val="single" w:sz="4" w:space="0" w:color="auto"/>
              <w:right w:val="single" w:sz="4" w:space="0" w:color="auto"/>
            </w:tcBorders>
            <w:hideMark/>
          </w:tcPr>
          <w:p w14:paraId="39BBF11A"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Measurement</w:t>
            </w:r>
            <w:proofErr w:type="spellEnd"/>
            <w:r w:rsidRPr="008C5F1C">
              <w:rPr>
                <w:rFonts w:ascii="Times New Roman" w:hAnsi="Times New Roman" w:cs="Times New Roman"/>
                <w:b/>
                <w:sz w:val="16"/>
                <w:szCs w:val="16"/>
              </w:rPr>
              <w:t xml:space="preserve"> unit</w:t>
            </w:r>
          </w:p>
        </w:tc>
        <w:tc>
          <w:tcPr>
            <w:tcW w:w="410" w:type="pct"/>
            <w:tcBorders>
              <w:top w:val="single" w:sz="4" w:space="0" w:color="auto"/>
              <w:left w:val="single" w:sz="4" w:space="0" w:color="auto"/>
              <w:bottom w:val="single" w:sz="4" w:space="0" w:color="auto"/>
              <w:right w:val="single" w:sz="4" w:space="0" w:color="auto"/>
            </w:tcBorders>
            <w:hideMark/>
          </w:tcPr>
          <w:p w14:paraId="7A1D344E"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Baseline</w:t>
            </w:r>
            <w:proofErr w:type="spellEnd"/>
            <w:r w:rsidRPr="008C5F1C">
              <w:rPr>
                <w:rFonts w:ascii="Times New Roman" w:hAnsi="Times New Roman" w:cs="Times New Roman"/>
                <w:b/>
                <w:sz w:val="16"/>
                <w:szCs w:val="16"/>
              </w:rPr>
              <w:t xml:space="preserve"> or </w:t>
            </w:r>
            <w:proofErr w:type="spellStart"/>
            <w:r w:rsidRPr="008C5F1C">
              <w:rPr>
                <w:rFonts w:ascii="Times New Roman" w:hAnsi="Times New Roman" w:cs="Times New Roman"/>
                <w:b/>
                <w:sz w:val="16"/>
                <w:szCs w:val="16"/>
              </w:rPr>
              <w:t>reference</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value</w:t>
            </w:r>
            <w:proofErr w:type="spellEnd"/>
          </w:p>
        </w:tc>
        <w:tc>
          <w:tcPr>
            <w:tcW w:w="295" w:type="pct"/>
            <w:tcBorders>
              <w:top w:val="single" w:sz="4" w:space="0" w:color="auto"/>
              <w:left w:val="single" w:sz="4" w:space="0" w:color="auto"/>
              <w:bottom w:val="single" w:sz="4" w:space="0" w:color="auto"/>
              <w:right w:val="single" w:sz="4" w:space="0" w:color="auto"/>
            </w:tcBorders>
            <w:hideMark/>
          </w:tcPr>
          <w:p w14:paraId="4D6C8793"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Reference</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year</w:t>
            </w:r>
            <w:proofErr w:type="spellEnd"/>
          </w:p>
        </w:tc>
        <w:tc>
          <w:tcPr>
            <w:tcW w:w="400" w:type="pct"/>
            <w:tcBorders>
              <w:top w:val="single" w:sz="4" w:space="0" w:color="auto"/>
              <w:left w:val="single" w:sz="4" w:space="0" w:color="auto"/>
              <w:bottom w:val="single" w:sz="4" w:space="0" w:color="auto"/>
              <w:right w:val="single" w:sz="4" w:space="0" w:color="auto"/>
            </w:tcBorders>
          </w:tcPr>
          <w:p w14:paraId="49253FE2" w14:textId="4E3FA8AD"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Target (2029)</w:t>
            </w:r>
          </w:p>
        </w:tc>
        <w:tc>
          <w:tcPr>
            <w:tcW w:w="323" w:type="pct"/>
            <w:tcBorders>
              <w:top w:val="single" w:sz="4" w:space="0" w:color="auto"/>
              <w:left w:val="single" w:sz="4" w:space="0" w:color="auto"/>
              <w:bottom w:val="single" w:sz="4" w:space="0" w:color="auto"/>
              <w:right w:val="single" w:sz="4" w:space="0" w:color="auto"/>
            </w:tcBorders>
            <w:hideMark/>
          </w:tcPr>
          <w:p w14:paraId="35109300"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Source</w:t>
            </w:r>
            <w:proofErr w:type="spellEnd"/>
            <w:r w:rsidRPr="008C5F1C">
              <w:rPr>
                <w:rFonts w:ascii="Times New Roman" w:hAnsi="Times New Roman" w:cs="Times New Roman"/>
                <w:b/>
                <w:sz w:val="16"/>
                <w:szCs w:val="16"/>
              </w:rPr>
              <w:t xml:space="preserve"> of data [200]</w:t>
            </w:r>
          </w:p>
        </w:tc>
        <w:tc>
          <w:tcPr>
            <w:tcW w:w="370" w:type="pct"/>
            <w:tcBorders>
              <w:top w:val="single" w:sz="4" w:space="0" w:color="auto"/>
              <w:left w:val="single" w:sz="4" w:space="0" w:color="auto"/>
              <w:bottom w:val="single" w:sz="4" w:space="0" w:color="auto"/>
              <w:right w:val="single" w:sz="4" w:space="0" w:color="auto"/>
            </w:tcBorders>
            <w:hideMark/>
          </w:tcPr>
          <w:p w14:paraId="57E42EEE"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Comments</w:t>
            </w:r>
            <w:proofErr w:type="spellEnd"/>
            <w:r w:rsidRPr="008C5F1C">
              <w:rPr>
                <w:rFonts w:ascii="Times New Roman" w:hAnsi="Times New Roman" w:cs="Times New Roman"/>
                <w:b/>
                <w:sz w:val="16"/>
                <w:szCs w:val="16"/>
              </w:rPr>
              <w:t xml:space="preserve"> [200]</w:t>
            </w:r>
          </w:p>
        </w:tc>
      </w:tr>
      <w:tr w:rsidR="00F72A1C" w:rsidRPr="008C5F1C" w14:paraId="17E9B656" w14:textId="77777777" w:rsidTr="00F72A1C">
        <w:trPr>
          <w:gridAfter w:val="1"/>
          <w:wAfter w:w="71" w:type="pct"/>
          <w:trHeight w:val="434"/>
        </w:trPr>
        <w:tc>
          <w:tcPr>
            <w:tcW w:w="471" w:type="pct"/>
            <w:tcBorders>
              <w:top w:val="single" w:sz="4" w:space="0" w:color="auto"/>
              <w:left w:val="single" w:sz="4" w:space="0" w:color="auto"/>
              <w:bottom w:val="single" w:sz="4" w:space="0" w:color="auto"/>
              <w:right w:val="single" w:sz="4" w:space="0" w:color="auto"/>
            </w:tcBorders>
          </w:tcPr>
          <w:p w14:paraId="7B9654D0" w14:textId="77777777" w:rsidR="00653571" w:rsidRPr="008C5F1C" w:rsidRDefault="00904C61" w:rsidP="00534127">
            <w:pPr>
              <w:rPr>
                <w:rFonts w:ascii="Times New Roman" w:hAnsi="Times New Roman" w:cs="Times New Roman"/>
                <w:iCs/>
                <w:sz w:val="16"/>
                <w:szCs w:val="16"/>
              </w:rPr>
            </w:pPr>
            <w:r w:rsidRPr="008C5F1C">
              <w:rPr>
                <w:rFonts w:ascii="Times New Roman" w:hAnsi="Times New Roman" w:cs="Times New Roman"/>
                <w:iCs/>
                <w:sz w:val="16"/>
                <w:szCs w:val="16"/>
              </w:rPr>
              <w:t>3</w:t>
            </w:r>
          </w:p>
        </w:tc>
        <w:tc>
          <w:tcPr>
            <w:tcW w:w="489" w:type="pct"/>
            <w:tcBorders>
              <w:top w:val="single" w:sz="4" w:space="0" w:color="auto"/>
              <w:left w:val="single" w:sz="4" w:space="0" w:color="auto"/>
              <w:bottom w:val="single" w:sz="4" w:space="0" w:color="auto"/>
              <w:right w:val="single" w:sz="4" w:space="0" w:color="auto"/>
            </w:tcBorders>
          </w:tcPr>
          <w:p w14:paraId="51409756" w14:textId="77777777" w:rsidR="00653571" w:rsidRPr="008C5F1C" w:rsidRDefault="00653571" w:rsidP="00534127">
            <w:pPr>
              <w:rPr>
                <w:rFonts w:ascii="Times New Roman" w:hAnsi="Times New Roman" w:cs="Times New Roman"/>
                <w:iCs/>
                <w:sz w:val="16"/>
                <w:szCs w:val="16"/>
              </w:rPr>
            </w:pPr>
            <w:r w:rsidRPr="008C5F1C">
              <w:rPr>
                <w:rFonts w:ascii="Times New Roman" w:hAnsi="Times New Roman" w:cs="Times New Roman"/>
                <w:bCs/>
                <w:iCs/>
                <w:sz w:val="16"/>
                <w:szCs w:val="16"/>
              </w:rPr>
              <w:t>b (i) Promovarea eficien</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 xml:space="preserve">ei energetice </w:t>
            </w:r>
            <w:r w:rsidR="00106240" w:rsidRPr="008C5F1C">
              <w:rPr>
                <w:rFonts w:ascii="Times New Roman" w:hAnsi="Times New Roman" w:cs="Times New Roman"/>
                <w:bCs/>
                <w:iCs/>
                <w:sz w:val="16"/>
                <w:szCs w:val="16"/>
              </w:rPr>
              <w:t>ș</w:t>
            </w:r>
            <w:r w:rsidRPr="008C5F1C">
              <w:rPr>
                <w:rFonts w:ascii="Times New Roman" w:hAnsi="Times New Roman" w:cs="Times New Roman"/>
                <w:bCs/>
                <w:iCs/>
                <w:sz w:val="16"/>
                <w:szCs w:val="16"/>
              </w:rPr>
              <w:t>i reducerea emisiilor de gaze cu efect de ser</w:t>
            </w:r>
            <w:r w:rsidR="00BA7827" w:rsidRPr="008C5F1C">
              <w:rPr>
                <w:rFonts w:ascii="Times New Roman" w:hAnsi="Times New Roman" w:cs="Times New Roman"/>
                <w:bCs/>
                <w:iCs/>
                <w:sz w:val="16"/>
                <w:szCs w:val="16"/>
              </w:rPr>
              <w:t>ă</w:t>
            </w:r>
          </w:p>
        </w:tc>
        <w:tc>
          <w:tcPr>
            <w:tcW w:w="316" w:type="pct"/>
            <w:tcBorders>
              <w:top w:val="single" w:sz="4" w:space="0" w:color="auto"/>
              <w:left w:val="single" w:sz="4" w:space="0" w:color="auto"/>
              <w:bottom w:val="single" w:sz="4" w:space="0" w:color="auto"/>
              <w:right w:val="single" w:sz="4" w:space="0" w:color="auto"/>
            </w:tcBorders>
          </w:tcPr>
          <w:p w14:paraId="35FAAE1C" w14:textId="77777777" w:rsidR="00653571" w:rsidRPr="008C5F1C" w:rsidRDefault="00653571" w:rsidP="00534127">
            <w:pPr>
              <w:rPr>
                <w:rFonts w:ascii="Times New Roman" w:hAnsi="Times New Roman" w:cs="Times New Roman"/>
                <w:iCs/>
                <w:sz w:val="16"/>
                <w:szCs w:val="16"/>
              </w:rPr>
            </w:pPr>
            <w:r w:rsidRPr="008C5F1C">
              <w:rPr>
                <w:rFonts w:ascii="Times New Roman" w:hAnsi="Times New Roman" w:cs="Times New Roman"/>
                <w:noProof/>
                <w:sz w:val="16"/>
                <w:szCs w:val="16"/>
              </w:rPr>
              <w:t>FEDR</w:t>
            </w:r>
          </w:p>
        </w:tc>
        <w:tc>
          <w:tcPr>
            <w:tcW w:w="461" w:type="pct"/>
            <w:tcBorders>
              <w:top w:val="single" w:sz="4" w:space="0" w:color="auto"/>
              <w:left w:val="single" w:sz="4" w:space="0" w:color="auto"/>
              <w:bottom w:val="single" w:sz="4" w:space="0" w:color="auto"/>
              <w:right w:val="single" w:sz="4" w:space="0" w:color="auto"/>
            </w:tcBorders>
          </w:tcPr>
          <w:p w14:paraId="6CF64947" w14:textId="77777777" w:rsidR="00653571" w:rsidRPr="008C5F1C" w:rsidRDefault="00653571" w:rsidP="00534127">
            <w:pPr>
              <w:rPr>
                <w:rFonts w:ascii="Times New Roman" w:hAnsi="Times New Roman" w:cs="Times New Roman"/>
                <w:iCs/>
                <w:sz w:val="16"/>
                <w:szCs w:val="16"/>
              </w:rPr>
            </w:pPr>
            <w:r w:rsidRPr="008C5F1C">
              <w:rPr>
                <w:rFonts w:ascii="Times New Roman" w:hAnsi="Times New Roman" w:cs="Times New Roman"/>
                <w:noProof/>
                <w:sz w:val="16"/>
                <w:szCs w:val="16"/>
              </w:rPr>
              <w:t>Mai pu</w:t>
            </w:r>
            <w:r w:rsidR="00E22FF2" w:rsidRPr="008C5F1C">
              <w:rPr>
                <w:rFonts w:ascii="Times New Roman" w:hAnsi="Times New Roman" w:cs="Times New Roman"/>
                <w:noProof/>
                <w:sz w:val="16"/>
                <w:szCs w:val="16"/>
              </w:rPr>
              <w:t>ț</w:t>
            </w:r>
            <w:r w:rsidRPr="008C5F1C">
              <w:rPr>
                <w:rFonts w:ascii="Times New Roman" w:hAnsi="Times New Roman" w:cs="Times New Roman"/>
                <w:noProof/>
                <w:sz w:val="16"/>
                <w:szCs w:val="16"/>
              </w:rPr>
              <w:t>in dezvoltate</w:t>
            </w:r>
          </w:p>
        </w:tc>
        <w:tc>
          <w:tcPr>
            <w:tcW w:w="443" w:type="pct"/>
            <w:tcBorders>
              <w:top w:val="single" w:sz="4" w:space="0" w:color="auto"/>
              <w:left w:val="single" w:sz="4" w:space="0" w:color="auto"/>
              <w:bottom w:val="single" w:sz="4" w:space="0" w:color="auto"/>
              <w:right w:val="single" w:sz="4" w:space="0" w:color="auto"/>
            </w:tcBorders>
          </w:tcPr>
          <w:p w14:paraId="3F661238" w14:textId="77777777" w:rsidR="00653571" w:rsidRPr="008C5F1C" w:rsidRDefault="00653571" w:rsidP="00534127">
            <w:pPr>
              <w:rPr>
                <w:rFonts w:ascii="Times New Roman" w:hAnsi="Times New Roman" w:cs="Times New Roman"/>
                <w:iCs/>
                <w:sz w:val="16"/>
                <w:szCs w:val="16"/>
              </w:rPr>
            </w:pPr>
            <w:r w:rsidRPr="008C5F1C">
              <w:rPr>
                <w:rFonts w:ascii="Times New Roman" w:hAnsi="Times New Roman" w:cs="Times New Roman"/>
                <w:iCs/>
                <w:sz w:val="16"/>
                <w:szCs w:val="16"/>
              </w:rPr>
              <w:t xml:space="preserve">RCR 26 </w:t>
            </w:r>
          </w:p>
          <w:p w14:paraId="49D5B7B3" w14:textId="77777777" w:rsidR="00653571" w:rsidRPr="008C5F1C" w:rsidRDefault="00653571" w:rsidP="00534127">
            <w:pPr>
              <w:rPr>
                <w:rFonts w:ascii="Times New Roman" w:hAnsi="Times New Roman" w:cs="Times New Roman"/>
                <w:iCs/>
                <w:sz w:val="16"/>
                <w:szCs w:val="16"/>
              </w:rPr>
            </w:pPr>
          </w:p>
        </w:tc>
        <w:tc>
          <w:tcPr>
            <w:tcW w:w="598" w:type="pct"/>
            <w:tcBorders>
              <w:top w:val="single" w:sz="4" w:space="0" w:color="auto"/>
              <w:left w:val="single" w:sz="4" w:space="0" w:color="auto"/>
              <w:bottom w:val="single" w:sz="4" w:space="0" w:color="auto"/>
              <w:right w:val="single" w:sz="4" w:space="0" w:color="auto"/>
            </w:tcBorders>
          </w:tcPr>
          <w:p w14:paraId="26F52133" w14:textId="77777777" w:rsidR="00653571" w:rsidRPr="008C5F1C" w:rsidRDefault="00EA22BA" w:rsidP="00534127">
            <w:pPr>
              <w:rPr>
                <w:rFonts w:ascii="Times New Roman" w:hAnsi="Times New Roman" w:cs="Times New Roman"/>
                <w:iCs/>
                <w:sz w:val="16"/>
                <w:szCs w:val="16"/>
              </w:rPr>
            </w:pPr>
            <w:r w:rsidRPr="008C5F1C">
              <w:rPr>
                <w:rFonts w:ascii="Times New Roman" w:hAnsi="Times New Roman" w:cs="Times New Roman"/>
                <w:iCs/>
                <w:sz w:val="16"/>
                <w:szCs w:val="16"/>
              </w:rPr>
              <w:t xml:space="preserve">RCR 26 - </w:t>
            </w:r>
            <w:proofErr w:type="spellStart"/>
            <w:r w:rsidRPr="008C5F1C">
              <w:rPr>
                <w:rFonts w:ascii="Times New Roman" w:hAnsi="Times New Roman" w:cs="Times New Roman"/>
                <w:iCs/>
                <w:sz w:val="16"/>
                <w:szCs w:val="16"/>
              </w:rPr>
              <w:t>Annual</w:t>
            </w:r>
            <w:proofErr w:type="spellEnd"/>
            <w:r w:rsidRPr="008C5F1C">
              <w:rPr>
                <w:rFonts w:ascii="Times New Roman" w:hAnsi="Times New Roman" w:cs="Times New Roman"/>
                <w:iCs/>
                <w:sz w:val="16"/>
                <w:szCs w:val="16"/>
              </w:rPr>
              <w:t xml:space="preserve"> </w:t>
            </w:r>
            <w:proofErr w:type="spellStart"/>
            <w:r w:rsidRPr="008C5F1C">
              <w:rPr>
                <w:rFonts w:ascii="Times New Roman" w:hAnsi="Times New Roman" w:cs="Times New Roman"/>
                <w:iCs/>
                <w:sz w:val="16"/>
                <w:szCs w:val="16"/>
              </w:rPr>
              <w:t>primary</w:t>
            </w:r>
            <w:proofErr w:type="spellEnd"/>
            <w:r w:rsidRPr="008C5F1C">
              <w:rPr>
                <w:rFonts w:ascii="Times New Roman" w:hAnsi="Times New Roman" w:cs="Times New Roman"/>
                <w:iCs/>
                <w:sz w:val="16"/>
                <w:szCs w:val="16"/>
              </w:rPr>
              <w:t xml:space="preserve"> </w:t>
            </w:r>
            <w:proofErr w:type="spellStart"/>
            <w:r w:rsidRPr="008C5F1C">
              <w:rPr>
                <w:rFonts w:ascii="Times New Roman" w:hAnsi="Times New Roman" w:cs="Times New Roman"/>
                <w:iCs/>
                <w:sz w:val="16"/>
                <w:szCs w:val="16"/>
              </w:rPr>
              <w:t>energy</w:t>
            </w:r>
            <w:proofErr w:type="spellEnd"/>
            <w:r w:rsidRPr="008C5F1C">
              <w:rPr>
                <w:rFonts w:ascii="Times New Roman" w:hAnsi="Times New Roman" w:cs="Times New Roman"/>
                <w:iCs/>
                <w:sz w:val="16"/>
                <w:szCs w:val="16"/>
              </w:rPr>
              <w:t xml:space="preserve"> </w:t>
            </w:r>
            <w:proofErr w:type="spellStart"/>
            <w:r w:rsidRPr="008C5F1C">
              <w:rPr>
                <w:rFonts w:ascii="Times New Roman" w:hAnsi="Times New Roman" w:cs="Times New Roman"/>
                <w:iCs/>
                <w:sz w:val="16"/>
                <w:szCs w:val="16"/>
              </w:rPr>
              <w:t>consumption</w:t>
            </w:r>
            <w:proofErr w:type="spellEnd"/>
            <w:r w:rsidRPr="008C5F1C">
              <w:rPr>
                <w:rFonts w:ascii="Times New Roman" w:hAnsi="Times New Roman" w:cs="Times New Roman"/>
                <w:iCs/>
                <w:sz w:val="16"/>
                <w:szCs w:val="16"/>
              </w:rPr>
              <w:t xml:space="preserve"> (of </w:t>
            </w:r>
            <w:proofErr w:type="spellStart"/>
            <w:r w:rsidRPr="008C5F1C">
              <w:rPr>
                <w:rFonts w:ascii="Times New Roman" w:hAnsi="Times New Roman" w:cs="Times New Roman"/>
                <w:iCs/>
                <w:sz w:val="16"/>
                <w:szCs w:val="16"/>
              </w:rPr>
              <w:t>which</w:t>
            </w:r>
            <w:proofErr w:type="spellEnd"/>
            <w:r w:rsidRPr="008C5F1C">
              <w:rPr>
                <w:rFonts w:ascii="Times New Roman" w:hAnsi="Times New Roman" w:cs="Times New Roman"/>
                <w:iCs/>
                <w:sz w:val="16"/>
                <w:szCs w:val="16"/>
              </w:rPr>
              <w:t xml:space="preserve">: </w:t>
            </w:r>
            <w:proofErr w:type="spellStart"/>
            <w:r w:rsidRPr="008C5F1C">
              <w:rPr>
                <w:rFonts w:ascii="Times New Roman" w:hAnsi="Times New Roman" w:cs="Times New Roman"/>
                <w:iCs/>
                <w:sz w:val="16"/>
                <w:szCs w:val="16"/>
              </w:rPr>
              <w:t>dwellings</w:t>
            </w:r>
            <w:proofErr w:type="spellEnd"/>
            <w:r w:rsidRPr="008C5F1C">
              <w:rPr>
                <w:rFonts w:ascii="Times New Roman" w:hAnsi="Times New Roman" w:cs="Times New Roman"/>
                <w:iCs/>
                <w:sz w:val="16"/>
                <w:szCs w:val="16"/>
              </w:rPr>
              <w:t xml:space="preserve">, public </w:t>
            </w:r>
            <w:proofErr w:type="spellStart"/>
            <w:r w:rsidRPr="008C5F1C">
              <w:rPr>
                <w:rFonts w:ascii="Times New Roman" w:hAnsi="Times New Roman" w:cs="Times New Roman"/>
                <w:iCs/>
                <w:sz w:val="16"/>
                <w:szCs w:val="16"/>
              </w:rPr>
              <w:t>buildings</w:t>
            </w:r>
            <w:proofErr w:type="spellEnd"/>
            <w:r w:rsidRPr="008C5F1C">
              <w:rPr>
                <w:rFonts w:ascii="Times New Roman" w:hAnsi="Times New Roman" w:cs="Times New Roman"/>
                <w:iCs/>
                <w:sz w:val="16"/>
                <w:szCs w:val="16"/>
              </w:rPr>
              <w:t xml:space="preserve">, </w:t>
            </w:r>
            <w:proofErr w:type="spellStart"/>
            <w:r w:rsidRPr="008C5F1C">
              <w:rPr>
                <w:rFonts w:ascii="Times New Roman" w:hAnsi="Times New Roman" w:cs="Times New Roman"/>
                <w:iCs/>
                <w:sz w:val="16"/>
                <w:szCs w:val="16"/>
              </w:rPr>
              <w:t>enterprises</w:t>
            </w:r>
            <w:proofErr w:type="spellEnd"/>
            <w:r w:rsidRPr="008C5F1C">
              <w:rPr>
                <w:rFonts w:ascii="Times New Roman" w:hAnsi="Times New Roman" w:cs="Times New Roman"/>
                <w:iCs/>
                <w:sz w:val="16"/>
                <w:szCs w:val="16"/>
              </w:rPr>
              <w:t xml:space="preserve">, </w:t>
            </w:r>
            <w:proofErr w:type="spellStart"/>
            <w:r w:rsidRPr="008C5F1C">
              <w:rPr>
                <w:rFonts w:ascii="Times New Roman" w:hAnsi="Times New Roman" w:cs="Times New Roman"/>
                <w:iCs/>
                <w:sz w:val="16"/>
                <w:szCs w:val="16"/>
              </w:rPr>
              <w:t>other</w:t>
            </w:r>
            <w:proofErr w:type="spellEnd"/>
            <w:r w:rsidRPr="008C5F1C">
              <w:rPr>
                <w:rFonts w:ascii="Times New Roman" w:hAnsi="Times New Roman" w:cs="Times New Roman"/>
                <w:iCs/>
                <w:sz w:val="16"/>
                <w:szCs w:val="16"/>
              </w:rPr>
              <w:t>)</w:t>
            </w:r>
          </w:p>
        </w:tc>
        <w:tc>
          <w:tcPr>
            <w:tcW w:w="353" w:type="pct"/>
            <w:tcBorders>
              <w:top w:val="single" w:sz="4" w:space="0" w:color="auto"/>
              <w:left w:val="single" w:sz="4" w:space="0" w:color="auto"/>
              <w:bottom w:val="single" w:sz="4" w:space="0" w:color="auto"/>
              <w:right w:val="single" w:sz="4" w:space="0" w:color="auto"/>
            </w:tcBorders>
          </w:tcPr>
          <w:p w14:paraId="25076CD5" w14:textId="77777777" w:rsidR="00653571" w:rsidRPr="008C5F1C" w:rsidRDefault="008206EB" w:rsidP="00534127">
            <w:pPr>
              <w:rPr>
                <w:rFonts w:ascii="Times New Roman" w:hAnsi="Times New Roman" w:cs="Times New Roman"/>
                <w:iCs/>
                <w:sz w:val="16"/>
                <w:szCs w:val="16"/>
              </w:rPr>
            </w:pPr>
            <w:r w:rsidRPr="008C5F1C">
              <w:rPr>
                <w:rFonts w:ascii="Times New Roman" w:hAnsi="Times New Roman" w:cs="Times New Roman"/>
                <w:iCs/>
                <w:sz w:val="16"/>
                <w:szCs w:val="16"/>
              </w:rPr>
              <w:t>MWh / an</w:t>
            </w:r>
          </w:p>
        </w:tc>
        <w:tc>
          <w:tcPr>
            <w:tcW w:w="410" w:type="pct"/>
            <w:tcBorders>
              <w:top w:val="single" w:sz="4" w:space="0" w:color="auto"/>
              <w:left w:val="single" w:sz="4" w:space="0" w:color="auto"/>
              <w:bottom w:val="single" w:sz="4" w:space="0" w:color="auto"/>
              <w:right w:val="single" w:sz="4" w:space="0" w:color="auto"/>
            </w:tcBorders>
          </w:tcPr>
          <w:p w14:paraId="28E6EFE9" w14:textId="4A87F476" w:rsidR="00653571" w:rsidRPr="008C5F1C" w:rsidRDefault="003B6DD5" w:rsidP="00761529">
            <w:pPr>
              <w:rPr>
                <w:rFonts w:ascii="Times New Roman" w:hAnsi="Times New Roman" w:cs="Times New Roman"/>
                <w:iCs/>
                <w:sz w:val="16"/>
                <w:szCs w:val="16"/>
              </w:rPr>
            </w:pPr>
            <w:r w:rsidRPr="0073203A">
              <w:rPr>
                <w:rFonts w:ascii="Times New Roman" w:hAnsi="Times New Roman" w:cs="Times New Roman"/>
                <w:iCs/>
                <w:sz w:val="16"/>
                <w:szCs w:val="16"/>
              </w:rPr>
              <w:t xml:space="preserve">336.069 </w:t>
            </w:r>
            <w:r w:rsidR="00761529" w:rsidRPr="008C5F1C">
              <w:rPr>
                <w:rFonts w:ascii="Times New Roman" w:hAnsi="Times New Roman" w:cs="Times New Roman"/>
                <w:iCs/>
                <w:sz w:val="16"/>
                <w:szCs w:val="16"/>
              </w:rPr>
              <w:t>MWh</w:t>
            </w:r>
          </w:p>
        </w:tc>
        <w:tc>
          <w:tcPr>
            <w:tcW w:w="295" w:type="pct"/>
            <w:tcBorders>
              <w:top w:val="single" w:sz="4" w:space="0" w:color="auto"/>
              <w:left w:val="single" w:sz="4" w:space="0" w:color="auto"/>
              <w:bottom w:val="single" w:sz="4" w:space="0" w:color="auto"/>
              <w:right w:val="single" w:sz="4" w:space="0" w:color="auto"/>
            </w:tcBorders>
          </w:tcPr>
          <w:p w14:paraId="3E8E90E4" w14:textId="31BED902" w:rsidR="00653571" w:rsidRPr="008C5F1C" w:rsidRDefault="00761529" w:rsidP="00534127">
            <w:pPr>
              <w:rPr>
                <w:rFonts w:ascii="Times New Roman" w:hAnsi="Times New Roman" w:cs="Times New Roman"/>
                <w:iCs/>
                <w:sz w:val="16"/>
                <w:szCs w:val="16"/>
              </w:rPr>
            </w:pPr>
            <w:r w:rsidRPr="008C5F1C">
              <w:rPr>
                <w:rFonts w:ascii="Times New Roman" w:hAnsi="Times New Roman" w:cs="Times New Roman"/>
                <w:iCs/>
                <w:sz w:val="16"/>
                <w:szCs w:val="16"/>
              </w:rPr>
              <w:t>2019</w:t>
            </w:r>
          </w:p>
        </w:tc>
        <w:tc>
          <w:tcPr>
            <w:tcW w:w="400" w:type="pct"/>
            <w:tcBorders>
              <w:top w:val="single" w:sz="4" w:space="0" w:color="auto"/>
              <w:left w:val="single" w:sz="4" w:space="0" w:color="auto"/>
              <w:bottom w:val="single" w:sz="4" w:space="0" w:color="auto"/>
              <w:right w:val="single" w:sz="4" w:space="0" w:color="auto"/>
            </w:tcBorders>
          </w:tcPr>
          <w:p w14:paraId="7E594D19" w14:textId="6F1A3393" w:rsidR="00653571" w:rsidRPr="008C5F1C" w:rsidRDefault="003B6DD5" w:rsidP="00534127">
            <w:pPr>
              <w:rPr>
                <w:rFonts w:ascii="Times New Roman" w:hAnsi="Times New Roman" w:cs="Times New Roman"/>
                <w:iCs/>
                <w:sz w:val="16"/>
                <w:szCs w:val="16"/>
              </w:rPr>
            </w:pPr>
            <w:r w:rsidRPr="0073203A">
              <w:rPr>
                <w:rFonts w:ascii="Times New Roman" w:hAnsi="Times New Roman" w:cs="Times New Roman"/>
                <w:iCs/>
                <w:sz w:val="16"/>
                <w:szCs w:val="16"/>
              </w:rPr>
              <w:t xml:space="preserve">165.166 </w:t>
            </w:r>
            <w:r w:rsidR="00761529" w:rsidRPr="008C5F1C">
              <w:rPr>
                <w:rFonts w:ascii="Times New Roman" w:hAnsi="Times New Roman" w:cs="Times New Roman"/>
                <w:iCs/>
                <w:sz w:val="16"/>
                <w:szCs w:val="16"/>
              </w:rPr>
              <w:t>MWh</w:t>
            </w:r>
          </w:p>
        </w:tc>
        <w:tc>
          <w:tcPr>
            <w:tcW w:w="323" w:type="pct"/>
            <w:tcBorders>
              <w:top w:val="single" w:sz="4" w:space="0" w:color="auto"/>
              <w:left w:val="single" w:sz="4" w:space="0" w:color="auto"/>
              <w:bottom w:val="single" w:sz="4" w:space="0" w:color="auto"/>
              <w:right w:val="single" w:sz="4" w:space="0" w:color="auto"/>
            </w:tcBorders>
          </w:tcPr>
          <w:p w14:paraId="78212CF8" w14:textId="77777777" w:rsidR="00653571" w:rsidRPr="008C5F1C" w:rsidRDefault="00FA5677" w:rsidP="00534127">
            <w:pPr>
              <w:rPr>
                <w:rFonts w:ascii="Times New Roman" w:hAnsi="Times New Roman" w:cs="Times New Roman"/>
                <w:iCs/>
                <w:sz w:val="16"/>
                <w:szCs w:val="16"/>
              </w:rPr>
            </w:pPr>
            <w:r w:rsidRPr="008C5F1C">
              <w:rPr>
                <w:rFonts w:ascii="Times New Roman" w:hAnsi="Times New Roman" w:cs="Times New Roman"/>
                <w:iCs/>
                <w:sz w:val="16"/>
                <w:szCs w:val="16"/>
              </w:rPr>
              <w:t xml:space="preserve">RAI </w:t>
            </w:r>
          </w:p>
          <w:p w14:paraId="4EBA5A86" w14:textId="3EC59BE6" w:rsidR="00FA5677" w:rsidRPr="008C5F1C" w:rsidRDefault="00FA5677" w:rsidP="00534127">
            <w:pPr>
              <w:rPr>
                <w:rFonts w:ascii="Times New Roman" w:hAnsi="Times New Roman" w:cs="Times New Roman"/>
                <w:iCs/>
                <w:sz w:val="16"/>
                <w:szCs w:val="16"/>
              </w:rPr>
            </w:pPr>
            <w:proofErr w:type="spellStart"/>
            <w:r w:rsidRPr="008C5F1C">
              <w:rPr>
                <w:rFonts w:ascii="Times New Roman" w:hAnsi="Times New Roman" w:cs="Times New Roman"/>
                <w:iCs/>
                <w:sz w:val="16"/>
                <w:szCs w:val="16"/>
              </w:rPr>
              <w:t>My</w:t>
            </w:r>
            <w:proofErr w:type="spellEnd"/>
            <w:r w:rsidR="00B11C00" w:rsidRPr="008C5F1C">
              <w:rPr>
                <w:rFonts w:ascii="Times New Roman" w:hAnsi="Times New Roman" w:cs="Times New Roman"/>
                <w:iCs/>
                <w:sz w:val="16"/>
                <w:szCs w:val="16"/>
              </w:rPr>
              <w:t xml:space="preserve"> </w:t>
            </w:r>
            <w:r w:rsidRPr="008C5F1C">
              <w:rPr>
                <w:rFonts w:ascii="Times New Roman" w:hAnsi="Times New Roman" w:cs="Times New Roman"/>
                <w:iCs/>
                <w:sz w:val="16"/>
                <w:szCs w:val="16"/>
              </w:rPr>
              <w:t>SMIS</w:t>
            </w:r>
          </w:p>
          <w:p w14:paraId="42EFA2DB" w14:textId="21CC3978" w:rsidR="00B11C00" w:rsidRPr="008C5F1C" w:rsidRDefault="00B11C00" w:rsidP="00534127">
            <w:pPr>
              <w:rPr>
                <w:rFonts w:ascii="Times New Roman" w:hAnsi="Times New Roman" w:cs="Times New Roman"/>
                <w:iCs/>
                <w:sz w:val="16"/>
                <w:szCs w:val="16"/>
              </w:rPr>
            </w:pPr>
            <w:r w:rsidRPr="008C5F1C">
              <w:rPr>
                <w:rFonts w:ascii="Times New Roman" w:hAnsi="Times New Roman" w:cs="Times New Roman"/>
                <w:iCs/>
                <w:sz w:val="16"/>
                <w:szCs w:val="16"/>
              </w:rPr>
              <w:t>Proiecte</w:t>
            </w:r>
          </w:p>
        </w:tc>
        <w:tc>
          <w:tcPr>
            <w:tcW w:w="370" w:type="pct"/>
            <w:tcBorders>
              <w:top w:val="single" w:sz="4" w:space="0" w:color="auto"/>
              <w:left w:val="single" w:sz="4" w:space="0" w:color="auto"/>
              <w:bottom w:val="single" w:sz="4" w:space="0" w:color="auto"/>
              <w:right w:val="single" w:sz="4" w:space="0" w:color="auto"/>
            </w:tcBorders>
          </w:tcPr>
          <w:p w14:paraId="7E477F40" w14:textId="78878649" w:rsidR="00653571" w:rsidRPr="008C5F1C" w:rsidRDefault="00653571" w:rsidP="00B11C00">
            <w:pPr>
              <w:spacing w:after="120"/>
              <w:rPr>
                <w:rFonts w:ascii="Times New Roman" w:hAnsi="Times New Roman" w:cs="Times New Roman"/>
                <w:iCs/>
                <w:sz w:val="16"/>
                <w:szCs w:val="16"/>
              </w:rPr>
            </w:pPr>
          </w:p>
        </w:tc>
      </w:tr>
      <w:tr w:rsidR="00F72A1C" w:rsidRPr="008C5F1C" w14:paraId="0EE1BF3D" w14:textId="77777777" w:rsidTr="00F72A1C">
        <w:trPr>
          <w:gridAfter w:val="1"/>
          <w:wAfter w:w="71" w:type="pct"/>
          <w:trHeight w:val="434"/>
        </w:trPr>
        <w:tc>
          <w:tcPr>
            <w:tcW w:w="471" w:type="pct"/>
            <w:tcBorders>
              <w:top w:val="single" w:sz="4" w:space="0" w:color="auto"/>
              <w:left w:val="single" w:sz="4" w:space="0" w:color="auto"/>
              <w:bottom w:val="single" w:sz="4" w:space="0" w:color="auto"/>
              <w:right w:val="single" w:sz="4" w:space="0" w:color="auto"/>
            </w:tcBorders>
          </w:tcPr>
          <w:p w14:paraId="7C04ACEC" w14:textId="77777777" w:rsidR="0055580C" w:rsidRPr="008C5F1C" w:rsidRDefault="00904C61" w:rsidP="0055580C">
            <w:pPr>
              <w:rPr>
                <w:rFonts w:ascii="Times New Roman" w:hAnsi="Times New Roman" w:cs="Times New Roman"/>
                <w:iCs/>
                <w:sz w:val="16"/>
                <w:szCs w:val="16"/>
              </w:rPr>
            </w:pPr>
            <w:r w:rsidRPr="008C5F1C">
              <w:rPr>
                <w:rFonts w:ascii="Times New Roman" w:hAnsi="Times New Roman" w:cs="Times New Roman"/>
                <w:iCs/>
                <w:sz w:val="16"/>
                <w:szCs w:val="16"/>
              </w:rPr>
              <w:t>3</w:t>
            </w:r>
          </w:p>
        </w:tc>
        <w:tc>
          <w:tcPr>
            <w:tcW w:w="489" w:type="pct"/>
            <w:tcBorders>
              <w:top w:val="single" w:sz="4" w:space="0" w:color="auto"/>
              <w:left w:val="single" w:sz="4" w:space="0" w:color="auto"/>
              <w:bottom w:val="single" w:sz="4" w:space="0" w:color="auto"/>
              <w:right w:val="single" w:sz="4" w:space="0" w:color="auto"/>
            </w:tcBorders>
          </w:tcPr>
          <w:p w14:paraId="5A6AD5F7" w14:textId="77777777" w:rsidR="0055580C" w:rsidRPr="008C5F1C" w:rsidRDefault="0055580C" w:rsidP="0055580C">
            <w:pPr>
              <w:rPr>
                <w:rFonts w:ascii="Times New Roman" w:hAnsi="Times New Roman" w:cs="Times New Roman"/>
                <w:bCs/>
                <w:iCs/>
                <w:sz w:val="16"/>
                <w:szCs w:val="16"/>
              </w:rPr>
            </w:pPr>
            <w:r w:rsidRPr="008C5F1C">
              <w:rPr>
                <w:rFonts w:ascii="Times New Roman" w:hAnsi="Times New Roman" w:cs="Times New Roman"/>
                <w:bCs/>
                <w:iCs/>
                <w:sz w:val="16"/>
                <w:szCs w:val="16"/>
              </w:rPr>
              <w:t>b (i) Promovarea eficien</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 xml:space="preserve">ei energetice </w:t>
            </w:r>
            <w:r w:rsidR="00106240" w:rsidRPr="008C5F1C">
              <w:rPr>
                <w:rFonts w:ascii="Times New Roman" w:hAnsi="Times New Roman" w:cs="Times New Roman"/>
                <w:bCs/>
                <w:iCs/>
                <w:sz w:val="16"/>
                <w:szCs w:val="16"/>
              </w:rPr>
              <w:t>ș</w:t>
            </w:r>
            <w:r w:rsidRPr="008C5F1C">
              <w:rPr>
                <w:rFonts w:ascii="Times New Roman" w:hAnsi="Times New Roman" w:cs="Times New Roman"/>
                <w:bCs/>
                <w:iCs/>
                <w:sz w:val="16"/>
                <w:szCs w:val="16"/>
              </w:rPr>
              <w:t>i reducerea emisiilor de gaze cu efect de seră</w:t>
            </w:r>
          </w:p>
        </w:tc>
        <w:tc>
          <w:tcPr>
            <w:tcW w:w="316" w:type="pct"/>
            <w:tcBorders>
              <w:top w:val="single" w:sz="4" w:space="0" w:color="auto"/>
              <w:left w:val="single" w:sz="4" w:space="0" w:color="auto"/>
              <w:bottom w:val="single" w:sz="4" w:space="0" w:color="auto"/>
              <w:right w:val="single" w:sz="4" w:space="0" w:color="auto"/>
            </w:tcBorders>
          </w:tcPr>
          <w:p w14:paraId="4F9F44DD" w14:textId="77777777" w:rsidR="0055580C" w:rsidRPr="008C5F1C" w:rsidRDefault="0055580C" w:rsidP="0055580C">
            <w:pPr>
              <w:rPr>
                <w:rFonts w:ascii="Times New Roman" w:hAnsi="Times New Roman" w:cs="Times New Roman"/>
                <w:noProof/>
                <w:sz w:val="16"/>
                <w:szCs w:val="16"/>
              </w:rPr>
            </w:pPr>
            <w:r w:rsidRPr="008C5F1C">
              <w:rPr>
                <w:rFonts w:ascii="Times New Roman" w:hAnsi="Times New Roman" w:cs="Times New Roman"/>
                <w:noProof/>
                <w:sz w:val="16"/>
                <w:szCs w:val="16"/>
              </w:rPr>
              <w:t>FEDR</w:t>
            </w:r>
          </w:p>
        </w:tc>
        <w:tc>
          <w:tcPr>
            <w:tcW w:w="461" w:type="pct"/>
            <w:tcBorders>
              <w:top w:val="single" w:sz="4" w:space="0" w:color="auto"/>
              <w:left w:val="single" w:sz="4" w:space="0" w:color="auto"/>
              <w:bottom w:val="single" w:sz="4" w:space="0" w:color="auto"/>
              <w:right w:val="single" w:sz="4" w:space="0" w:color="auto"/>
            </w:tcBorders>
          </w:tcPr>
          <w:p w14:paraId="2C21ADD9" w14:textId="77777777" w:rsidR="0055580C" w:rsidRPr="008C5F1C" w:rsidRDefault="0055580C" w:rsidP="0055580C">
            <w:pPr>
              <w:rPr>
                <w:rFonts w:ascii="Times New Roman" w:hAnsi="Times New Roman" w:cs="Times New Roman"/>
                <w:noProof/>
                <w:sz w:val="16"/>
                <w:szCs w:val="16"/>
              </w:rPr>
            </w:pPr>
            <w:r w:rsidRPr="008C5F1C">
              <w:rPr>
                <w:rFonts w:ascii="Times New Roman" w:hAnsi="Times New Roman" w:cs="Times New Roman"/>
                <w:noProof/>
                <w:sz w:val="16"/>
                <w:szCs w:val="16"/>
              </w:rPr>
              <w:t>Mai pu</w:t>
            </w:r>
            <w:r w:rsidR="00E22FF2" w:rsidRPr="008C5F1C">
              <w:rPr>
                <w:rFonts w:ascii="Times New Roman" w:hAnsi="Times New Roman" w:cs="Times New Roman"/>
                <w:noProof/>
                <w:sz w:val="16"/>
                <w:szCs w:val="16"/>
              </w:rPr>
              <w:t>ț</w:t>
            </w:r>
            <w:r w:rsidRPr="008C5F1C">
              <w:rPr>
                <w:rFonts w:ascii="Times New Roman" w:hAnsi="Times New Roman" w:cs="Times New Roman"/>
                <w:noProof/>
                <w:sz w:val="16"/>
                <w:szCs w:val="16"/>
              </w:rPr>
              <w:t>in dezvoltate</w:t>
            </w:r>
          </w:p>
        </w:tc>
        <w:tc>
          <w:tcPr>
            <w:tcW w:w="443" w:type="pct"/>
            <w:tcBorders>
              <w:top w:val="single" w:sz="4" w:space="0" w:color="auto"/>
              <w:left w:val="single" w:sz="4" w:space="0" w:color="auto"/>
              <w:bottom w:val="single" w:sz="4" w:space="0" w:color="auto"/>
              <w:right w:val="single" w:sz="4" w:space="0" w:color="auto"/>
            </w:tcBorders>
          </w:tcPr>
          <w:p w14:paraId="23173653" w14:textId="77777777" w:rsidR="0055580C" w:rsidRPr="008C5F1C" w:rsidRDefault="0055580C" w:rsidP="0055580C">
            <w:pPr>
              <w:rPr>
                <w:rFonts w:ascii="Times New Roman" w:hAnsi="Times New Roman" w:cs="Times New Roman"/>
                <w:iCs/>
                <w:sz w:val="16"/>
                <w:szCs w:val="16"/>
              </w:rPr>
            </w:pPr>
            <w:r w:rsidRPr="008C5F1C">
              <w:rPr>
                <w:rFonts w:ascii="Times New Roman" w:hAnsi="Times New Roman" w:cs="Times New Roman"/>
                <w:iCs/>
                <w:sz w:val="16"/>
                <w:szCs w:val="16"/>
              </w:rPr>
              <w:t xml:space="preserve">RCR 29 </w:t>
            </w:r>
          </w:p>
        </w:tc>
        <w:tc>
          <w:tcPr>
            <w:tcW w:w="598" w:type="pct"/>
            <w:tcBorders>
              <w:top w:val="single" w:sz="4" w:space="0" w:color="auto"/>
              <w:left w:val="single" w:sz="4" w:space="0" w:color="auto"/>
              <w:bottom w:val="single" w:sz="4" w:space="0" w:color="auto"/>
              <w:right w:val="single" w:sz="4" w:space="0" w:color="auto"/>
            </w:tcBorders>
          </w:tcPr>
          <w:p w14:paraId="4C8BD57C" w14:textId="77777777" w:rsidR="0055580C" w:rsidRPr="008C5F1C" w:rsidRDefault="0055580C" w:rsidP="0055580C">
            <w:pPr>
              <w:rPr>
                <w:rFonts w:ascii="Times New Roman" w:hAnsi="Times New Roman" w:cs="Times New Roman"/>
                <w:iCs/>
                <w:sz w:val="16"/>
                <w:szCs w:val="16"/>
              </w:rPr>
            </w:pPr>
            <w:r w:rsidRPr="008C5F1C">
              <w:rPr>
                <w:rFonts w:ascii="Times New Roman" w:hAnsi="Times New Roman" w:cs="Times New Roman"/>
                <w:iCs/>
                <w:sz w:val="16"/>
                <w:szCs w:val="16"/>
              </w:rPr>
              <w:t>RCR 29 – Estimarea emisiilor de gaze cu efect de seră</w:t>
            </w:r>
          </w:p>
        </w:tc>
        <w:tc>
          <w:tcPr>
            <w:tcW w:w="353" w:type="pct"/>
            <w:tcBorders>
              <w:top w:val="single" w:sz="4" w:space="0" w:color="auto"/>
              <w:left w:val="single" w:sz="4" w:space="0" w:color="auto"/>
              <w:bottom w:val="single" w:sz="4" w:space="0" w:color="auto"/>
              <w:right w:val="single" w:sz="4" w:space="0" w:color="auto"/>
            </w:tcBorders>
          </w:tcPr>
          <w:p w14:paraId="2B89CCE4" w14:textId="77777777" w:rsidR="0055580C" w:rsidRPr="008C5F1C" w:rsidRDefault="001801DB" w:rsidP="0055580C">
            <w:pPr>
              <w:rPr>
                <w:rFonts w:ascii="Times New Roman" w:hAnsi="Times New Roman" w:cs="Times New Roman"/>
                <w:iCs/>
                <w:sz w:val="16"/>
                <w:szCs w:val="16"/>
              </w:rPr>
            </w:pPr>
            <w:proofErr w:type="spellStart"/>
            <w:r w:rsidRPr="008C5F1C">
              <w:rPr>
                <w:rFonts w:ascii="Times New Roman" w:hAnsi="Times New Roman" w:cs="Times New Roman"/>
                <w:iCs/>
                <w:sz w:val="16"/>
                <w:szCs w:val="16"/>
              </w:rPr>
              <w:t>tons</w:t>
            </w:r>
            <w:proofErr w:type="spellEnd"/>
            <w:r w:rsidRPr="008C5F1C">
              <w:rPr>
                <w:rFonts w:ascii="Times New Roman" w:hAnsi="Times New Roman" w:cs="Times New Roman"/>
                <w:iCs/>
                <w:sz w:val="16"/>
                <w:szCs w:val="16"/>
              </w:rPr>
              <w:t xml:space="preserve"> of CO2eq/</w:t>
            </w:r>
            <w:proofErr w:type="spellStart"/>
            <w:r w:rsidRPr="008C5F1C">
              <w:rPr>
                <w:rFonts w:ascii="Times New Roman" w:hAnsi="Times New Roman" w:cs="Times New Roman"/>
                <w:iCs/>
                <w:sz w:val="16"/>
                <w:szCs w:val="16"/>
              </w:rPr>
              <w:t>year</w:t>
            </w:r>
            <w:proofErr w:type="spellEnd"/>
          </w:p>
        </w:tc>
        <w:tc>
          <w:tcPr>
            <w:tcW w:w="410" w:type="pct"/>
            <w:tcBorders>
              <w:top w:val="single" w:sz="4" w:space="0" w:color="auto"/>
              <w:left w:val="single" w:sz="4" w:space="0" w:color="auto"/>
              <w:bottom w:val="single" w:sz="4" w:space="0" w:color="auto"/>
              <w:right w:val="single" w:sz="4" w:space="0" w:color="auto"/>
            </w:tcBorders>
          </w:tcPr>
          <w:p w14:paraId="60860E4F" w14:textId="125198A2" w:rsidR="0055580C" w:rsidRPr="008C5F1C" w:rsidRDefault="003B6DD5" w:rsidP="00761529">
            <w:pPr>
              <w:rPr>
                <w:rFonts w:ascii="Times New Roman" w:hAnsi="Times New Roman" w:cs="Times New Roman"/>
                <w:iCs/>
                <w:sz w:val="16"/>
                <w:szCs w:val="16"/>
              </w:rPr>
            </w:pPr>
            <w:r w:rsidRPr="0073203A">
              <w:rPr>
                <w:rFonts w:ascii="Times New Roman" w:hAnsi="Times New Roman" w:cs="Times New Roman"/>
                <w:iCs/>
                <w:sz w:val="16"/>
                <w:szCs w:val="16"/>
              </w:rPr>
              <w:t xml:space="preserve">66.084 </w:t>
            </w:r>
            <w:r w:rsidR="00761529" w:rsidRPr="008C5F1C">
              <w:rPr>
                <w:rFonts w:ascii="Times New Roman" w:hAnsi="Times New Roman" w:cs="Times New Roman"/>
                <w:iCs/>
                <w:sz w:val="16"/>
                <w:szCs w:val="16"/>
              </w:rPr>
              <w:t>tone CO2 echivalent / an</w:t>
            </w:r>
          </w:p>
        </w:tc>
        <w:tc>
          <w:tcPr>
            <w:tcW w:w="295" w:type="pct"/>
            <w:tcBorders>
              <w:top w:val="single" w:sz="4" w:space="0" w:color="auto"/>
              <w:left w:val="single" w:sz="4" w:space="0" w:color="auto"/>
              <w:bottom w:val="single" w:sz="4" w:space="0" w:color="auto"/>
              <w:right w:val="single" w:sz="4" w:space="0" w:color="auto"/>
            </w:tcBorders>
          </w:tcPr>
          <w:p w14:paraId="11DFD17B" w14:textId="7369FBA5" w:rsidR="0055580C" w:rsidRPr="008C5F1C" w:rsidRDefault="00761529" w:rsidP="0055580C">
            <w:pPr>
              <w:rPr>
                <w:rFonts w:ascii="Times New Roman" w:hAnsi="Times New Roman" w:cs="Times New Roman"/>
                <w:iCs/>
                <w:sz w:val="16"/>
                <w:szCs w:val="16"/>
              </w:rPr>
            </w:pPr>
            <w:r w:rsidRPr="008C5F1C">
              <w:rPr>
                <w:rFonts w:ascii="Times New Roman" w:hAnsi="Times New Roman" w:cs="Times New Roman"/>
                <w:iCs/>
                <w:sz w:val="16"/>
                <w:szCs w:val="16"/>
              </w:rPr>
              <w:t>2019</w:t>
            </w:r>
          </w:p>
        </w:tc>
        <w:tc>
          <w:tcPr>
            <w:tcW w:w="400" w:type="pct"/>
            <w:tcBorders>
              <w:top w:val="single" w:sz="4" w:space="0" w:color="auto"/>
              <w:left w:val="single" w:sz="4" w:space="0" w:color="auto"/>
              <w:bottom w:val="single" w:sz="4" w:space="0" w:color="auto"/>
              <w:right w:val="single" w:sz="4" w:space="0" w:color="auto"/>
            </w:tcBorders>
          </w:tcPr>
          <w:p w14:paraId="52741AEC" w14:textId="27DFA5BB" w:rsidR="0055580C" w:rsidRPr="008C5F1C" w:rsidRDefault="003B6DD5" w:rsidP="0055580C">
            <w:pPr>
              <w:rPr>
                <w:rFonts w:ascii="Times New Roman" w:hAnsi="Times New Roman" w:cs="Times New Roman"/>
                <w:iCs/>
                <w:sz w:val="16"/>
                <w:szCs w:val="16"/>
              </w:rPr>
            </w:pPr>
            <w:r w:rsidRPr="0073203A">
              <w:rPr>
                <w:rFonts w:ascii="Times New Roman" w:hAnsi="Times New Roman" w:cs="Times New Roman"/>
                <w:iCs/>
                <w:sz w:val="16"/>
                <w:szCs w:val="16"/>
              </w:rPr>
              <w:t xml:space="preserve">30.076 </w:t>
            </w:r>
            <w:r w:rsidR="00761529" w:rsidRPr="008C5F1C">
              <w:rPr>
                <w:rFonts w:ascii="Times New Roman" w:hAnsi="Times New Roman" w:cs="Times New Roman"/>
                <w:iCs/>
                <w:sz w:val="16"/>
                <w:szCs w:val="16"/>
              </w:rPr>
              <w:t>tone CO2 echivalent/an</w:t>
            </w:r>
          </w:p>
        </w:tc>
        <w:tc>
          <w:tcPr>
            <w:tcW w:w="323" w:type="pct"/>
            <w:tcBorders>
              <w:top w:val="single" w:sz="4" w:space="0" w:color="auto"/>
              <w:left w:val="single" w:sz="4" w:space="0" w:color="auto"/>
              <w:bottom w:val="single" w:sz="4" w:space="0" w:color="auto"/>
              <w:right w:val="single" w:sz="4" w:space="0" w:color="auto"/>
            </w:tcBorders>
          </w:tcPr>
          <w:p w14:paraId="4D2323B7" w14:textId="77777777" w:rsidR="00B11C00" w:rsidRPr="008C5F1C" w:rsidRDefault="00B11C00" w:rsidP="00B11C00">
            <w:pPr>
              <w:rPr>
                <w:rFonts w:ascii="Times New Roman" w:hAnsi="Times New Roman" w:cs="Times New Roman"/>
                <w:iCs/>
                <w:sz w:val="16"/>
                <w:szCs w:val="16"/>
              </w:rPr>
            </w:pPr>
            <w:r w:rsidRPr="008C5F1C">
              <w:rPr>
                <w:rFonts w:ascii="Times New Roman" w:hAnsi="Times New Roman" w:cs="Times New Roman"/>
                <w:iCs/>
                <w:sz w:val="16"/>
                <w:szCs w:val="16"/>
              </w:rPr>
              <w:t xml:space="preserve">RAI </w:t>
            </w:r>
          </w:p>
          <w:p w14:paraId="581E0B54" w14:textId="1F814F22" w:rsidR="00B11C00" w:rsidRPr="008C5F1C" w:rsidRDefault="00B11C00" w:rsidP="00B11C00">
            <w:pPr>
              <w:rPr>
                <w:rFonts w:ascii="Times New Roman" w:hAnsi="Times New Roman" w:cs="Times New Roman"/>
                <w:iCs/>
                <w:sz w:val="16"/>
                <w:szCs w:val="16"/>
              </w:rPr>
            </w:pPr>
            <w:proofErr w:type="spellStart"/>
            <w:r w:rsidRPr="008C5F1C">
              <w:rPr>
                <w:rFonts w:ascii="Times New Roman" w:hAnsi="Times New Roman" w:cs="Times New Roman"/>
                <w:iCs/>
                <w:sz w:val="16"/>
                <w:szCs w:val="16"/>
              </w:rPr>
              <w:t>My</w:t>
            </w:r>
            <w:proofErr w:type="spellEnd"/>
            <w:r w:rsidRPr="008C5F1C">
              <w:rPr>
                <w:rFonts w:ascii="Times New Roman" w:hAnsi="Times New Roman" w:cs="Times New Roman"/>
                <w:iCs/>
                <w:sz w:val="16"/>
                <w:szCs w:val="16"/>
              </w:rPr>
              <w:t xml:space="preserve"> SMIS</w:t>
            </w:r>
          </w:p>
          <w:p w14:paraId="4B39B543" w14:textId="13A58C48" w:rsidR="0055580C" w:rsidRPr="008C5F1C" w:rsidRDefault="00B11C00" w:rsidP="00B11C00">
            <w:pPr>
              <w:rPr>
                <w:rFonts w:ascii="Times New Roman" w:hAnsi="Times New Roman" w:cs="Times New Roman"/>
                <w:iCs/>
                <w:sz w:val="16"/>
                <w:szCs w:val="16"/>
              </w:rPr>
            </w:pPr>
            <w:r w:rsidRPr="008C5F1C">
              <w:rPr>
                <w:rFonts w:ascii="Times New Roman" w:hAnsi="Times New Roman" w:cs="Times New Roman"/>
                <w:iCs/>
                <w:sz w:val="16"/>
                <w:szCs w:val="16"/>
              </w:rPr>
              <w:t>Proiecte</w:t>
            </w:r>
          </w:p>
        </w:tc>
        <w:tc>
          <w:tcPr>
            <w:tcW w:w="370" w:type="pct"/>
            <w:tcBorders>
              <w:top w:val="single" w:sz="4" w:space="0" w:color="auto"/>
              <w:left w:val="single" w:sz="4" w:space="0" w:color="auto"/>
              <w:bottom w:val="single" w:sz="4" w:space="0" w:color="auto"/>
              <w:right w:val="single" w:sz="4" w:space="0" w:color="auto"/>
            </w:tcBorders>
          </w:tcPr>
          <w:p w14:paraId="7FEBA9E5" w14:textId="02379E34" w:rsidR="0055580C" w:rsidRPr="008C5F1C" w:rsidRDefault="0055580C" w:rsidP="00B11C00">
            <w:pPr>
              <w:rPr>
                <w:rFonts w:ascii="Times New Roman" w:hAnsi="Times New Roman" w:cs="Times New Roman"/>
                <w:iCs/>
                <w:sz w:val="16"/>
                <w:szCs w:val="16"/>
              </w:rPr>
            </w:pPr>
          </w:p>
        </w:tc>
      </w:tr>
    </w:tbl>
    <w:p w14:paraId="0572432E" w14:textId="77777777" w:rsidR="00653571" w:rsidRPr="008C5F1C" w:rsidRDefault="00653571" w:rsidP="00653571">
      <w:pPr>
        <w:rPr>
          <w:rFonts w:ascii="Times New Roman" w:hAnsi="Times New Roman" w:cs="Times New Roman"/>
          <w:b/>
          <w:iCs/>
        </w:rPr>
      </w:pPr>
      <w:r w:rsidRPr="008C5F1C">
        <w:rPr>
          <w:rFonts w:ascii="Times New Roman" w:hAnsi="Times New Roman" w:cs="Times New Roman"/>
          <w:i/>
        </w:rPr>
        <w:t xml:space="preserve">[Point 2.1.1.3 in </w:t>
      </w:r>
      <w:proofErr w:type="spellStart"/>
      <w:r w:rsidRPr="008C5F1C">
        <w:rPr>
          <w:rFonts w:ascii="Times New Roman" w:hAnsi="Times New Roman" w:cs="Times New Roman"/>
          <w:i/>
        </w:rPr>
        <w:t>the</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Commission</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proposal</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has</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been</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moved</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up</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following</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changes</w:t>
      </w:r>
      <w:proofErr w:type="spellEnd"/>
      <w:r w:rsidRPr="008C5F1C">
        <w:rPr>
          <w:rFonts w:ascii="Times New Roman" w:hAnsi="Times New Roman" w:cs="Times New Roman"/>
          <w:i/>
        </w:rPr>
        <w:t xml:space="preserve"> in </w:t>
      </w:r>
      <w:proofErr w:type="spellStart"/>
      <w:r w:rsidRPr="008C5F1C">
        <w:rPr>
          <w:rFonts w:ascii="Times New Roman" w:hAnsi="Times New Roman" w:cs="Times New Roman"/>
          <w:i/>
        </w:rPr>
        <w:t>Article</w:t>
      </w:r>
      <w:proofErr w:type="spellEnd"/>
      <w:r w:rsidRPr="008C5F1C">
        <w:rPr>
          <w:rFonts w:ascii="Times New Roman" w:hAnsi="Times New Roman" w:cs="Times New Roman"/>
          <w:i/>
        </w:rPr>
        <w:t xml:space="preserve"> 17(3)(c) CPR </w:t>
      </w:r>
      <w:proofErr w:type="spellStart"/>
      <w:r w:rsidRPr="008C5F1C">
        <w:rPr>
          <w:rFonts w:ascii="Times New Roman" w:hAnsi="Times New Roman" w:cs="Times New Roman"/>
          <w:i/>
        </w:rPr>
        <w:t>and</w:t>
      </w:r>
      <w:proofErr w:type="spellEnd"/>
      <w:r w:rsidRPr="008C5F1C">
        <w:rPr>
          <w:rFonts w:ascii="Times New Roman" w:hAnsi="Times New Roman" w:cs="Times New Roman"/>
          <w:i/>
        </w:rPr>
        <w:t xml:space="preserve"> it </w:t>
      </w:r>
      <w:proofErr w:type="spellStart"/>
      <w:r w:rsidRPr="008C5F1C">
        <w:rPr>
          <w:rFonts w:ascii="Times New Roman" w:hAnsi="Times New Roman" w:cs="Times New Roman"/>
          <w:i/>
        </w:rPr>
        <w:t>is</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now</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point</w:t>
      </w:r>
      <w:proofErr w:type="spellEnd"/>
      <w:r w:rsidRPr="008C5F1C">
        <w:rPr>
          <w:rFonts w:ascii="Times New Roman" w:hAnsi="Times New Roman" w:cs="Times New Roman"/>
          <w:i/>
        </w:rPr>
        <w:t xml:space="preserve"> 2.1.1.bis]</w:t>
      </w:r>
    </w:p>
    <w:p w14:paraId="48173B00" w14:textId="77777777" w:rsidR="00B11C00" w:rsidRPr="008C5F1C" w:rsidRDefault="00B11C00" w:rsidP="00653571">
      <w:pPr>
        <w:rPr>
          <w:rFonts w:ascii="Times New Roman" w:hAnsi="Times New Roman" w:cs="Times New Roman"/>
          <w:b/>
        </w:rPr>
        <w:sectPr w:rsidR="00B11C00" w:rsidRPr="008C5F1C" w:rsidSect="00F72A1C">
          <w:type w:val="continuous"/>
          <w:pgSz w:w="11906" w:h="16838"/>
          <w:pgMar w:top="1134" w:right="1134" w:bottom="1134" w:left="1134" w:header="567" w:footer="567" w:gutter="0"/>
          <w:cols w:space="720"/>
          <w:docGrid w:linePitch="326"/>
        </w:sectPr>
      </w:pPr>
    </w:p>
    <w:p w14:paraId="0B880226" w14:textId="531AD982" w:rsidR="00653571" w:rsidRPr="008C5F1C" w:rsidRDefault="00653571" w:rsidP="00653571">
      <w:pPr>
        <w:rPr>
          <w:rFonts w:ascii="Times New Roman" w:hAnsi="Times New Roman" w:cs="Times New Roman"/>
          <w:b/>
        </w:rPr>
      </w:pPr>
      <w:r w:rsidRPr="008C5F1C">
        <w:rPr>
          <w:rFonts w:ascii="Times New Roman" w:hAnsi="Times New Roman" w:cs="Times New Roman"/>
          <w:b/>
        </w:rPr>
        <w:t xml:space="preserve">2.B.1.2. </w:t>
      </w:r>
      <w:proofErr w:type="spellStart"/>
      <w:r w:rsidRPr="008C5F1C">
        <w:rPr>
          <w:rFonts w:ascii="Times New Roman" w:hAnsi="Times New Roman" w:cs="Times New Roman"/>
          <w:b/>
        </w:rPr>
        <w:t>Indicators</w:t>
      </w:r>
      <w:proofErr w:type="spellEnd"/>
      <w:r w:rsidRPr="008C5F1C">
        <w:rPr>
          <w:rFonts w:ascii="Times New Roman" w:hAnsi="Times New Roman" w:cs="Times New Roman"/>
          <w:b/>
        </w:rPr>
        <w:t xml:space="preserve"> </w:t>
      </w:r>
    </w:p>
    <w:p w14:paraId="7BC71563" w14:textId="77777777" w:rsidR="00653571" w:rsidRPr="008C5F1C" w:rsidRDefault="00653571" w:rsidP="00653571">
      <w:pPr>
        <w:rPr>
          <w:rFonts w:ascii="Times New Roman" w:hAnsi="Times New Roman" w:cs="Times New Roman"/>
          <w:b/>
          <w:bCs/>
        </w:rPr>
      </w:pPr>
      <w:r w:rsidRPr="008C5F1C">
        <w:rPr>
          <w:rFonts w:ascii="Times New Roman" w:hAnsi="Times New Roman" w:cs="Times New Roman"/>
          <w:b/>
        </w:rPr>
        <w:t xml:space="preserve">Output </w:t>
      </w:r>
      <w:proofErr w:type="spellStart"/>
      <w:r w:rsidRPr="008C5F1C">
        <w:rPr>
          <w:rFonts w:ascii="Times New Roman" w:hAnsi="Times New Roman" w:cs="Times New Roman"/>
          <w:b/>
        </w:rPr>
        <w:t>indicators</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with</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the</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corresponding</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milestones</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and</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targets</w:t>
      </w:r>
      <w:proofErr w:type="spellEnd"/>
      <w:r w:rsidRPr="008C5F1C">
        <w:rPr>
          <w:rFonts w:ascii="Times New Roman" w:hAnsi="Times New Roman" w:cs="Times New Roman"/>
          <w:b/>
        </w:rPr>
        <w:t xml:space="preserve"> – </w:t>
      </w:r>
      <w:proofErr w:type="spellStart"/>
      <w:r w:rsidRPr="008C5F1C">
        <w:rPr>
          <w:rFonts w:ascii="Times New Roman" w:hAnsi="Times New Roman" w:cs="Times New Roman"/>
          <w:b/>
        </w:rPr>
        <w:t>Article</w:t>
      </w:r>
      <w:proofErr w:type="spellEnd"/>
      <w:r w:rsidRPr="008C5F1C">
        <w:rPr>
          <w:rFonts w:ascii="Times New Roman" w:hAnsi="Times New Roman" w:cs="Times New Roman"/>
          <w:b/>
        </w:rPr>
        <w:t xml:space="preserve"> 17(3)(e)bis(ii)</w:t>
      </w:r>
    </w:p>
    <w:tbl>
      <w:tblPr>
        <w:tblW w:w="50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
        <w:gridCol w:w="1215"/>
        <w:gridCol w:w="587"/>
        <w:gridCol w:w="858"/>
        <w:gridCol w:w="403"/>
        <w:gridCol w:w="2289"/>
        <w:gridCol w:w="1204"/>
        <w:gridCol w:w="1127"/>
        <w:gridCol w:w="1363"/>
        <w:gridCol w:w="8"/>
      </w:tblGrid>
      <w:tr w:rsidR="00653571" w:rsidRPr="008C5F1C" w14:paraId="69ADAAFC" w14:textId="77777777" w:rsidTr="009A2F43">
        <w:trPr>
          <w:trHeight w:val="425"/>
        </w:trPr>
        <w:tc>
          <w:tcPr>
            <w:tcW w:w="5000" w:type="pct"/>
            <w:gridSpan w:val="10"/>
            <w:tcBorders>
              <w:top w:val="single" w:sz="4" w:space="0" w:color="auto"/>
              <w:left w:val="single" w:sz="4" w:space="0" w:color="auto"/>
              <w:bottom w:val="single" w:sz="4" w:space="0" w:color="auto"/>
              <w:right w:val="single" w:sz="4" w:space="0" w:color="auto"/>
            </w:tcBorders>
            <w:hideMark/>
          </w:tcPr>
          <w:p w14:paraId="1F8C6FE7" w14:textId="77777777" w:rsidR="00653571" w:rsidRPr="008C5F1C" w:rsidRDefault="00653571" w:rsidP="00534127">
            <w:pPr>
              <w:rPr>
                <w:rFonts w:ascii="Times New Roman" w:hAnsi="Times New Roman" w:cs="Times New Roman"/>
                <w:b/>
              </w:rPr>
            </w:pPr>
            <w:r w:rsidRPr="008C5F1C">
              <w:rPr>
                <w:rFonts w:ascii="Times New Roman" w:hAnsi="Times New Roman" w:cs="Times New Roman"/>
                <w:b/>
                <w:iCs/>
              </w:rPr>
              <w:t xml:space="preserve">Table 2: Output </w:t>
            </w:r>
            <w:proofErr w:type="spellStart"/>
            <w:r w:rsidRPr="008C5F1C">
              <w:rPr>
                <w:rFonts w:ascii="Times New Roman" w:hAnsi="Times New Roman" w:cs="Times New Roman"/>
                <w:b/>
                <w:iCs/>
              </w:rPr>
              <w:t>indicators</w:t>
            </w:r>
            <w:proofErr w:type="spellEnd"/>
          </w:p>
        </w:tc>
      </w:tr>
      <w:tr w:rsidR="00653571" w:rsidRPr="008C5F1C" w14:paraId="2B7130B8" w14:textId="77777777" w:rsidTr="009A2F43">
        <w:trPr>
          <w:gridAfter w:val="1"/>
          <w:wAfter w:w="3" w:type="pct"/>
          <w:trHeight w:val="558"/>
        </w:trPr>
        <w:tc>
          <w:tcPr>
            <w:tcW w:w="389" w:type="pct"/>
            <w:tcBorders>
              <w:top w:val="single" w:sz="4" w:space="0" w:color="auto"/>
              <w:left w:val="single" w:sz="4" w:space="0" w:color="auto"/>
              <w:bottom w:val="single" w:sz="4" w:space="0" w:color="auto"/>
              <w:right w:val="single" w:sz="4" w:space="0" w:color="auto"/>
            </w:tcBorders>
            <w:hideMark/>
          </w:tcPr>
          <w:p w14:paraId="46857CFC"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Priority</w:t>
            </w:r>
            <w:proofErr w:type="spellEnd"/>
            <w:r w:rsidRPr="008C5F1C">
              <w:rPr>
                <w:rFonts w:ascii="Times New Roman" w:hAnsi="Times New Roman" w:cs="Times New Roman"/>
                <w:b/>
                <w:sz w:val="16"/>
                <w:szCs w:val="16"/>
              </w:rPr>
              <w:t xml:space="preserve"> </w:t>
            </w:r>
          </w:p>
        </w:tc>
        <w:tc>
          <w:tcPr>
            <w:tcW w:w="619" w:type="pct"/>
            <w:tcBorders>
              <w:top w:val="single" w:sz="4" w:space="0" w:color="auto"/>
              <w:left w:val="single" w:sz="4" w:space="0" w:color="auto"/>
              <w:bottom w:val="single" w:sz="4" w:space="0" w:color="auto"/>
              <w:right w:val="single" w:sz="4" w:space="0" w:color="auto"/>
            </w:tcBorders>
            <w:hideMark/>
          </w:tcPr>
          <w:p w14:paraId="0A18978E"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 xml:space="preserve">Specific </w:t>
            </w:r>
            <w:proofErr w:type="spellStart"/>
            <w:r w:rsidRPr="008C5F1C">
              <w:rPr>
                <w:rFonts w:ascii="Times New Roman" w:hAnsi="Times New Roman" w:cs="Times New Roman"/>
                <w:b/>
                <w:sz w:val="16"/>
                <w:szCs w:val="16"/>
              </w:rPr>
              <w:t>objective</w:t>
            </w:r>
            <w:proofErr w:type="spellEnd"/>
            <w:r w:rsidRPr="008C5F1C">
              <w:rPr>
                <w:rFonts w:ascii="Times New Roman" w:hAnsi="Times New Roman" w:cs="Times New Roman"/>
                <w:b/>
                <w:sz w:val="16"/>
                <w:szCs w:val="16"/>
              </w:rPr>
              <w:t xml:space="preserve"> (Investment for </w:t>
            </w:r>
            <w:proofErr w:type="spellStart"/>
            <w:r w:rsidRPr="008C5F1C">
              <w:rPr>
                <w:rFonts w:ascii="Times New Roman" w:hAnsi="Times New Roman" w:cs="Times New Roman"/>
                <w:b/>
                <w:sz w:val="16"/>
                <w:szCs w:val="16"/>
              </w:rPr>
              <w:t>Jobs</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and</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Growth</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goal</w:t>
            </w:r>
            <w:proofErr w:type="spellEnd"/>
            <w:r w:rsidRPr="008C5F1C">
              <w:rPr>
                <w:rFonts w:ascii="Times New Roman" w:hAnsi="Times New Roman" w:cs="Times New Roman"/>
                <w:b/>
                <w:sz w:val="16"/>
                <w:szCs w:val="16"/>
              </w:rPr>
              <w:t xml:space="preserve"> EMFF)</w:t>
            </w:r>
          </w:p>
        </w:tc>
        <w:tc>
          <w:tcPr>
            <w:tcW w:w="299" w:type="pct"/>
            <w:tcBorders>
              <w:top w:val="single" w:sz="4" w:space="0" w:color="auto"/>
              <w:left w:val="single" w:sz="4" w:space="0" w:color="auto"/>
              <w:bottom w:val="single" w:sz="4" w:space="0" w:color="auto"/>
              <w:right w:val="single" w:sz="4" w:space="0" w:color="auto"/>
            </w:tcBorders>
            <w:hideMark/>
          </w:tcPr>
          <w:p w14:paraId="6C7AEB6A"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Fund</w:t>
            </w:r>
          </w:p>
        </w:tc>
        <w:tc>
          <w:tcPr>
            <w:tcW w:w="437" w:type="pct"/>
            <w:tcBorders>
              <w:top w:val="single" w:sz="4" w:space="0" w:color="auto"/>
              <w:left w:val="single" w:sz="4" w:space="0" w:color="auto"/>
              <w:bottom w:val="single" w:sz="4" w:space="0" w:color="auto"/>
              <w:right w:val="single" w:sz="4" w:space="0" w:color="auto"/>
            </w:tcBorders>
            <w:hideMark/>
          </w:tcPr>
          <w:p w14:paraId="42A630A0"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Category</w:t>
            </w:r>
            <w:proofErr w:type="spellEnd"/>
            <w:r w:rsidRPr="008C5F1C">
              <w:rPr>
                <w:rFonts w:ascii="Times New Roman" w:hAnsi="Times New Roman" w:cs="Times New Roman"/>
                <w:b/>
                <w:sz w:val="16"/>
                <w:szCs w:val="16"/>
              </w:rPr>
              <w:t xml:space="preserve"> of </w:t>
            </w:r>
            <w:proofErr w:type="spellStart"/>
            <w:r w:rsidRPr="008C5F1C">
              <w:rPr>
                <w:rFonts w:ascii="Times New Roman" w:hAnsi="Times New Roman" w:cs="Times New Roman"/>
                <w:b/>
                <w:sz w:val="16"/>
                <w:szCs w:val="16"/>
              </w:rPr>
              <w:t>region</w:t>
            </w:r>
            <w:proofErr w:type="spellEnd"/>
          </w:p>
        </w:tc>
        <w:tc>
          <w:tcPr>
            <w:tcW w:w="205" w:type="pct"/>
            <w:tcBorders>
              <w:top w:val="single" w:sz="4" w:space="0" w:color="auto"/>
              <w:left w:val="single" w:sz="4" w:space="0" w:color="auto"/>
              <w:bottom w:val="single" w:sz="4" w:space="0" w:color="auto"/>
              <w:right w:val="single" w:sz="4" w:space="0" w:color="auto"/>
            </w:tcBorders>
            <w:hideMark/>
          </w:tcPr>
          <w:p w14:paraId="7CA45259"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ID [5]</w:t>
            </w:r>
          </w:p>
        </w:tc>
        <w:tc>
          <w:tcPr>
            <w:tcW w:w="1166" w:type="pct"/>
            <w:tcBorders>
              <w:top w:val="single" w:sz="4" w:space="0" w:color="auto"/>
              <w:left w:val="single" w:sz="4" w:space="0" w:color="auto"/>
              <w:bottom w:val="single" w:sz="4" w:space="0" w:color="auto"/>
              <w:right w:val="single" w:sz="4" w:space="0" w:color="auto"/>
            </w:tcBorders>
            <w:hideMark/>
          </w:tcPr>
          <w:p w14:paraId="46F81392"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 xml:space="preserve">Indicator [255] </w:t>
            </w:r>
          </w:p>
        </w:tc>
        <w:tc>
          <w:tcPr>
            <w:tcW w:w="613" w:type="pct"/>
            <w:tcBorders>
              <w:top w:val="single" w:sz="4" w:space="0" w:color="auto"/>
              <w:left w:val="single" w:sz="4" w:space="0" w:color="auto"/>
              <w:bottom w:val="single" w:sz="4" w:space="0" w:color="auto"/>
              <w:right w:val="single" w:sz="4" w:space="0" w:color="auto"/>
            </w:tcBorders>
            <w:hideMark/>
          </w:tcPr>
          <w:p w14:paraId="3613AFF7"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Measurement</w:t>
            </w:r>
            <w:proofErr w:type="spellEnd"/>
            <w:r w:rsidRPr="008C5F1C">
              <w:rPr>
                <w:rFonts w:ascii="Times New Roman" w:hAnsi="Times New Roman" w:cs="Times New Roman"/>
                <w:b/>
                <w:sz w:val="16"/>
                <w:szCs w:val="16"/>
              </w:rPr>
              <w:t xml:space="preserve"> unit</w:t>
            </w:r>
          </w:p>
        </w:tc>
        <w:tc>
          <w:tcPr>
            <w:tcW w:w="574" w:type="pct"/>
            <w:tcBorders>
              <w:top w:val="single" w:sz="4" w:space="0" w:color="auto"/>
              <w:left w:val="single" w:sz="4" w:space="0" w:color="auto"/>
              <w:bottom w:val="single" w:sz="4" w:space="0" w:color="auto"/>
              <w:right w:val="single" w:sz="4" w:space="0" w:color="auto"/>
            </w:tcBorders>
          </w:tcPr>
          <w:p w14:paraId="2C526E19"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Milestone</w:t>
            </w:r>
            <w:proofErr w:type="spellEnd"/>
            <w:r w:rsidRPr="008C5F1C">
              <w:rPr>
                <w:rFonts w:ascii="Times New Roman" w:hAnsi="Times New Roman" w:cs="Times New Roman"/>
                <w:b/>
                <w:sz w:val="16"/>
                <w:szCs w:val="16"/>
              </w:rPr>
              <w:t xml:space="preserve"> (2024)</w:t>
            </w:r>
          </w:p>
          <w:p w14:paraId="715686FA" w14:textId="77777777" w:rsidR="00653571" w:rsidRPr="008C5F1C" w:rsidRDefault="00653571" w:rsidP="00534127">
            <w:pPr>
              <w:rPr>
                <w:rFonts w:ascii="Times New Roman" w:hAnsi="Times New Roman" w:cs="Times New Roman"/>
                <w:b/>
                <w:sz w:val="16"/>
                <w:szCs w:val="16"/>
              </w:rPr>
            </w:pPr>
          </w:p>
        </w:tc>
        <w:tc>
          <w:tcPr>
            <w:tcW w:w="694" w:type="pct"/>
            <w:tcBorders>
              <w:top w:val="single" w:sz="4" w:space="0" w:color="auto"/>
              <w:left w:val="single" w:sz="4" w:space="0" w:color="auto"/>
              <w:bottom w:val="single" w:sz="4" w:space="0" w:color="auto"/>
              <w:right w:val="single" w:sz="4" w:space="0" w:color="auto"/>
            </w:tcBorders>
          </w:tcPr>
          <w:p w14:paraId="1F85131E"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Target (2029)</w:t>
            </w:r>
          </w:p>
          <w:p w14:paraId="4F3B27C3" w14:textId="77777777" w:rsidR="00653571" w:rsidRPr="008C5F1C" w:rsidRDefault="00653571" w:rsidP="00534127">
            <w:pPr>
              <w:rPr>
                <w:rFonts w:ascii="Times New Roman" w:hAnsi="Times New Roman" w:cs="Times New Roman"/>
                <w:b/>
                <w:sz w:val="16"/>
                <w:szCs w:val="16"/>
              </w:rPr>
            </w:pPr>
          </w:p>
        </w:tc>
      </w:tr>
      <w:tr w:rsidR="00653571" w:rsidRPr="008C5F1C" w14:paraId="79523E9B" w14:textId="77777777" w:rsidTr="009A2F43">
        <w:trPr>
          <w:gridAfter w:val="1"/>
          <w:wAfter w:w="3" w:type="pct"/>
          <w:trHeight w:val="332"/>
        </w:trPr>
        <w:tc>
          <w:tcPr>
            <w:tcW w:w="389" w:type="pct"/>
            <w:tcBorders>
              <w:top w:val="single" w:sz="4" w:space="0" w:color="auto"/>
              <w:left w:val="single" w:sz="4" w:space="0" w:color="auto"/>
              <w:bottom w:val="single" w:sz="4" w:space="0" w:color="auto"/>
              <w:right w:val="single" w:sz="4" w:space="0" w:color="auto"/>
            </w:tcBorders>
          </w:tcPr>
          <w:p w14:paraId="3066C442" w14:textId="77777777" w:rsidR="00653571" w:rsidRPr="008C5F1C" w:rsidRDefault="00653571" w:rsidP="00534127">
            <w:pPr>
              <w:rPr>
                <w:rFonts w:ascii="Times New Roman" w:hAnsi="Times New Roman" w:cs="Times New Roman"/>
                <w:b/>
                <w:i/>
                <w:sz w:val="16"/>
                <w:szCs w:val="16"/>
              </w:rPr>
            </w:pPr>
          </w:p>
        </w:tc>
        <w:tc>
          <w:tcPr>
            <w:tcW w:w="619" w:type="pct"/>
            <w:tcBorders>
              <w:top w:val="single" w:sz="4" w:space="0" w:color="auto"/>
              <w:left w:val="single" w:sz="4" w:space="0" w:color="auto"/>
              <w:bottom w:val="single" w:sz="4" w:space="0" w:color="auto"/>
              <w:right w:val="single" w:sz="4" w:space="0" w:color="auto"/>
            </w:tcBorders>
          </w:tcPr>
          <w:p w14:paraId="7183E167" w14:textId="77777777" w:rsidR="00653571" w:rsidRPr="008C5F1C" w:rsidRDefault="00653571" w:rsidP="00534127">
            <w:pPr>
              <w:rPr>
                <w:rFonts w:ascii="Times New Roman" w:hAnsi="Times New Roman" w:cs="Times New Roman"/>
                <w:b/>
                <w:i/>
                <w:sz w:val="16"/>
                <w:szCs w:val="16"/>
              </w:rPr>
            </w:pPr>
          </w:p>
        </w:tc>
        <w:tc>
          <w:tcPr>
            <w:tcW w:w="299" w:type="pct"/>
            <w:tcBorders>
              <w:top w:val="single" w:sz="4" w:space="0" w:color="auto"/>
              <w:left w:val="single" w:sz="4" w:space="0" w:color="auto"/>
              <w:bottom w:val="single" w:sz="4" w:space="0" w:color="auto"/>
              <w:right w:val="single" w:sz="4" w:space="0" w:color="auto"/>
            </w:tcBorders>
          </w:tcPr>
          <w:p w14:paraId="6B6B2CEB" w14:textId="77777777" w:rsidR="00653571" w:rsidRPr="008C5F1C" w:rsidRDefault="00653571" w:rsidP="00534127">
            <w:pPr>
              <w:rPr>
                <w:rFonts w:ascii="Times New Roman" w:hAnsi="Times New Roman" w:cs="Times New Roman"/>
                <w:b/>
                <w:i/>
                <w:sz w:val="16"/>
                <w:szCs w:val="16"/>
              </w:rPr>
            </w:pPr>
          </w:p>
        </w:tc>
        <w:tc>
          <w:tcPr>
            <w:tcW w:w="437" w:type="pct"/>
            <w:tcBorders>
              <w:top w:val="single" w:sz="4" w:space="0" w:color="auto"/>
              <w:left w:val="single" w:sz="4" w:space="0" w:color="auto"/>
              <w:bottom w:val="single" w:sz="4" w:space="0" w:color="auto"/>
              <w:right w:val="single" w:sz="4" w:space="0" w:color="auto"/>
            </w:tcBorders>
          </w:tcPr>
          <w:p w14:paraId="09A720FF" w14:textId="77777777" w:rsidR="00653571" w:rsidRPr="008C5F1C" w:rsidRDefault="00653571" w:rsidP="00534127">
            <w:pPr>
              <w:rPr>
                <w:rFonts w:ascii="Times New Roman" w:hAnsi="Times New Roman" w:cs="Times New Roman"/>
                <w:b/>
                <w:i/>
                <w:sz w:val="16"/>
                <w:szCs w:val="16"/>
              </w:rPr>
            </w:pPr>
          </w:p>
        </w:tc>
        <w:tc>
          <w:tcPr>
            <w:tcW w:w="205" w:type="pct"/>
            <w:tcBorders>
              <w:top w:val="single" w:sz="4" w:space="0" w:color="auto"/>
              <w:left w:val="single" w:sz="4" w:space="0" w:color="auto"/>
              <w:bottom w:val="single" w:sz="4" w:space="0" w:color="auto"/>
              <w:right w:val="single" w:sz="4" w:space="0" w:color="auto"/>
            </w:tcBorders>
          </w:tcPr>
          <w:p w14:paraId="6BA98038" w14:textId="77777777" w:rsidR="00653571" w:rsidRPr="008C5F1C" w:rsidRDefault="00653571" w:rsidP="00534127">
            <w:pPr>
              <w:rPr>
                <w:rFonts w:ascii="Times New Roman" w:hAnsi="Times New Roman" w:cs="Times New Roman"/>
                <w:b/>
                <w:i/>
                <w:sz w:val="16"/>
                <w:szCs w:val="16"/>
              </w:rPr>
            </w:pPr>
          </w:p>
        </w:tc>
        <w:tc>
          <w:tcPr>
            <w:tcW w:w="1166" w:type="pct"/>
            <w:tcBorders>
              <w:top w:val="single" w:sz="4" w:space="0" w:color="auto"/>
              <w:left w:val="single" w:sz="4" w:space="0" w:color="auto"/>
              <w:bottom w:val="single" w:sz="4" w:space="0" w:color="auto"/>
              <w:right w:val="single" w:sz="4" w:space="0" w:color="auto"/>
            </w:tcBorders>
          </w:tcPr>
          <w:p w14:paraId="60A8DD47" w14:textId="77777777" w:rsidR="00653571" w:rsidRPr="008C5F1C" w:rsidRDefault="00653571" w:rsidP="00534127">
            <w:pPr>
              <w:rPr>
                <w:rFonts w:ascii="Times New Roman" w:hAnsi="Times New Roman" w:cs="Times New Roman"/>
                <w:b/>
                <w:i/>
                <w:sz w:val="16"/>
                <w:szCs w:val="16"/>
              </w:rPr>
            </w:pPr>
          </w:p>
        </w:tc>
        <w:tc>
          <w:tcPr>
            <w:tcW w:w="613" w:type="pct"/>
            <w:tcBorders>
              <w:top w:val="single" w:sz="4" w:space="0" w:color="auto"/>
              <w:left w:val="single" w:sz="4" w:space="0" w:color="auto"/>
              <w:bottom w:val="single" w:sz="4" w:space="0" w:color="auto"/>
              <w:right w:val="single" w:sz="4" w:space="0" w:color="auto"/>
            </w:tcBorders>
          </w:tcPr>
          <w:p w14:paraId="493DCD3A" w14:textId="77777777" w:rsidR="00653571" w:rsidRPr="008C5F1C" w:rsidRDefault="00653571" w:rsidP="00534127">
            <w:pPr>
              <w:rPr>
                <w:rFonts w:ascii="Times New Roman" w:hAnsi="Times New Roman" w:cs="Times New Roman"/>
                <w:b/>
                <w:i/>
                <w:sz w:val="16"/>
                <w:szCs w:val="16"/>
              </w:rPr>
            </w:pPr>
          </w:p>
        </w:tc>
        <w:tc>
          <w:tcPr>
            <w:tcW w:w="574" w:type="pct"/>
            <w:tcBorders>
              <w:top w:val="single" w:sz="4" w:space="0" w:color="auto"/>
              <w:left w:val="single" w:sz="4" w:space="0" w:color="auto"/>
              <w:bottom w:val="single" w:sz="4" w:space="0" w:color="auto"/>
              <w:right w:val="single" w:sz="4" w:space="0" w:color="auto"/>
            </w:tcBorders>
          </w:tcPr>
          <w:p w14:paraId="62F6FB24" w14:textId="77777777" w:rsidR="00653571" w:rsidRPr="008C5F1C" w:rsidRDefault="00653571" w:rsidP="00534127">
            <w:pPr>
              <w:rPr>
                <w:rFonts w:ascii="Times New Roman" w:hAnsi="Times New Roman" w:cs="Times New Roman"/>
                <w:b/>
                <w:sz w:val="16"/>
                <w:szCs w:val="16"/>
              </w:rPr>
            </w:pPr>
          </w:p>
        </w:tc>
        <w:tc>
          <w:tcPr>
            <w:tcW w:w="694" w:type="pct"/>
            <w:tcBorders>
              <w:top w:val="single" w:sz="4" w:space="0" w:color="auto"/>
              <w:left w:val="single" w:sz="4" w:space="0" w:color="auto"/>
              <w:bottom w:val="single" w:sz="4" w:space="0" w:color="auto"/>
              <w:right w:val="single" w:sz="4" w:space="0" w:color="auto"/>
            </w:tcBorders>
          </w:tcPr>
          <w:p w14:paraId="380D8273" w14:textId="77777777" w:rsidR="00653571" w:rsidRPr="008C5F1C" w:rsidRDefault="00653571" w:rsidP="00534127">
            <w:pPr>
              <w:rPr>
                <w:rFonts w:ascii="Times New Roman" w:hAnsi="Times New Roman" w:cs="Times New Roman"/>
                <w:b/>
                <w:sz w:val="16"/>
                <w:szCs w:val="16"/>
              </w:rPr>
            </w:pPr>
          </w:p>
        </w:tc>
      </w:tr>
    </w:tbl>
    <w:p w14:paraId="6338AF6D" w14:textId="77777777" w:rsidR="00653571" w:rsidRPr="008C5F1C" w:rsidRDefault="00653571" w:rsidP="00653571">
      <w:pPr>
        <w:rPr>
          <w:rFonts w:ascii="Times New Roman" w:hAnsi="Times New Roman" w:cs="Times New Roman"/>
          <w:b/>
        </w:rPr>
      </w:pPr>
    </w:p>
    <w:p w14:paraId="10AED0D3" w14:textId="77777777" w:rsidR="00653571" w:rsidRPr="008C5F1C" w:rsidRDefault="00653571" w:rsidP="00653571">
      <w:pPr>
        <w:rPr>
          <w:rFonts w:ascii="Times New Roman" w:hAnsi="Times New Roman" w:cs="Times New Roman"/>
          <w:bCs/>
          <w:i/>
        </w:rPr>
      </w:pPr>
      <w:r w:rsidRPr="008C5F1C">
        <w:rPr>
          <w:rFonts w:ascii="Times New Roman" w:hAnsi="Times New Roman" w:cs="Times New Roman"/>
          <w:b/>
          <w:iCs/>
        </w:rPr>
        <w:t xml:space="preserve">2.B.1.3. Indicative </w:t>
      </w:r>
      <w:proofErr w:type="spellStart"/>
      <w:r w:rsidRPr="008C5F1C">
        <w:rPr>
          <w:rFonts w:ascii="Times New Roman" w:hAnsi="Times New Roman" w:cs="Times New Roman"/>
          <w:b/>
          <w:iCs/>
        </w:rPr>
        <w:t>breakdown</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the</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programmed</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resources</w:t>
      </w:r>
      <w:proofErr w:type="spellEnd"/>
      <w:r w:rsidRPr="008C5F1C">
        <w:rPr>
          <w:rFonts w:ascii="Times New Roman" w:hAnsi="Times New Roman" w:cs="Times New Roman"/>
          <w:b/>
          <w:iCs/>
        </w:rPr>
        <w:t xml:space="preserve"> (EU) </w:t>
      </w:r>
      <w:proofErr w:type="spellStart"/>
      <w:r w:rsidRPr="008C5F1C">
        <w:rPr>
          <w:rFonts w:ascii="Times New Roman" w:hAnsi="Times New Roman" w:cs="Times New Roman"/>
          <w:b/>
          <w:iCs/>
        </w:rPr>
        <w:t>by</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type</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intervention</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i/>
          <w:iCs/>
        </w:rPr>
        <w:t>Reference</w:t>
      </w:r>
      <w:proofErr w:type="spellEnd"/>
      <w:r w:rsidRPr="008C5F1C">
        <w:rPr>
          <w:rFonts w:ascii="Times New Roman" w:hAnsi="Times New Roman" w:cs="Times New Roman"/>
          <w:i/>
          <w:iCs/>
        </w:rPr>
        <w:t xml:space="preserve"> </w:t>
      </w:r>
      <w:proofErr w:type="spellStart"/>
      <w:r w:rsidRPr="008C5F1C">
        <w:rPr>
          <w:rFonts w:ascii="Times New Roman" w:hAnsi="Times New Roman" w:cs="Times New Roman"/>
          <w:i/>
        </w:rPr>
        <w:t>Article</w:t>
      </w:r>
      <w:proofErr w:type="spellEnd"/>
      <w:r w:rsidRPr="008C5F1C">
        <w:rPr>
          <w:rFonts w:ascii="Times New Roman" w:hAnsi="Times New Roman" w:cs="Times New Roman"/>
          <w:i/>
        </w:rPr>
        <w:t xml:space="preserve"> 17(3)(e)bis(iv)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2399"/>
        <w:gridCol w:w="1053"/>
        <w:gridCol w:w="3058"/>
      </w:tblGrid>
      <w:tr w:rsidR="00653571" w:rsidRPr="008C5F1C" w14:paraId="6AF751D1" w14:textId="77777777" w:rsidTr="00A53C23">
        <w:tc>
          <w:tcPr>
            <w:tcW w:w="9493" w:type="dxa"/>
            <w:gridSpan w:val="5"/>
            <w:tcBorders>
              <w:top w:val="single" w:sz="4" w:space="0" w:color="auto"/>
              <w:left w:val="single" w:sz="4" w:space="0" w:color="auto"/>
              <w:bottom w:val="single" w:sz="4" w:space="0" w:color="auto"/>
              <w:right w:val="single" w:sz="4" w:space="0" w:color="auto"/>
            </w:tcBorders>
            <w:hideMark/>
          </w:tcPr>
          <w:p w14:paraId="1D8DFB88"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Table 8: </w:t>
            </w:r>
            <w:proofErr w:type="spellStart"/>
            <w:r w:rsidRPr="008C5F1C">
              <w:rPr>
                <w:rFonts w:ascii="Times New Roman" w:hAnsi="Times New Roman" w:cs="Times New Roman"/>
                <w:b/>
                <w:iCs/>
              </w:rPr>
              <w:t>Dimension</w:t>
            </w:r>
            <w:proofErr w:type="spellEnd"/>
            <w:r w:rsidRPr="008C5F1C">
              <w:rPr>
                <w:rFonts w:ascii="Times New Roman" w:hAnsi="Times New Roman" w:cs="Times New Roman"/>
                <w:b/>
                <w:iCs/>
              </w:rPr>
              <w:t xml:space="preserve"> 1 – </w:t>
            </w:r>
            <w:proofErr w:type="spellStart"/>
            <w:r w:rsidRPr="008C5F1C">
              <w:rPr>
                <w:rFonts w:ascii="Times New Roman" w:hAnsi="Times New Roman" w:cs="Times New Roman"/>
                <w:b/>
                <w:iCs/>
              </w:rPr>
              <w:t>intervention</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field</w:t>
            </w:r>
            <w:proofErr w:type="spellEnd"/>
          </w:p>
        </w:tc>
      </w:tr>
      <w:tr w:rsidR="00653571" w:rsidRPr="008C5F1C" w14:paraId="4E9DE60B" w14:textId="77777777" w:rsidTr="00A53C23">
        <w:tc>
          <w:tcPr>
            <w:tcW w:w="1599" w:type="dxa"/>
            <w:tcBorders>
              <w:top w:val="single" w:sz="4" w:space="0" w:color="auto"/>
              <w:left w:val="single" w:sz="4" w:space="0" w:color="auto"/>
              <w:bottom w:val="single" w:sz="4" w:space="0" w:color="auto"/>
              <w:right w:val="single" w:sz="4" w:space="0" w:color="auto"/>
            </w:tcBorders>
            <w:hideMark/>
          </w:tcPr>
          <w:p w14:paraId="2D0AAEB8"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Priority</w:t>
            </w:r>
            <w:proofErr w:type="spellEnd"/>
            <w:r w:rsidRPr="008C5F1C">
              <w:rPr>
                <w:rFonts w:ascii="Times New Roman" w:hAnsi="Times New Roman" w:cs="Times New Roman"/>
                <w:b/>
                <w:iCs/>
              </w:rPr>
              <w:t xml:space="preserve"> No</w:t>
            </w:r>
          </w:p>
        </w:tc>
        <w:tc>
          <w:tcPr>
            <w:tcW w:w="1384" w:type="dxa"/>
            <w:tcBorders>
              <w:top w:val="single" w:sz="4" w:space="0" w:color="auto"/>
              <w:left w:val="single" w:sz="4" w:space="0" w:color="auto"/>
              <w:bottom w:val="single" w:sz="4" w:space="0" w:color="auto"/>
              <w:right w:val="single" w:sz="4" w:space="0" w:color="auto"/>
            </w:tcBorders>
            <w:hideMark/>
          </w:tcPr>
          <w:p w14:paraId="0DDDA2FC"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Fund</w:t>
            </w:r>
          </w:p>
        </w:tc>
        <w:tc>
          <w:tcPr>
            <w:tcW w:w="2399" w:type="dxa"/>
            <w:tcBorders>
              <w:top w:val="single" w:sz="4" w:space="0" w:color="auto"/>
              <w:left w:val="single" w:sz="4" w:space="0" w:color="auto"/>
              <w:bottom w:val="single" w:sz="4" w:space="0" w:color="auto"/>
              <w:right w:val="single" w:sz="4" w:space="0" w:color="auto"/>
            </w:tcBorders>
            <w:hideMark/>
          </w:tcPr>
          <w:p w14:paraId="0AC264BB"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Category</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region</w:t>
            </w:r>
            <w:proofErr w:type="spellEnd"/>
          </w:p>
        </w:tc>
        <w:tc>
          <w:tcPr>
            <w:tcW w:w="1053" w:type="dxa"/>
            <w:tcBorders>
              <w:top w:val="single" w:sz="4" w:space="0" w:color="auto"/>
              <w:left w:val="single" w:sz="4" w:space="0" w:color="auto"/>
              <w:bottom w:val="single" w:sz="4" w:space="0" w:color="auto"/>
              <w:right w:val="single" w:sz="4" w:space="0" w:color="auto"/>
            </w:tcBorders>
            <w:hideMark/>
          </w:tcPr>
          <w:p w14:paraId="5E9F22D6"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Code </w:t>
            </w:r>
          </w:p>
        </w:tc>
        <w:tc>
          <w:tcPr>
            <w:tcW w:w="3058" w:type="dxa"/>
            <w:tcBorders>
              <w:top w:val="single" w:sz="4" w:space="0" w:color="auto"/>
              <w:left w:val="single" w:sz="4" w:space="0" w:color="auto"/>
              <w:bottom w:val="single" w:sz="4" w:space="0" w:color="auto"/>
              <w:right w:val="single" w:sz="4" w:space="0" w:color="auto"/>
            </w:tcBorders>
            <w:hideMark/>
          </w:tcPr>
          <w:p w14:paraId="1A0861D5"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Amount</w:t>
            </w:r>
            <w:proofErr w:type="spellEnd"/>
            <w:r w:rsidRPr="008C5F1C">
              <w:rPr>
                <w:rFonts w:ascii="Times New Roman" w:hAnsi="Times New Roman" w:cs="Times New Roman"/>
                <w:b/>
                <w:iCs/>
              </w:rPr>
              <w:t xml:space="preserve"> (EUR)</w:t>
            </w:r>
          </w:p>
        </w:tc>
      </w:tr>
      <w:tr w:rsidR="00653571" w:rsidRPr="008C5F1C" w14:paraId="3BAF6582" w14:textId="77777777" w:rsidTr="00A53C23">
        <w:tc>
          <w:tcPr>
            <w:tcW w:w="1599" w:type="dxa"/>
            <w:tcBorders>
              <w:top w:val="single" w:sz="4" w:space="0" w:color="auto"/>
              <w:left w:val="single" w:sz="4" w:space="0" w:color="auto"/>
              <w:bottom w:val="single" w:sz="4" w:space="0" w:color="auto"/>
              <w:right w:val="single" w:sz="4" w:space="0" w:color="auto"/>
            </w:tcBorders>
          </w:tcPr>
          <w:p w14:paraId="1A8F20A5" w14:textId="1AD45A83" w:rsidR="00653571" w:rsidRPr="008C5F1C" w:rsidRDefault="00653571" w:rsidP="00534127">
            <w:pPr>
              <w:rPr>
                <w:rFonts w:ascii="Times New Roman" w:hAnsi="Times New Roman" w:cs="Times New Roman"/>
                <w:iCs/>
              </w:rPr>
            </w:pPr>
          </w:p>
        </w:tc>
        <w:tc>
          <w:tcPr>
            <w:tcW w:w="1384" w:type="dxa"/>
            <w:tcBorders>
              <w:top w:val="single" w:sz="4" w:space="0" w:color="auto"/>
              <w:left w:val="single" w:sz="4" w:space="0" w:color="auto"/>
              <w:bottom w:val="single" w:sz="4" w:space="0" w:color="auto"/>
              <w:right w:val="single" w:sz="4" w:space="0" w:color="auto"/>
            </w:tcBorders>
          </w:tcPr>
          <w:p w14:paraId="7FE41BF3" w14:textId="4311BEDF" w:rsidR="00653571" w:rsidRPr="008C5F1C" w:rsidRDefault="00653571" w:rsidP="00534127">
            <w:pPr>
              <w:rPr>
                <w:rFonts w:ascii="Times New Roman" w:hAnsi="Times New Roman" w:cs="Times New Roman"/>
                <w:b/>
                <w:iCs/>
              </w:rPr>
            </w:pPr>
          </w:p>
        </w:tc>
        <w:tc>
          <w:tcPr>
            <w:tcW w:w="2399" w:type="dxa"/>
            <w:tcBorders>
              <w:top w:val="single" w:sz="4" w:space="0" w:color="auto"/>
              <w:left w:val="single" w:sz="4" w:space="0" w:color="auto"/>
              <w:bottom w:val="single" w:sz="4" w:space="0" w:color="auto"/>
              <w:right w:val="single" w:sz="4" w:space="0" w:color="auto"/>
            </w:tcBorders>
          </w:tcPr>
          <w:p w14:paraId="6D113A74" w14:textId="18886184" w:rsidR="00653571" w:rsidRPr="008C5F1C" w:rsidRDefault="00653571" w:rsidP="00534127">
            <w:pPr>
              <w:rPr>
                <w:rFonts w:ascii="Times New Roman" w:hAnsi="Times New Roman" w:cs="Times New Roman"/>
                <w:b/>
                <w:iCs/>
              </w:rPr>
            </w:pPr>
          </w:p>
        </w:tc>
        <w:tc>
          <w:tcPr>
            <w:tcW w:w="1053" w:type="dxa"/>
            <w:tcBorders>
              <w:top w:val="single" w:sz="4" w:space="0" w:color="auto"/>
              <w:left w:val="single" w:sz="4" w:space="0" w:color="auto"/>
              <w:bottom w:val="single" w:sz="4" w:space="0" w:color="auto"/>
              <w:right w:val="single" w:sz="4" w:space="0" w:color="auto"/>
            </w:tcBorders>
          </w:tcPr>
          <w:p w14:paraId="48FC53AD" w14:textId="0676D9A6" w:rsidR="00653571" w:rsidRPr="008C5F1C" w:rsidRDefault="00653571" w:rsidP="00534127">
            <w:pPr>
              <w:rPr>
                <w:rFonts w:ascii="Times New Roman" w:hAnsi="Times New Roman" w:cs="Times New Roman"/>
                <w:b/>
                <w:iCs/>
              </w:rPr>
            </w:pPr>
          </w:p>
        </w:tc>
        <w:tc>
          <w:tcPr>
            <w:tcW w:w="3058" w:type="dxa"/>
            <w:tcBorders>
              <w:top w:val="single" w:sz="4" w:space="0" w:color="auto"/>
              <w:left w:val="single" w:sz="4" w:space="0" w:color="auto"/>
              <w:bottom w:val="single" w:sz="4" w:space="0" w:color="auto"/>
              <w:right w:val="single" w:sz="4" w:space="0" w:color="auto"/>
            </w:tcBorders>
          </w:tcPr>
          <w:p w14:paraId="1322DE1B" w14:textId="124BF15B" w:rsidR="00653571" w:rsidRPr="008C5F1C" w:rsidRDefault="00653571" w:rsidP="009A2F43">
            <w:pPr>
              <w:jc w:val="right"/>
              <w:rPr>
                <w:rFonts w:ascii="Times New Roman" w:hAnsi="Times New Roman" w:cs="Times New Roman"/>
                <w:b/>
                <w:iCs/>
              </w:rPr>
            </w:pPr>
          </w:p>
        </w:tc>
      </w:tr>
    </w:tbl>
    <w:p w14:paraId="52D612CD" w14:textId="0169E083" w:rsidR="00653571" w:rsidRDefault="00653571" w:rsidP="00653571">
      <w:pPr>
        <w:rPr>
          <w:rFonts w:ascii="Times New Roman" w:hAnsi="Times New Roman" w:cs="Times New Roman"/>
        </w:rPr>
      </w:pPr>
    </w:p>
    <w:p w14:paraId="31EAD614" w14:textId="49239EC6" w:rsidR="000C7383" w:rsidRPr="008C5F1C" w:rsidRDefault="000C7383" w:rsidP="000C7383">
      <w:pPr>
        <w:pStyle w:val="Heading3"/>
        <w:numPr>
          <w:ilvl w:val="0"/>
          <w:numId w:val="0"/>
        </w:numPr>
        <w:shd w:val="clear" w:color="auto" w:fill="B4C6E7" w:themeFill="accent1" w:themeFillTint="66"/>
        <w:rPr>
          <w:rFonts w:cs="Times New Roman"/>
          <w:noProof/>
          <w:lang w:val="ro-RO"/>
        </w:rPr>
      </w:pPr>
      <w:r w:rsidRPr="008C5F1C">
        <w:rPr>
          <w:rFonts w:cs="Times New Roman"/>
          <w:noProof/>
          <w:lang w:val="ro-RO"/>
        </w:rPr>
        <w:t>2.A.3 OS b (</w:t>
      </w:r>
      <w:r>
        <w:rPr>
          <w:rFonts w:cs="Times New Roman"/>
          <w:noProof/>
          <w:lang w:val="ro-RO"/>
        </w:rPr>
        <w:t>v</w:t>
      </w:r>
      <w:r w:rsidRPr="008C5F1C">
        <w:rPr>
          <w:rFonts w:cs="Times New Roman"/>
          <w:noProof/>
          <w:lang w:val="ro-RO"/>
        </w:rPr>
        <w:t xml:space="preserve">) Promovarea </w:t>
      </w:r>
      <w:r w:rsidR="00F1746E">
        <w:rPr>
          <w:rFonts w:cs="Times New Roman"/>
          <w:noProof/>
          <w:lang w:val="ro-RO"/>
        </w:rPr>
        <w:t xml:space="preserve">managementului </w:t>
      </w:r>
      <w:r>
        <w:rPr>
          <w:rFonts w:cs="Times New Roman"/>
          <w:noProof/>
          <w:lang w:val="ro-RO"/>
        </w:rPr>
        <w:t>durabil a</w:t>
      </w:r>
      <w:r w:rsidR="00F1746E">
        <w:rPr>
          <w:rFonts w:cs="Times New Roman"/>
          <w:noProof/>
          <w:lang w:val="ro-RO"/>
        </w:rPr>
        <w:t>l</w:t>
      </w:r>
      <w:r>
        <w:rPr>
          <w:rFonts w:cs="Times New Roman"/>
          <w:noProof/>
          <w:lang w:val="ro-RO"/>
        </w:rPr>
        <w:t xml:space="preserve"> ape</w:t>
      </w:r>
      <w:r w:rsidR="00F1746E">
        <w:rPr>
          <w:rFonts w:cs="Times New Roman"/>
          <w:noProof/>
          <w:lang w:val="ro-RO"/>
        </w:rPr>
        <w:t>i</w:t>
      </w:r>
    </w:p>
    <w:p w14:paraId="19239370" w14:textId="77777777" w:rsidR="000C7383" w:rsidRPr="008C5F1C" w:rsidRDefault="000C7383" w:rsidP="000C7383">
      <w:pPr>
        <w:pStyle w:val="Heading4"/>
        <w:numPr>
          <w:ilvl w:val="0"/>
          <w:numId w:val="0"/>
        </w:numPr>
        <w:ind w:left="851" w:hanging="851"/>
        <w:rPr>
          <w:rFonts w:cs="Times New Roman"/>
          <w:b/>
          <w:bCs/>
          <w:noProof/>
          <w:lang w:val="ro-RO"/>
        </w:rPr>
      </w:pPr>
      <w:r w:rsidRPr="008C5F1C">
        <w:rPr>
          <w:rFonts w:cs="Times New Roman"/>
          <w:b/>
          <w:bCs/>
          <w:noProof/>
          <w:lang w:val="ro-RO"/>
        </w:rPr>
        <w:t>2.A.3.1 Interventions of the Funds</w:t>
      </w:r>
    </w:p>
    <w:p w14:paraId="04DBDED2" w14:textId="77777777" w:rsidR="000C7383" w:rsidRPr="008C5F1C" w:rsidRDefault="000C7383" w:rsidP="000C7383">
      <w:pPr>
        <w:spacing w:before="120" w:after="120" w:line="360" w:lineRule="auto"/>
        <w:rPr>
          <w:rFonts w:ascii="Times New Roman" w:eastAsia="Times New Roman" w:hAnsi="Times New Roman" w:cs="Times New Roman"/>
          <w:i/>
          <w:noProof/>
          <w:sz w:val="24"/>
          <w:szCs w:val="24"/>
        </w:rPr>
      </w:pPr>
      <w:r w:rsidRPr="008C5F1C">
        <w:rPr>
          <w:rFonts w:ascii="Times New Roman" w:eastAsia="Times New Roman" w:hAnsi="Times New Roman" w:cs="Times New Roman"/>
          <w:i/>
          <w:noProof/>
          <w:sz w:val="24"/>
          <w:szCs w:val="24"/>
        </w:rPr>
        <w:t>Reference: Article 17(3)(d)(i),(iii),(iv),(v),(vi);</w:t>
      </w:r>
    </w:p>
    <w:p w14:paraId="01FFDB6F" w14:textId="77777777" w:rsidR="000C7383" w:rsidRPr="008C5F1C" w:rsidRDefault="000C7383" w:rsidP="000C7383">
      <w:pPr>
        <w:bidi/>
        <w:spacing w:before="120" w:after="120" w:line="360" w:lineRule="auto"/>
        <w:jc w:val="right"/>
        <w:rPr>
          <w:rFonts w:ascii="Times New Roman" w:eastAsia="Times New Roman" w:hAnsi="Times New Roman" w:cs="Times New Roman"/>
          <w:b/>
          <w:bCs/>
          <w:i/>
          <w:iCs/>
          <w:noProof/>
          <w:sz w:val="24"/>
          <w:szCs w:val="24"/>
          <w:u w:val="single"/>
        </w:rPr>
      </w:pPr>
      <w:r w:rsidRPr="008C5F1C">
        <w:rPr>
          <w:rFonts w:ascii="Times New Roman" w:eastAsia="Times New Roman" w:hAnsi="Times New Roman" w:cs="Times New Roman"/>
          <w:i/>
          <w:noProof/>
          <w:sz w:val="24"/>
          <w:szCs w:val="24"/>
        </w:rPr>
        <w:lastRenderedPageBreak/>
        <w:t>The related types of actions – Article 17(3)(d)(i) CPR; Article 6(2) ESF+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0C7383" w:rsidRPr="00737060" w14:paraId="54517BFE" w14:textId="77777777" w:rsidTr="00531B85">
        <w:tc>
          <w:tcPr>
            <w:tcW w:w="9288" w:type="dxa"/>
            <w:tcBorders>
              <w:top w:val="single" w:sz="4" w:space="0" w:color="auto"/>
              <w:left w:val="single" w:sz="4" w:space="0" w:color="auto"/>
              <w:bottom w:val="single" w:sz="4" w:space="0" w:color="auto"/>
              <w:right w:val="single" w:sz="4" w:space="0" w:color="auto"/>
            </w:tcBorders>
            <w:hideMark/>
          </w:tcPr>
          <w:p w14:paraId="2FCC2820" w14:textId="079AB9EE" w:rsidR="005F400E" w:rsidRPr="00737060" w:rsidRDefault="005F400E" w:rsidP="005F400E">
            <w:pPr>
              <w:spacing w:before="120" w:after="120" w:line="240" w:lineRule="auto"/>
              <w:jc w:val="both"/>
              <w:rPr>
                <w:rFonts w:ascii="Times New Roman" w:hAnsi="Times New Roman" w:cs="Times New Roman"/>
              </w:rPr>
            </w:pPr>
            <w:r w:rsidRPr="00DB74FA">
              <w:rPr>
                <w:rFonts w:ascii="Times New Roman" w:hAnsi="Times New Roman" w:cs="Times New Roman"/>
              </w:rPr>
              <w:t>Alimentarea cu apă potabilă</w:t>
            </w:r>
            <w:r w:rsidR="00DB74FA" w:rsidRPr="00DB74FA">
              <w:rPr>
                <w:rFonts w:ascii="Times New Roman" w:hAnsi="Times New Roman" w:cs="Times New Roman"/>
              </w:rPr>
              <w:t xml:space="preserve"> în regiune este asigurată de o</w:t>
            </w:r>
            <w:r w:rsidR="00DB74FA">
              <w:rPr>
                <w:rFonts w:ascii="Times New Roman" w:hAnsi="Times New Roman" w:cs="Times New Roman"/>
                <w:b/>
                <w:bCs/>
              </w:rPr>
              <w:t xml:space="preserve"> </w:t>
            </w:r>
            <w:r w:rsidR="00DB74FA" w:rsidRPr="00DB74FA">
              <w:rPr>
                <w:rFonts w:ascii="Times New Roman" w:hAnsi="Times New Roman" w:cs="Times New Roman"/>
              </w:rPr>
              <w:t xml:space="preserve">rețea </w:t>
            </w:r>
            <w:r w:rsidR="000428A2">
              <w:rPr>
                <w:rFonts w:ascii="Times New Roman" w:hAnsi="Times New Roman" w:cs="Times New Roman"/>
              </w:rPr>
              <w:t xml:space="preserve">cu o lungime totală </w:t>
            </w:r>
            <w:r w:rsidRPr="00737060">
              <w:rPr>
                <w:rFonts w:ascii="Times New Roman" w:hAnsi="Times New Roman" w:cs="Times New Roman"/>
              </w:rPr>
              <w:t xml:space="preserve">de 12.767,9 km în anul 2017, reprezentând 15,55% din rețeaua națională (82.090,4 km). Rețeaua s-a extins în perioada 2012-2017 cu 18,73% la nivelul regiunii. La nivel național, în același interval de timp, rețeaua s-a extins cu 20,19%. </w:t>
            </w:r>
          </w:p>
          <w:p w14:paraId="462C3242" w14:textId="77777777" w:rsidR="005F400E" w:rsidRPr="00737060" w:rsidRDefault="005F400E" w:rsidP="005F400E">
            <w:pPr>
              <w:spacing w:before="120" w:after="120" w:line="240" w:lineRule="auto"/>
              <w:jc w:val="both"/>
              <w:rPr>
                <w:rFonts w:ascii="Times New Roman" w:hAnsi="Times New Roman" w:cs="Times New Roman"/>
              </w:rPr>
            </w:pPr>
            <w:r w:rsidRPr="00737060">
              <w:rPr>
                <w:rFonts w:ascii="Times New Roman" w:hAnsi="Times New Roman" w:cs="Times New Roman"/>
              </w:rPr>
              <w:t>La nivel regional la cei doi poli opuși se află județul Bistrița-Năsăud, unde în acești 6 ani lungimea totală a conductelor a crescut cu 33,54%, și județul Cluj unde s-a înregistrat o creștere de doar 6,49%.</w:t>
            </w:r>
          </w:p>
          <w:p w14:paraId="2890F7A1" w14:textId="77777777" w:rsidR="005F400E" w:rsidRPr="00737060" w:rsidRDefault="005F400E" w:rsidP="005F400E">
            <w:pPr>
              <w:spacing w:before="120" w:after="120" w:line="240" w:lineRule="auto"/>
              <w:jc w:val="both"/>
              <w:rPr>
                <w:rFonts w:ascii="Times New Roman" w:hAnsi="Times New Roman" w:cs="Times New Roman"/>
              </w:rPr>
            </w:pPr>
            <w:r w:rsidRPr="00737060">
              <w:rPr>
                <w:rFonts w:ascii="Times New Roman" w:hAnsi="Times New Roman" w:cs="Times New Roman"/>
              </w:rPr>
              <w:t xml:space="preserve">În anul 2017, numărul localităților cu rețea de distribuție a apei potabile din Regiunea Nord-Vest a fost de 405, însemnând 15,98% din totalul localităților alimentate cu apă la nivel național. </w:t>
            </w:r>
          </w:p>
          <w:p w14:paraId="5C78934F" w14:textId="77777777" w:rsidR="005F400E" w:rsidRPr="00737060" w:rsidRDefault="005F400E" w:rsidP="005F400E">
            <w:pPr>
              <w:spacing w:before="120" w:after="120" w:line="240" w:lineRule="auto"/>
              <w:jc w:val="both"/>
              <w:rPr>
                <w:rFonts w:ascii="Times New Roman" w:hAnsi="Times New Roman" w:cs="Times New Roman"/>
              </w:rPr>
            </w:pPr>
            <w:r w:rsidRPr="00737060">
              <w:rPr>
                <w:rFonts w:ascii="Times New Roman" w:hAnsi="Times New Roman" w:cs="Times New Roman"/>
              </w:rPr>
              <w:t xml:space="preserve">Pe medii de rezidență, în Regiunea Nord-Vest toate localitățile din mediul urban sunt alimentate cu apă, la nivel național procentul fiind de 99,06%. </w:t>
            </w:r>
          </w:p>
          <w:p w14:paraId="18B823E7" w14:textId="77777777" w:rsidR="005F400E" w:rsidRPr="00737060" w:rsidRDefault="005F400E" w:rsidP="005F400E">
            <w:pPr>
              <w:spacing w:before="120" w:after="120" w:line="240" w:lineRule="auto"/>
              <w:jc w:val="both"/>
              <w:rPr>
                <w:rFonts w:ascii="Times New Roman" w:hAnsi="Times New Roman" w:cs="Times New Roman"/>
              </w:rPr>
            </w:pPr>
            <w:r w:rsidRPr="00737060">
              <w:rPr>
                <w:rFonts w:ascii="Times New Roman" w:hAnsi="Times New Roman" w:cs="Times New Roman"/>
              </w:rPr>
              <w:t>Referitor la spațiul rural 89,83% dintre localitățile din Regiunea Nord-Vest au rețea de distribuție, regiunea din acest punct de vedere fiind peste media națională de 77,49%.</w:t>
            </w:r>
          </w:p>
          <w:p w14:paraId="2C320380" w14:textId="53E162A4" w:rsidR="005F400E" w:rsidRPr="00737060" w:rsidRDefault="005F400E" w:rsidP="005F400E">
            <w:pPr>
              <w:spacing w:before="120" w:after="120" w:line="240" w:lineRule="auto"/>
              <w:jc w:val="both"/>
              <w:rPr>
                <w:rFonts w:ascii="Times New Roman" w:hAnsi="Times New Roman" w:cs="Times New Roman"/>
              </w:rPr>
            </w:pPr>
            <w:r w:rsidRPr="000428A2">
              <w:rPr>
                <w:rFonts w:ascii="Times New Roman" w:hAnsi="Times New Roman" w:cs="Times New Roman"/>
              </w:rPr>
              <w:t xml:space="preserve">Rețeaua de canalizare </w:t>
            </w:r>
            <w:r w:rsidRPr="00737060">
              <w:rPr>
                <w:rFonts w:ascii="Times New Roman" w:hAnsi="Times New Roman" w:cs="Times New Roman"/>
              </w:rPr>
              <w:t xml:space="preserve">din Regiunea Nord-Vest </w:t>
            </w:r>
            <w:r w:rsidR="000428A2">
              <w:rPr>
                <w:rFonts w:ascii="Times New Roman" w:hAnsi="Times New Roman" w:cs="Times New Roman"/>
              </w:rPr>
              <w:t>însumează</w:t>
            </w:r>
            <w:r w:rsidRPr="00737060">
              <w:rPr>
                <w:rFonts w:ascii="Times New Roman" w:hAnsi="Times New Roman" w:cs="Times New Roman"/>
              </w:rPr>
              <w:t xml:space="preserve"> 6.278,2 km în anul 2018, reprezentând 16,33% din rețeaua națională. În perioada 2012-2018, lungimea totală simplă a conductelor de canalizare s-a extins la nivel regional cu 60,29%, superior creșterii la nivel național (55,10%).</w:t>
            </w:r>
          </w:p>
          <w:p w14:paraId="50AF5342" w14:textId="042E221B" w:rsidR="005F400E" w:rsidRPr="00737060" w:rsidRDefault="005F400E" w:rsidP="005F400E">
            <w:pPr>
              <w:spacing w:before="120" w:after="120" w:line="240" w:lineRule="auto"/>
              <w:jc w:val="both"/>
              <w:rPr>
                <w:rFonts w:ascii="Times New Roman" w:hAnsi="Times New Roman" w:cs="Times New Roman"/>
              </w:rPr>
            </w:pPr>
            <w:r w:rsidRPr="00737060">
              <w:rPr>
                <w:rFonts w:ascii="Times New Roman" w:hAnsi="Times New Roman" w:cs="Times New Roman"/>
              </w:rPr>
              <w:t>Numărul localităților conectate la sistemul public de canalizare din Regiunea Nord-Vest a fost de 229 (43 din mediul urban și 186 din mediul rural) în anul 2018, crescând comparativ cu anul 2012 cu încă 92  localități. Toate orașele din Regiunea Nord-Vest sunt conectate la sisteme publice de canalizare. În mediul rural numărul localităților conectate la sistemul public de canalizare a crescut cu 95,79% între 2012 și 2018. Astfel Regiunea a ajuns să deservească doar 46,15% din totalul localităților cu rețea de canalizare publică din regiune. Sălajul este județ cu cea mai slabă conectare unde doar 25% din localități din mediul rural au acces la acest serviciu. Județul Cluj este pe primul loc însă cu 64 % din localități din mediul rural conectate la sistemul public de canalizare.</w:t>
            </w:r>
          </w:p>
          <w:p w14:paraId="7119EAE2" w14:textId="77777777" w:rsidR="005F400E" w:rsidRPr="00737060" w:rsidRDefault="005F400E" w:rsidP="005F400E">
            <w:pPr>
              <w:spacing w:before="120" w:after="120" w:line="240" w:lineRule="auto"/>
              <w:jc w:val="both"/>
              <w:rPr>
                <w:rFonts w:ascii="Times New Roman" w:hAnsi="Times New Roman" w:cs="Times New Roman"/>
              </w:rPr>
            </w:pPr>
            <w:r w:rsidRPr="00737060">
              <w:rPr>
                <w:rFonts w:ascii="Times New Roman" w:hAnsi="Times New Roman" w:cs="Times New Roman"/>
              </w:rPr>
              <w:t>Populația deservită de sisteme de canalizare din regiune în 2018 fost de 1.324.165 persoane cu 12,59% mai mult față de numărul locuitorilor deserviți în 2012. Acest număr reprezintă 51,71% din populația regiunii și 6,78% din populația țării. Rata populației deservite de sistemul de canalizare din regiune este aproape de rata populației deservite de sistemul de canalizare la nivel național (52,7%).</w:t>
            </w:r>
          </w:p>
          <w:p w14:paraId="0A54CD20" w14:textId="377605B8" w:rsidR="005F400E" w:rsidRPr="00737060" w:rsidRDefault="005F400E" w:rsidP="005F400E">
            <w:pPr>
              <w:spacing w:before="120" w:after="120" w:line="240" w:lineRule="auto"/>
              <w:jc w:val="both"/>
              <w:rPr>
                <w:rFonts w:ascii="Times New Roman" w:hAnsi="Times New Roman" w:cs="Times New Roman"/>
              </w:rPr>
            </w:pPr>
            <w:r w:rsidRPr="00737060">
              <w:rPr>
                <w:rFonts w:ascii="Times New Roman" w:hAnsi="Times New Roman" w:cs="Times New Roman"/>
              </w:rPr>
              <w:t>În regiune 24.134 persoane care sunt conectate la sisteme de canalizare fără epurare ce reprezintă 0,0182% din total conectați la sistem de canalizare, pe plan național acest procent se ridică la 0,0265%.</w:t>
            </w:r>
            <w:r w:rsidRPr="00737060">
              <w:rPr>
                <w:rFonts w:ascii="Times New Roman" w:hAnsi="Times New Roman" w:cs="Times New Roman"/>
                <w:b/>
                <w:bCs/>
              </w:rPr>
              <w:t xml:space="preserve"> </w:t>
            </w:r>
            <w:r w:rsidRPr="00737060">
              <w:rPr>
                <w:rFonts w:ascii="Times New Roman" w:hAnsi="Times New Roman" w:cs="Times New Roman"/>
              </w:rPr>
              <w:t>Sistemele de canalizare fără epurare reprezintă acele sisteme care permit evacuarea apelor convențional curate (apele meteorice provenite din precipitații atmosferice de exemplu), fiind caracteristice rețelelor de tip separativ.</w:t>
            </w:r>
          </w:p>
          <w:p w14:paraId="0352C343" w14:textId="6E9D0FB6" w:rsidR="005F400E" w:rsidRPr="00737060" w:rsidRDefault="000428A2" w:rsidP="005F400E">
            <w:pPr>
              <w:spacing w:before="120" w:after="120" w:line="240" w:lineRule="auto"/>
              <w:jc w:val="both"/>
              <w:rPr>
                <w:rFonts w:ascii="Times New Roman" w:hAnsi="Times New Roman" w:cs="Times New Roman"/>
              </w:rPr>
            </w:pPr>
            <w:r>
              <w:rPr>
                <w:rFonts w:ascii="Times New Roman" w:hAnsi="Times New Roman" w:cs="Times New Roman"/>
              </w:rPr>
              <w:t>La nivelul anului</w:t>
            </w:r>
            <w:r w:rsidR="005F400E" w:rsidRPr="00737060">
              <w:rPr>
                <w:rFonts w:ascii="Times New Roman" w:hAnsi="Times New Roman" w:cs="Times New Roman"/>
              </w:rPr>
              <w:t xml:space="preserve"> </w:t>
            </w:r>
            <w:r>
              <w:rPr>
                <w:rFonts w:ascii="Times New Roman" w:hAnsi="Times New Roman" w:cs="Times New Roman"/>
              </w:rPr>
              <w:t xml:space="preserve">2019, în </w:t>
            </w:r>
            <w:r w:rsidR="005F400E" w:rsidRPr="00737060">
              <w:rPr>
                <w:rFonts w:ascii="Times New Roman" w:hAnsi="Times New Roman" w:cs="Times New Roman"/>
              </w:rPr>
              <w:t>Regiunea Nord-Vest există 7 asociații de dezvoltare intercomunitară (ADI) în domeniul apă-canal, care au delegat gestiunea serviciilor aferente operatorilor regionali:</w:t>
            </w:r>
            <w:r w:rsidR="0016447E">
              <w:rPr>
                <w:rFonts w:ascii="Times New Roman" w:hAnsi="Times New Roman" w:cs="Times New Roman"/>
              </w:rPr>
              <w:t xml:space="preserve"> </w:t>
            </w:r>
            <w:r w:rsidR="005F400E" w:rsidRPr="00737060">
              <w:rPr>
                <w:rFonts w:ascii="Times New Roman" w:hAnsi="Times New Roman" w:cs="Times New Roman"/>
              </w:rPr>
              <w:t xml:space="preserve">Apă Canal Nord Vest SA (BH), Compania de apă Oradea SA (BH), </w:t>
            </w:r>
            <w:proofErr w:type="spellStart"/>
            <w:r w:rsidR="005F400E" w:rsidRPr="00737060">
              <w:rPr>
                <w:rFonts w:ascii="Times New Roman" w:hAnsi="Times New Roman" w:cs="Times New Roman"/>
              </w:rPr>
              <w:t>Aquabis</w:t>
            </w:r>
            <w:proofErr w:type="spellEnd"/>
            <w:r w:rsidR="005F400E" w:rsidRPr="00737060">
              <w:rPr>
                <w:rFonts w:ascii="Times New Roman" w:hAnsi="Times New Roman" w:cs="Times New Roman"/>
              </w:rPr>
              <w:t xml:space="preserve"> SA (BN), Compania de apă Someș SA (CJ, SJ), Compania de apă Arieș (CJ), Vital SA (MM), </w:t>
            </w:r>
            <w:proofErr w:type="spellStart"/>
            <w:r w:rsidR="005F400E" w:rsidRPr="00737060">
              <w:rPr>
                <w:rFonts w:ascii="Times New Roman" w:hAnsi="Times New Roman" w:cs="Times New Roman"/>
              </w:rPr>
              <w:t>Apaserv</w:t>
            </w:r>
            <w:proofErr w:type="spellEnd"/>
            <w:r w:rsidR="005F400E" w:rsidRPr="00737060">
              <w:rPr>
                <w:rFonts w:ascii="Times New Roman" w:hAnsi="Times New Roman" w:cs="Times New Roman"/>
              </w:rPr>
              <w:t xml:space="preserve"> (SM).</w:t>
            </w:r>
          </w:p>
          <w:p w14:paraId="02FF16A7" w14:textId="2010EDF3" w:rsidR="001E3E11" w:rsidRPr="001E3E11" w:rsidRDefault="001E3E11" w:rsidP="001E3E11">
            <w:pPr>
              <w:pStyle w:val="Default"/>
              <w:jc w:val="both"/>
              <w:rPr>
                <w:rFonts w:ascii="Times New Roman" w:hAnsi="Times New Roman" w:cs="Times New Roman"/>
                <w:sz w:val="23"/>
                <w:szCs w:val="23"/>
                <w:lang w:val="ro-RO"/>
              </w:rPr>
            </w:pPr>
            <w:r w:rsidRPr="001E3E11">
              <w:rPr>
                <w:rFonts w:ascii="Times New Roman" w:hAnsi="Times New Roman" w:cs="Times New Roman"/>
                <w:sz w:val="23"/>
                <w:szCs w:val="23"/>
                <w:lang w:val="ro-RO"/>
              </w:rPr>
              <w:t xml:space="preserve">Investițiile vor viza îndeplinirea </w:t>
            </w:r>
            <w:proofErr w:type="spellStart"/>
            <w:r w:rsidRPr="001E3E11">
              <w:rPr>
                <w:rFonts w:ascii="Times New Roman" w:hAnsi="Times New Roman" w:cs="Times New Roman"/>
                <w:sz w:val="23"/>
                <w:szCs w:val="23"/>
                <w:lang w:val="ro-RO"/>
              </w:rPr>
              <w:t>obligaţiilor</w:t>
            </w:r>
            <w:proofErr w:type="spellEnd"/>
            <w:r w:rsidRPr="001E3E11">
              <w:rPr>
                <w:rFonts w:ascii="Times New Roman" w:hAnsi="Times New Roman" w:cs="Times New Roman"/>
                <w:sz w:val="23"/>
                <w:szCs w:val="23"/>
                <w:lang w:val="ro-RO"/>
              </w:rPr>
              <w:t xml:space="preserve"> ce rezultă din Tratatul de Aderare care răspund Directivei nr. 98/83/CE privind calitatea apei destinate consumului uman </w:t>
            </w:r>
            <w:proofErr w:type="spellStart"/>
            <w:r w:rsidRPr="001E3E11">
              <w:rPr>
                <w:rFonts w:ascii="Times New Roman" w:hAnsi="Times New Roman" w:cs="Times New Roman"/>
                <w:sz w:val="23"/>
                <w:szCs w:val="23"/>
                <w:lang w:val="ro-RO"/>
              </w:rPr>
              <w:t>şi</w:t>
            </w:r>
            <w:proofErr w:type="spellEnd"/>
            <w:r w:rsidRPr="001E3E11">
              <w:rPr>
                <w:rFonts w:ascii="Times New Roman" w:hAnsi="Times New Roman" w:cs="Times New Roman"/>
                <w:sz w:val="23"/>
                <w:szCs w:val="23"/>
                <w:lang w:val="ro-RO"/>
              </w:rPr>
              <w:t xml:space="preserve"> Directivei nr. 91/271/CEE privind colectarea </w:t>
            </w:r>
            <w:proofErr w:type="spellStart"/>
            <w:r w:rsidRPr="001E3E11">
              <w:rPr>
                <w:rFonts w:ascii="Times New Roman" w:hAnsi="Times New Roman" w:cs="Times New Roman"/>
                <w:sz w:val="23"/>
                <w:szCs w:val="23"/>
                <w:lang w:val="ro-RO"/>
              </w:rPr>
              <w:t>şi</w:t>
            </w:r>
            <w:proofErr w:type="spellEnd"/>
            <w:r w:rsidRPr="001E3E11">
              <w:rPr>
                <w:rFonts w:ascii="Times New Roman" w:hAnsi="Times New Roman" w:cs="Times New Roman"/>
                <w:sz w:val="23"/>
                <w:szCs w:val="23"/>
                <w:lang w:val="ro-RO"/>
              </w:rPr>
              <w:t xml:space="preserve"> epurarea apelor uzate, pentru care România a primit perioade de </w:t>
            </w:r>
            <w:proofErr w:type="spellStart"/>
            <w:r w:rsidRPr="001E3E11">
              <w:rPr>
                <w:rFonts w:ascii="Times New Roman" w:hAnsi="Times New Roman" w:cs="Times New Roman"/>
                <w:sz w:val="23"/>
                <w:szCs w:val="23"/>
                <w:lang w:val="ro-RO"/>
              </w:rPr>
              <w:t>tranziţie</w:t>
            </w:r>
            <w:proofErr w:type="spellEnd"/>
            <w:r w:rsidRPr="001E3E11">
              <w:rPr>
                <w:rFonts w:ascii="Times New Roman" w:hAnsi="Times New Roman" w:cs="Times New Roman"/>
                <w:sz w:val="23"/>
                <w:szCs w:val="23"/>
                <w:lang w:val="ro-RO"/>
              </w:rPr>
              <w:t xml:space="preserve"> în vederea conformării, cu prioritate in zonele periurbane aflate in proximitatea marilor </w:t>
            </w:r>
            <w:proofErr w:type="spellStart"/>
            <w:r w:rsidRPr="001E3E11">
              <w:rPr>
                <w:rFonts w:ascii="Times New Roman" w:hAnsi="Times New Roman" w:cs="Times New Roman"/>
                <w:sz w:val="23"/>
                <w:szCs w:val="23"/>
                <w:lang w:val="ro-RO"/>
              </w:rPr>
              <w:t>aglomerari</w:t>
            </w:r>
            <w:proofErr w:type="spellEnd"/>
            <w:r w:rsidRPr="001E3E11">
              <w:rPr>
                <w:rFonts w:ascii="Times New Roman" w:hAnsi="Times New Roman" w:cs="Times New Roman"/>
                <w:sz w:val="23"/>
                <w:szCs w:val="23"/>
                <w:lang w:val="ro-RO"/>
              </w:rPr>
              <w:t xml:space="preserve"> urbane.</w:t>
            </w:r>
          </w:p>
          <w:p w14:paraId="60B4FA32" w14:textId="51A4B50E" w:rsidR="005F400E" w:rsidRPr="00737060" w:rsidRDefault="005F400E" w:rsidP="005F400E">
            <w:pPr>
              <w:spacing w:before="120" w:after="120" w:line="240" w:lineRule="auto"/>
              <w:jc w:val="both"/>
              <w:rPr>
                <w:rFonts w:ascii="Times New Roman" w:hAnsi="Times New Roman" w:cs="Times New Roman"/>
              </w:rPr>
            </w:pPr>
            <w:proofErr w:type="spellStart"/>
            <w:r w:rsidRPr="00737060">
              <w:rPr>
                <w:rFonts w:ascii="Times New Roman" w:hAnsi="Times New Roman" w:cs="Times New Roman"/>
              </w:rPr>
              <w:t>Tinand</w:t>
            </w:r>
            <w:proofErr w:type="spellEnd"/>
            <w:r w:rsidRPr="00737060">
              <w:rPr>
                <w:rFonts w:ascii="Times New Roman" w:hAnsi="Times New Roman" w:cs="Times New Roman"/>
              </w:rPr>
              <w:t xml:space="preserve"> cont de cele de mai sus se vor </w:t>
            </w:r>
            <w:proofErr w:type="spellStart"/>
            <w:r w:rsidRPr="00737060">
              <w:rPr>
                <w:rFonts w:ascii="Times New Roman" w:hAnsi="Times New Roman" w:cs="Times New Roman"/>
              </w:rPr>
              <w:t>finanta</w:t>
            </w:r>
            <w:proofErr w:type="spellEnd"/>
            <w:r w:rsidRPr="00737060">
              <w:rPr>
                <w:rFonts w:ascii="Times New Roman" w:hAnsi="Times New Roman" w:cs="Times New Roman"/>
              </w:rPr>
              <w:t xml:space="preserve"> cu prioritate </w:t>
            </w:r>
            <w:proofErr w:type="spellStart"/>
            <w:r w:rsidRPr="00737060">
              <w:rPr>
                <w:rFonts w:ascii="Times New Roman" w:hAnsi="Times New Roman" w:cs="Times New Roman"/>
              </w:rPr>
              <w:t>urmatoarele</w:t>
            </w:r>
            <w:proofErr w:type="spellEnd"/>
            <w:r w:rsidRPr="00737060">
              <w:rPr>
                <w:rFonts w:ascii="Times New Roman" w:hAnsi="Times New Roman" w:cs="Times New Roman"/>
              </w:rPr>
              <w:t xml:space="preserve"> tipuri de </w:t>
            </w:r>
            <w:proofErr w:type="spellStart"/>
            <w:r w:rsidRPr="00737060">
              <w:rPr>
                <w:rFonts w:ascii="Times New Roman" w:hAnsi="Times New Roman" w:cs="Times New Roman"/>
              </w:rPr>
              <w:t>actiuni</w:t>
            </w:r>
            <w:proofErr w:type="spellEnd"/>
            <w:r w:rsidRPr="00737060">
              <w:rPr>
                <w:rFonts w:ascii="Times New Roman" w:hAnsi="Times New Roman" w:cs="Times New Roman"/>
              </w:rPr>
              <w:t>:</w:t>
            </w:r>
          </w:p>
          <w:p w14:paraId="540EBC0F" w14:textId="73190801" w:rsidR="000C7383" w:rsidRPr="00737060" w:rsidRDefault="000C7383" w:rsidP="000C7383">
            <w:pPr>
              <w:spacing w:after="0" w:line="240" w:lineRule="auto"/>
              <w:rPr>
                <w:rFonts w:ascii="Times New Roman" w:hAnsi="Times New Roman" w:cs="Times New Roman"/>
                <w:b/>
                <w:bCs/>
              </w:rPr>
            </w:pPr>
            <w:r w:rsidRPr="00737060">
              <w:rPr>
                <w:rFonts w:ascii="Times New Roman" w:hAnsi="Times New Roman" w:cs="Times New Roman"/>
                <w:b/>
                <w:bCs/>
              </w:rPr>
              <w:t xml:space="preserve">a) Dezvoltarea </w:t>
            </w:r>
            <w:r w:rsidR="00232B50" w:rsidRPr="00737060">
              <w:rPr>
                <w:rFonts w:ascii="Times New Roman" w:hAnsi="Times New Roman" w:cs="Times New Roman"/>
                <w:b/>
                <w:bCs/>
              </w:rPr>
              <w:t>infrastructurii edilitare</w:t>
            </w:r>
            <w:r w:rsidR="00991CC5" w:rsidRPr="00737060">
              <w:rPr>
                <w:rFonts w:ascii="Times New Roman" w:hAnsi="Times New Roman" w:cs="Times New Roman"/>
                <w:b/>
                <w:bCs/>
              </w:rPr>
              <w:t>,</w:t>
            </w:r>
            <w:r w:rsidR="00855C06" w:rsidRPr="00737060">
              <w:rPr>
                <w:rFonts w:ascii="Times New Roman" w:hAnsi="Times New Roman" w:cs="Times New Roman"/>
                <w:b/>
                <w:bCs/>
              </w:rPr>
              <w:t xml:space="preserve"> de tip apă și apă uzată î</w:t>
            </w:r>
            <w:r w:rsidRPr="00737060">
              <w:rPr>
                <w:rFonts w:ascii="Times New Roman" w:hAnsi="Times New Roman" w:cs="Times New Roman"/>
                <w:b/>
                <w:bCs/>
              </w:rPr>
              <w:t>n zone</w:t>
            </w:r>
            <w:r w:rsidR="005C3467" w:rsidRPr="00737060">
              <w:rPr>
                <w:rFonts w:ascii="Times New Roman" w:hAnsi="Times New Roman" w:cs="Times New Roman"/>
                <w:b/>
                <w:bCs/>
              </w:rPr>
              <w:t>le urbane func</w:t>
            </w:r>
            <w:r w:rsidR="00855C06" w:rsidRPr="00737060">
              <w:rPr>
                <w:rFonts w:ascii="Times New Roman" w:hAnsi="Times New Roman" w:cs="Times New Roman"/>
                <w:b/>
                <w:bCs/>
              </w:rPr>
              <w:t>ț</w:t>
            </w:r>
            <w:r w:rsidR="005C3467" w:rsidRPr="00737060">
              <w:rPr>
                <w:rFonts w:ascii="Times New Roman" w:hAnsi="Times New Roman" w:cs="Times New Roman"/>
                <w:b/>
                <w:bCs/>
              </w:rPr>
              <w:t xml:space="preserve">ionale, inclusiv </w:t>
            </w:r>
            <w:r w:rsidR="00855C06" w:rsidRPr="00737060">
              <w:rPr>
                <w:rFonts w:ascii="Times New Roman" w:hAnsi="Times New Roman" w:cs="Times New Roman"/>
                <w:b/>
                <w:bCs/>
              </w:rPr>
              <w:t>î</w:t>
            </w:r>
            <w:r w:rsidR="005C3467" w:rsidRPr="00737060">
              <w:rPr>
                <w:rFonts w:ascii="Times New Roman" w:hAnsi="Times New Roman" w:cs="Times New Roman"/>
                <w:b/>
                <w:bCs/>
              </w:rPr>
              <w:t xml:space="preserve">n zonele periurbane </w:t>
            </w:r>
          </w:p>
        </w:tc>
      </w:tr>
    </w:tbl>
    <w:p w14:paraId="550E925E" w14:textId="77777777" w:rsidR="000C7383" w:rsidRPr="008C5F1C" w:rsidRDefault="000C7383" w:rsidP="000C7383">
      <w:pPr>
        <w:spacing w:before="120" w:after="120" w:line="360" w:lineRule="auto"/>
        <w:rPr>
          <w:rFonts w:ascii="Times New Roman" w:eastAsia="Times New Roman" w:hAnsi="Times New Roman" w:cs="Times New Roman"/>
          <w:b/>
          <w:i/>
          <w:iCs/>
          <w:noProof/>
          <w:sz w:val="24"/>
          <w:szCs w:val="24"/>
        </w:rPr>
      </w:pPr>
      <w:r w:rsidRPr="008C5F1C">
        <w:rPr>
          <w:rFonts w:ascii="Times New Roman" w:eastAsia="Times New Roman" w:hAnsi="Times New Roman" w:cs="Times New Roman"/>
          <w:i/>
          <w:noProof/>
          <w:sz w:val="24"/>
          <w:szCs w:val="24"/>
        </w:rPr>
        <w:t>The main target groups - Article 17(3)(d)(iii):</w:t>
      </w:r>
    </w:p>
    <w:p w14:paraId="2B120AD9" w14:textId="46BD59D6" w:rsidR="000C7383" w:rsidRDefault="000C7383" w:rsidP="001E3E11">
      <w:pPr>
        <w:pBdr>
          <w:top w:val="single" w:sz="4" w:space="1" w:color="auto"/>
          <w:left w:val="single" w:sz="4" w:space="4" w:color="auto"/>
          <w:bottom w:val="single" w:sz="4" w:space="1" w:color="auto"/>
          <w:right w:val="single" w:sz="4" w:space="4" w:color="auto"/>
        </w:pBdr>
        <w:spacing w:after="120" w:line="240" w:lineRule="auto"/>
        <w:rPr>
          <w:rFonts w:ascii="Times New Roman" w:eastAsia="Times New Roman" w:hAnsi="Times New Roman" w:cs="Times New Roman"/>
          <w:i/>
          <w:iCs/>
          <w:noProof/>
          <w:sz w:val="24"/>
          <w:szCs w:val="24"/>
        </w:rPr>
      </w:pPr>
      <w:r w:rsidRPr="008C5F1C">
        <w:rPr>
          <w:rFonts w:ascii="Times New Roman" w:eastAsia="Times New Roman" w:hAnsi="Times New Roman" w:cs="Times New Roman"/>
          <w:i/>
          <w:iCs/>
          <w:noProof/>
          <w:sz w:val="24"/>
          <w:szCs w:val="24"/>
        </w:rPr>
        <w:lastRenderedPageBreak/>
        <w:t>Populația din mediul urban</w:t>
      </w:r>
      <w:r>
        <w:rPr>
          <w:rFonts w:ascii="Times New Roman" w:eastAsia="Times New Roman" w:hAnsi="Times New Roman" w:cs="Times New Roman"/>
          <w:i/>
          <w:iCs/>
          <w:noProof/>
          <w:sz w:val="24"/>
          <w:szCs w:val="24"/>
        </w:rPr>
        <w:t xml:space="preserve"> si din zonele urbane functionale</w:t>
      </w:r>
      <w:r w:rsidR="001E3E11">
        <w:rPr>
          <w:rFonts w:ascii="Times New Roman" w:eastAsia="Times New Roman" w:hAnsi="Times New Roman" w:cs="Times New Roman"/>
          <w:i/>
          <w:iCs/>
          <w:noProof/>
          <w:sz w:val="24"/>
          <w:szCs w:val="24"/>
        </w:rPr>
        <w:t xml:space="preserve"> </w:t>
      </w:r>
    </w:p>
    <w:p w14:paraId="64EE457C" w14:textId="7793DDDB" w:rsidR="001E3E11" w:rsidRDefault="001E3E11" w:rsidP="001E3E11">
      <w:pPr>
        <w:pBdr>
          <w:top w:val="single" w:sz="4" w:space="1" w:color="auto"/>
          <w:left w:val="single" w:sz="4" w:space="4" w:color="auto"/>
          <w:bottom w:val="single" w:sz="4" w:space="1" w:color="auto"/>
          <w:right w:val="single" w:sz="4" w:space="4" w:color="auto"/>
        </w:pBdr>
        <w:spacing w:after="120" w:line="240" w:lineRule="auto"/>
        <w:rPr>
          <w:rFonts w:ascii="Times New Roman" w:eastAsia="Times New Roman" w:hAnsi="Times New Roman" w:cs="Times New Roman"/>
          <w:i/>
          <w:iCs/>
          <w:noProof/>
          <w:sz w:val="24"/>
          <w:szCs w:val="24"/>
        </w:rPr>
      </w:pPr>
      <w:r>
        <w:rPr>
          <w:rFonts w:ascii="Times New Roman" w:eastAsia="Times New Roman" w:hAnsi="Times New Roman" w:cs="Times New Roman"/>
          <w:i/>
          <w:iCs/>
          <w:noProof/>
          <w:sz w:val="24"/>
          <w:szCs w:val="24"/>
        </w:rPr>
        <w:t>P</w:t>
      </w:r>
      <w:r w:rsidRPr="001E3E11">
        <w:rPr>
          <w:rFonts w:ascii="Times New Roman" w:eastAsia="Times New Roman" w:hAnsi="Times New Roman" w:cs="Times New Roman"/>
          <w:i/>
          <w:iCs/>
          <w:noProof/>
          <w:sz w:val="24"/>
          <w:szCs w:val="24"/>
        </w:rPr>
        <w:t>opulați</w:t>
      </w:r>
      <w:r>
        <w:rPr>
          <w:rFonts w:ascii="Times New Roman" w:eastAsia="Times New Roman" w:hAnsi="Times New Roman" w:cs="Times New Roman"/>
          <w:i/>
          <w:iCs/>
          <w:noProof/>
          <w:sz w:val="24"/>
          <w:szCs w:val="24"/>
        </w:rPr>
        <w:t>a</w:t>
      </w:r>
      <w:r w:rsidRPr="001E3E11">
        <w:rPr>
          <w:rFonts w:ascii="Times New Roman" w:eastAsia="Times New Roman" w:hAnsi="Times New Roman" w:cs="Times New Roman"/>
          <w:i/>
          <w:iCs/>
          <w:noProof/>
          <w:sz w:val="24"/>
          <w:szCs w:val="24"/>
        </w:rPr>
        <w:t xml:space="preserve"> conectată la rețeaua îmbunătățită de apă </w:t>
      </w:r>
    </w:p>
    <w:p w14:paraId="692C4826" w14:textId="3B33BC8A" w:rsidR="001E3E11" w:rsidRPr="008C5F1C" w:rsidRDefault="001E3E11" w:rsidP="001E3E11">
      <w:pPr>
        <w:pBdr>
          <w:top w:val="single" w:sz="4" w:space="1" w:color="auto"/>
          <w:left w:val="single" w:sz="4" w:space="4" w:color="auto"/>
          <w:bottom w:val="single" w:sz="4" w:space="1" w:color="auto"/>
          <w:right w:val="single" w:sz="4" w:space="4" w:color="auto"/>
        </w:pBdr>
        <w:spacing w:after="120" w:line="240" w:lineRule="auto"/>
        <w:rPr>
          <w:rFonts w:ascii="Times New Roman" w:eastAsia="Times New Roman" w:hAnsi="Times New Roman" w:cs="Times New Roman"/>
          <w:i/>
          <w:iCs/>
          <w:noProof/>
          <w:sz w:val="24"/>
          <w:szCs w:val="24"/>
        </w:rPr>
      </w:pPr>
      <w:r>
        <w:rPr>
          <w:rFonts w:ascii="Times New Roman" w:eastAsia="Times New Roman" w:hAnsi="Times New Roman" w:cs="Times New Roman"/>
          <w:i/>
          <w:iCs/>
          <w:noProof/>
          <w:sz w:val="24"/>
          <w:szCs w:val="24"/>
        </w:rPr>
        <w:t>P</w:t>
      </w:r>
      <w:r w:rsidRPr="001E3E11">
        <w:rPr>
          <w:rFonts w:ascii="Times New Roman" w:eastAsia="Times New Roman" w:hAnsi="Times New Roman" w:cs="Times New Roman"/>
          <w:i/>
          <w:iCs/>
          <w:noProof/>
          <w:sz w:val="24"/>
          <w:szCs w:val="24"/>
        </w:rPr>
        <w:t>opulați</w:t>
      </w:r>
      <w:r>
        <w:rPr>
          <w:rFonts w:ascii="Times New Roman" w:eastAsia="Times New Roman" w:hAnsi="Times New Roman" w:cs="Times New Roman"/>
          <w:i/>
          <w:iCs/>
          <w:noProof/>
          <w:sz w:val="24"/>
          <w:szCs w:val="24"/>
        </w:rPr>
        <w:t>a</w:t>
      </w:r>
      <w:r w:rsidRPr="001E3E11">
        <w:rPr>
          <w:rFonts w:ascii="Times New Roman" w:eastAsia="Times New Roman" w:hAnsi="Times New Roman" w:cs="Times New Roman"/>
          <w:i/>
          <w:iCs/>
          <w:noProof/>
          <w:sz w:val="24"/>
          <w:szCs w:val="24"/>
        </w:rPr>
        <w:t xml:space="preserve"> conectată la rețeaua de canalizare</w:t>
      </w:r>
    </w:p>
    <w:p w14:paraId="6E36F37B" w14:textId="77777777" w:rsidR="000C7383" w:rsidRPr="008C5F1C" w:rsidRDefault="000C7383" w:rsidP="000C7383">
      <w:pPr>
        <w:spacing w:before="120" w:after="120" w:line="360" w:lineRule="auto"/>
        <w:rPr>
          <w:rFonts w:ascii="Times New Roman" w:eastAsia="Times New Roman" w:hAnsi="Times New Roman" w:cs="Times New Roman"/>
          <w:noProof/>
        </w:rPr>
      </w:pPr>
      <w:r w:rsidRPr="008C5F1C">
        <w:rPr>
          <w:rFonts w:ascii="Times New Roman" w:eastAsia="Times New Roman" w:hAnsi="Times New Roman" w:cs="Times New Roman"/>
          <w:noProof/>
        </w:rPr>
        <w:t>Populația din localitățile deservite de infrastructura îmbunătățită</w:t>
      </w:r>
    </w:p>
    <w:p w14:paraId="4D27AEEB" w14:textId="77777777" w:rsidR="000C7383" w:rsidRPr="008C5F1C" w:rsidRDefault="000C7383" w:rsidP="000C7383">
      <w:pPr>
        <w:spacing w:before="120" w:after="120" w:line="360" w:lineRule="auto"/>
        <w:rPr>
          <w:rFonts w:ascii="Times New Roman" w:eastAsia="Times New Roman" w:hAnsi="Times New Roman" w:cs="Times New Roman"/>
          <w:i/>
          <w:noProof/>
          <w:sz w:val="24"/>
          <w:szCs w:val="24"/>
        </w:rPr>
      </w:pPr>
      <w:r w:rsidRPr="008C5F1C">
        <w:rPr>
          <w:rFonts w:ascii="Times New Roman" w:eastAsia="Times New Roman" w:hAnsi="Times New Roman" w:cs="Times New Roman"/>
          <w:i/>
          <w:noProof/>
          <w:sz w:val="24"/>
          <w:szCs w:val="24"/>
        </w:rPr>
        <w:t>Specific territories tageted, including the planned use of territorial tools – Article 17(3)(d)(iv)</w:t>
      </w:r>
    </w:p>
    <w:p w14:paraId="066E4351" w14:textId="77777777" w:rsidR="000C7383" w:rsidRPr="008C5F1C" w:rsidRDefault="000C7383" w:rsidP="000C7383">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iCs/>
          <w:noProof/>
          <w:sz w:val="24"/>
          <w:szCs w:val="24"/>
        </w:rPr>
      </w:pPr>
      <w:r w:rsidRPr="008C5F1C">
        <w:rPr>
          <w:rFonts w:ascii="Times New Roman" w:eastAsia="Times New Roman" w:hAnsi="Times New Roman" w:cs="Times New Roman"/>
          <w:i/>
          <w:iCs/>
          <w:noProof/>
          <w:sz w:val="24"/>
          <w:szCs w:val="24"/>
        </w:rPr>
        <w:t>Zone metropolitane, zone urbane funcționale, cartiere urbane.</w:t>
      </w:r>
    </w:p>
    <w:p w14:paraId="4F193B03" w14:textId="62A65350" w:rsidR="000C7383" w:rsidRPr="008C5F1C" w:rsidRDefault="000C7383" w:rsidP="000C7383">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noProof/>
          <w:sz w:val="24"/>
        </w:rPr>
      </w:pPr>
      <w:r w:rsidRPr="008C5F1C">
        <w:rPr>
          <w:rFonts w:ascii="Times New Roman" w:eastAsia="Times New Roman" w:hAnsi="Times New Roman" w:cs="Times New Roman"/>
          <w:iCs/>
          <w:noProof/>
          <w:szCs w:val="20"/>
        </w:rPr>
        <w:t>Accesarea fondurilor va continua să fie condiționată de existența Strategiilor Integrate de Dezvoltare Urbană (SIDU) și de justificări bazate pe dovezi în ceea ce privește oportunitatea și rolul investițiilor în ansamblul dezvoltării.</w:t>
      </w:r>
    </w:p>
    <w:p w14:paraId="15F9D1F6" w14:textId="77777777" w:rsidR="000C7383" w:rsidRPr="008C5F1C" w:rsidRDefault="000C7383" w:rsidP="000C7383">
      <w:pPr>
        <w:spacing w:before="120" w:after="120" w:line="360" w:lineRule="auto"/>
        <w:rPr>
          <w:rFonts w:ascii="Times New Roman" w:eastAsia="Times New Roman" w:hAnsi="Times New Roman" w:cs="Times New Roman"/>
          <w:b/>
          <w:i/>
          <w:iCs/>
          <w:noProof/>
          <w:sz w:val="24"/>
          <w:szCs w:val="24"/>
        </w:rPr>
      </w:pPr>
      <w:r w:rsidRPr="008C5F1C">
        <w:rPr>
          <w:rFonts w:ascii="Times New Roman" w:eastAsia="Times New Roman" w:hAnsi="Times New Roman" w:cs="Times New Roman"/>
          <w:i/>
          <w:noProof/>
          <w:sz w:val="24"/>
          <w:szCs w:val="24"/>
        </w:rPr>
        <w:t>The interregional and transnational actions  –Article – 17(3)(d)(v)</w:t>
      </w:r>
    </w:p>
    <w:p w14:paraId="2BF8851D" w14:textId="77777777" w:rsidR="000C7383" w:rsidRPr="008C5F1C" w:rsidRDefault="000C7383" w:rsidP="000C7383">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rPr>
      </w:pPr>
      <w:r w:rsidRPr="008C5F1C">
        <w:rPr>
          <w:rFonts w:ascii="Times New Roman" w:eastAsia="Times New Roman" w:hAnsi="Times New Roman" w:cs="Times New Roman"/>
          <w:i/>
          <w:iCs/>
          <w:noProof/>
          <w:sz w:val="24"/>
          <w:szCs w:val="24"/>
        </w:rPr>
        <w:t>Nu este cazul</w:t>
      </w:r>
    </w:p>
    <w:p w14:paraId="78176C98" w14:textId="77777777" w:rsidR="000C7383" w:rsidRPr="008C5F1C" w:rsidRDefault="000C7383" w:rsidP="000C7383">
      <w:pPr>
        <w:spacing w:before="120" w:after="120" w:line="360" w:lineRule="auto"/>
        <w:rPr>
          <w:rFonts w:ascii="Times New Roman" w:eastAsia="Times New Roman" w:hAnsi="Times New Roman" w:cs="Times New Roman"/>
          <w:b/>
          <w:i/>
          <w:iCs/>
          <w:noProof/>
          <w:sz w:val="24"/>
          <w:szCs w:val="24"/>
        </w:rPr>
      </w:pPr>
      <w:r w:rsidRPr="008C5F1C">
        <w:rPr>
          <w:rFonts w:ascii="Times New Roman" w:eastAsia="Times New Roman" w:hAnsi="Times New Roman" w:cs="Times New Roman"/>
          <w:i/>
          <w:noProof/>
          <w:sz w:val="24"/>
          <w:szCs w:val="24"/>
        </w:rPr>
        <w:t>The planned use of financial instruments – Article – 17(3)(d)(vi)</w:t>
      </w:r>
    </w:p>
    <w:p w14:paraId="35ADF2DD" w14:textId="77777777" w:rsidR="000C7383" w:rsidRPr="008C5F1C" w:rsidRDefault="000C7383" w:rsidP="000C7383">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rPr>
      </w:pPr>
      <w:r w:rsidRPr="008C5F1C">
        <w:rPr>
          <w:rFonts w:ascii="Times New Roman" w:eastAsia="Times New Roman" w:hAnsi="Times New Roman" w:cs="Times New Roman"/>
          <w:i/>
          <w:iCs/>
          <w:noProof/>
          <w:sz w:val="24"/>
          <w:szCs w:val="24"/>
        </w:rPr>
        <w:t>Nu este cazul</w:t>
      </w:r>
    </w:p>
    <w:p w14:paraId="6D4AD4A2" w14:textId="77777777" w:rsidR="000C7383" w:rsidRPr="008C5F1C" w:rsidRDefault="000C7383" w:rsidP="000C7383">
      <w:pPr>
        <w:spacing w:before="120" w:after="120" w:line="240" w:lineRule="auto"/>
        <w:rPr>
          <w:rFonts w:ascii="Times New Roman" w:eastAsia="Times New Roman" w:hAnsi="Times New Roman" w:cs="Times New Roman"/>
          <w:b/>
          <w:iCs/>
          <w:noProof/>
          <w:sz w:val="24"/>
          <w:szCs w:val="24"/>
        </w:rPr>
      </w:pPr>
    </w:p>
    <w:p w14:paraId="6ACC4E93" w14:textId="77777777" w:rsidR="000C7383" w:rsidRPr="008C5F1C" w:rsidRDefault="000C7383" w:rsidP="000C7383">
      <w:pPr>
        <w:pStyle w:val="Heading4"/>
        <w:numPr>
          <w:ilvl w:val="0"/>
          <w:numId w:val="0"/>
        </w:numPr>
        <w:ind w:left="851" w:hanging="851"/>
        <w:rPr>
          <w:rFonts w:cs="Times New Roman"/>
          <w:b/>
          <w:bCs/>
          <w:lang w:val="ro-RO"/>
        </w:rPr>
      </w:pPr>
      <w:r w:rsidRPr="008C5F1C">
        <w:rPr>
          <w:rFonts w:cs="Times New Roman"/>
          <w:b/>
          <w:bCs/>
          <w:lang w:val="ro-RO"/>
        </w:rPr>
        <w:t xml:space="preserve">2.A.3.2 </w:t>
      </w:r>
      <w:proofErr w:type="spellStart"/>
      <w:r w:rsidRPr="008C5F1C">
        <w:rPr>
          <w:rFonts w:cs="Times New Roman"/>
          <w:b/>
          <w:bCs/>
          <w:lang w:val="ro-RO"/>
        </w:rPr>
        <w:t>Indicators</w:t>
      </w:r>
      <w:proofErr w:type="spellEnd"/>
    </w:p>
    <w:p w14:paraId="3AEF43D4" w14:textId="77777777" w:rsidR="000C7383" w:rsidRPr="008C5F1C" w:rsidRDefault="000C7383" w:rsidP="000C7383">
      <w:pPr>
        <w:rPr>
          <w:rFonts w:ascii="Times New Roman" w:hAnsi="Times New Roman" w:cs="Times New Roman"/>
          <w:b/>
          <w:bCs/>
          <w:i/>
          <w:u w:val="single"/>
        </w:rPr>
      </w:pPr>
      <w:proofErr w:type="spellStart"/>
      <w:r w:rsidRPr="008C5F1C">
        <w:rPr>
          <w:rFonts w:ascii="Times New Roman" w:hAnsi="Times New Roman" w:cs="Times New Roman"/>
          <w:i/>
        </w:rPr>
        <w:t>Reference</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Article</w:t>
      </w:r>
      <w:proofErr w:type="spellEnd"/>
      <w:r w:rsidRPr="008C5F1C">
        <w:rPr>
          <w:rFonts w:ascii="Times New Roman" w:hAnsi="Times New Roman" w:cs="Times New Roman"/>
          <w:i/>
        </w:rPr>
        <w:t xml:space="preserve"> 17(3)(d)(ii) CPR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8"/>
        <w:gridCol w:w="1716"/>
        <w:gridCol w:w="626"/>
        <w:gridCol w:w="874"/>
        <w:gridCol w:w="545"/>
        <w:gridCol w:w="1710"/>
        <w:gridCol w:w="1158"/>
        <w:gridCol w:w="999"/>
        <w:gridCol w:w="1242"/>
      </w:tblGrid>
      <w:tr w:rsidR="000C7383" w:rsidRPr="008C5F1C" w14:paraId="02EA100F" w14:textId="77777777" w:rsidTr="00531B85">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080A018C" w14:textId="77777777" w:rsidR="000C7383" w:rsidRPr="008C5F1C" w:rsidRDefault="000C7383" w:rsidP="00531B85">
            <w:pPr>
              <w:rPr>
                <w:rFonts w:ascii="Times New Roman" w:hAnsi="Times New Roman" w:cs="Times New Roman"/>
                <w:b/>
              </w:rPr>
            </w:pPr>
            <w:r w:rsidRPr="008C5F1C">
              <w:rPr>
                <w:rFonts w:ascii="Times New Roman" w:hAnsi="Times New Roman" w:cs="Times New Roman"/>
                <w:b/>
                <w:iCs/>
              </w:rPr>
              <w:t xml:space="preserve">Table 2: Output </w:t>
            </w:r>
            <w:proofErr w:type="spellStart"/>
            <w:r w:rsidRPr="008C5F1C">
              <w:rPr>
                <w:rFonts w:ascii="Times New Roman" w:hAnsi="Times New Roman" w:cs="Times New Roman"/>
                <w:b/>
                <w:iCs/>
              </w:rPr>
              <w:t>indicators</w:t>
            </w:r>
            <w:proofErr w:type="spellEnd"/>
          </w:p>
        </w:tc>
      </w:tr>
      <w:tr w:rsidR="000C7383" w:rsidRPr="008C5F1C" w14:paraId="08936513" w14:textId="77777777" w:rsidTr="00894BF8">
        <w:trPr>
          <w:trHeight w:val="728"/>
        </w:trPr>
        <w:tc>
          <w:tcPr>
            <w:tcW w:w="394" w:type="pct"/>
            <w:tcBorders>
              <w:top w:val="single" w:sz="4" w:space="0" w:color="auto"/>
              <w:left w:val="single" w:sz="4" w:space="0" w:color="auto"/>
              <w:bottom w:val="single" w:sz="4" w:space="0" w:color="auto"/>
              <w:right w:val="single" w:sz="4" w:space="0" w:color="auto"/>
            </w:tcBorders>
            <w:hideMark/>
          </w:tcPr>
          <w:p w14:paraId="6876CBC4" w14:textId="77777777" w:rsidR="000C7383" w:rsidRPr="008C5F1C" w:rsidRDefault="000C7383" w:rsidP="00531B85">
            <w:pPr>
              <w:rPr>
                <w:rFonts w:ascii="Times New Roman" w:hAnsi="Times New Roman" w:cs="Times New Roman"/>
                <w:b/>
                <w:sz w:val="16"/>
                <w:szCs w:val="16"/>
              </w:rPr>
            </w:pPr>
            <w:proofErr w:type="spellStart"/>
            <w:r w:rsidRPr="008C5F1C">
              <w:rPr>
                <w:rFonts w:ascii="Times New Roman" w:hAnsi="Times New Roman" w:cs="Times New Roman"/>
                <w:b/>
                <w:sz w:val="16"/>
                <w:szCs w:val="16"/>
              </w:rPr>
              <w:t>Priority</w:t>
            </w:r>
            <w:proofErr w:type="spellEnd"/>
            <w:r w:rsidRPr="008C5F1C">
              <w:rPr>
                <w:rFonts w:ascii="Times New Roman" w:hAnsi="Times New Roman" w:cs="Times New Roman"/>
                <w:b/>
                <w:sz w:val="16"/>
                <w:szCs w:val="16"/>
              </w:rPr>
              <w:t xml:space="preserve"> </w:t>
            </w:r>
          </w:p>
        </w:tc>
        <w:tc>
          <w:tcPr>
            <w:tcW w:w="891" w:type="pct"/>
            <w:tcBorders>
              <w:top w:val="single" w:sz="4" w:space="0" w:color="auto"/>
              <w:left w:val="single" w:sz="4" w:space="0" w:color="auto"/>
              <w:bottom w:val="single" w:sz="4" w:space="0" w:color="auto"/>
              <w:right w:val="single" w:sz="4" w:space="0" w:color="auto"/>
            </w:tcBorders>
            <w:hideMark/>
          </w:tcPr>
          <w:p w14:paraId="30740083" w14:textId="77777777" w:rsidR="000C7383" w:rsidRPr="008C5F1C" w:rsidRDefault="000C7383" w:rsidP="00531B85">
            <w:pPr>
              <w:rPr>
                <w:rFonts w:ascii="Times New Roman" w:hAnsi="Times New Roman" w:cs="Times New Roman"/>
                <w:b/>
                <w:sz w:val="16"/>
                <w:szCs w:val="16"/>
              </w:rPr>
            </w:pPr>
            <w:r w:rsidRPr="008C5F1C">
              <w:rPr>
                <w:rFonts w:ascii="Times New Roman" w:hAnsi="Times New Roman" w:cs="Times New Roman"/>
                <w:b/>
                <w:sz w:val="16"/>
                <w:szCs w:val="16"/>
              </w:rPr>
              <w:t xml:space="preserve">Specific </w:t>
            </w:r>
            <w:proofErr w:type="spellStart"/>
            <w:r w:rsidRPr="008C5F1C">
              <w:rPr>
                <w:rFonts w:ascii="Times New Roman" w:hAnsi="Times New Roman" w:cs="Times New Roman"/>
                <w:b/>
                <w:sz w:val="16"/>
                <w:szCs w:val="16"/>
              </w:rPr>
              <w:t>objective</w:t>
            </w:r>
            <w:proofErr w:type="spellEnd"/>
            <w:r w:rsidRPr="008C5F1C">
              <w:rPr>
                <w:rFonts w:ascii="Times New Roman" w:hAnsi="Times New Roman" w:cs="Times New Roman"/>
                <w:b/>
                <w:sz w:val="16"/>
                <w:szCs w:val="16"/>
              </w:rPr>
              <w:t xml:space="preserve"> (Investment for </w:t>
            </w:r>
            <w:proofErr w:type="spellStart"/>
            <w:r w:rsidRPr="008C5F1C">
              <w:rPr>
                <w:rFonts w:ascii="Times New Roman" w:hAnsi="Times New Roman" w:cs="Times New Roman"/>
                <w:b/>
                <w:sz w:val="16"/>
                <w:szCs w:val="16"/>
              </w:rPr>
              <w:t>Jobs</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and</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Growth</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goal</w:t>
            </w:r>
            <w:proofErr w:type="spellEnd"/>
            <w:r w:rsidRPr="008C5F1C">
              <w:rPr>
                <w:rFonts w:ascii="Times New Roman" w:hAnsi="Times New Roman" w:cs="Times New Roman"/>
                <w:b/>
                <w:sz w:val="16"/>
                <w:szCs w:val="16"/>
              </w:rPr>
              <w:t xml:space="preserve"> or EMFF)</w:t>
            </w:r>
          </w:p>
        </w:tc>
        <w:tc>
          <w:tcPr>
            <w:tcW w:w="325" w:type="pct"/>
            <w:tcBorders>
              <w:top w:val="single" w:sz="4" w:space="0" w:color="auto"/>
              <w:left w:val="single" w:sz="4" w:space="0" w:color="auto"/>
              <w:bottom w:val="single" w:sz="4" w:space="0" w:color="auto"/>
              <w:right w:val="single" w:sz="4" w:space="0" w:color="auto"/>
            </w:tcBorders>
            <w:hideMark/>
          </w:tcPr>
          <w:p w14:paraId="6D44780E" w14:textId="77777777" w:rsidR="000C7383" w:rsidRPr="008C5F1C" w:rsidRDefault="000C7383" w:rsidP="00531B85">
            <w:pPr>
              <w:rPr>
                <w:rFonts w:ascii="Times New Roman" w:hAnsi="Times New Roman" w:cs="Times New Roman"/>
                <w:b/>
                <w:sz w:val="16"/>
                <w:szCs w:val="16"/>
              </w:rPr>
            </w:pPr>
            <w:r w:rsidRPr="008C5F1C">
              <w:rPr>
                <w:rFonts w:ascii="Times New Roman" w:hAnsi="Times New Roman" w:cs="Times New Roman"/>
                <w:b/>
                <w:sz w:val="16"/>
                <w:szCs w:val="16"/>
              </w:rPr>
              <w:t>Fund</w:t>
            </w:r>
          </w:p>
        </w:tc>
        <w:tc>
          <w:tcPr>
            <w:tcW w:w="454" w:type="pct"/>
            <w:tcBorders>
              <w:top w:val="single" w:sz="4" w:space="0" w:color="auto"/>
              <w:left w:val="single" w:sz="4" w:space="0" w:color="auto"/>
              <w:bottom w:val="single" w:sz="4" w:space="0" w:color="auto"/>
              <w:right w:val="single" w:sz="4" w:space="0" w:color="auto"/>
            </w:tcBorders>
            <w:hideMark/>
          </w:tcPr>
          <w:p w14:paraId="76BEA273" w14:textId="77777777" w:rsidR="000C7383" w:rsidRPr="008C5F1C" w:rsidRDefault="000C7383" w:rsidP="00531B85">
            <w:pPr>
              <w:rPr>
                <w:rFonts w:ascii="Times New Roman" w:hAnsi="Times New Roman" w:cs="Times New Roman"/>
                <w:b/>
                <w:sz w:val="16"/>
                <w:szCs w:val="16"/>
              </w:rPr>
            </w:pPr>
            <w:proofErr w:type="spellStart"/>
            <w:r w:rsidRPr="008C5F1C">
              <w:rPr>
                <w:rFonts w:ascii="Times New Roman" w:hAnsi="Times New Roman" w:cs="Times New Roman"/>
                <w:b/>
                <w:sz w:val="16"/>
                <w:szCs w:val="16"/>
              </w:rPr>
              <w:t>Category</w:t>
            </w:r>
            <w:proofErr w:type="spellEnd"/>
            <w:r w:rsidRPr="008C5F1C">
              <w:rPr>
                <w:rFonts w:ascii="Times New Roman" w:hAnsi="Times New Roman" w:cs="Times New Roman"/>
                <w:b/>
                <w:sz w:val="16"/>
                <w:szCs w:val="16"/>
              </w:rPr>
              <w:t xml:space="preserve"> of </w:t>
            </w:r>
            <w:proofErr w:type="spellStart"/>
            <w:r w:rsidRPr="008C5F1C">
              <w:rPr>
                <w:rFonts w:ascii="Times New Roman" w:hAnsi="Times New Roman" w:cs="Times New Roman"/>
                <w:b/>
                <w:sz w:val="16"/>
                <w:szCs w:val="16"/>
              </w:rPr>
              <w:t>region</w:t>
            </w:r>
            <w:proofErr w:type="spellEnd"/>
          </w:p>
        </w:tc>
        <w:tc>
          <w:tcPr>
            <w:tcW w:w="283" w:type="pct"/>
            <w:tcBorders>
              <w:top w:val="single" w:sz="4" w:space="0" w:color="auto"/>
              <w:left w:val="single" w:sz="4" w:space="0" w:color="auto"/>
              <w:bottom w:val="single" w:sz="4" w:space="0" w:color="auto"/>
              <w:right w:val="single" w:sz="4" w:space="0" w:color="auto"/>
            </w:tcBorders>
            <w:hideMark/>
          </w:tcPr>
          <w:p w14:paraId="0A6B0F3D" w14:textId="77777777" w:rsidR="000C7383" w:rsidRPr="008C5F1C" w:rsidRDefault="000C7383" w:rsidP="00531B85">
            <w:pPr>
              <w:rPr>
                <w:rFonts w:ascii="Times New Roman" w:hAnsi="Times New Roman" w:cs="Times New Roman"/>
                <w:b/>
                <w:sz w:val="16"/>
                <w:szCs w:val="16"/>
              </w:rPr>
            </w:pPr>
            <w:r w:rsidRPr="008C5F1C">
              <w:rPr>
                <w:rFonts w:ascii="Times New Roman" w:hAnsi="Times New Roman" w:cs="Times New Roman"/>
                <w:b/>
                <w:sz w:val="16"/>
                <w:szCs w:val="16"/>
              </w:rPr>
              <w:t>ID [5]</w:t>
            </w:r>
          </w:p>
        </w:tc>
        <w:tc>
          <w:tcPr>
            <w:tcW w:w="888" w:type="pct"/>
            <w:tcBorders>
              <w:top w:val="single" w:sz="4" w:space="0" w:color="auto"/>
              <w:left w:val="single" w:sz="4" w:space="0" w:color="auto"/>
              <w:bottom w:val="single" w:sz="4" w:space="0" w:color="auto"/>
              <w:right w:val="single" w:sz="4" w:space="0" w:color="auto"/>
            </w:tcBorders>
            <w:hideMark/>
          </w:tcPr>
          <w:p w14:paraId="48345B92" w14:textId="77777777" w:rsidR="000C7383" w:rsidRPr="008C5F1C" w:rsidRDefault="000C7383" w:rsidP="00531B85">
            <w:pPr>
              <w:rPr>
                <w:rFonts w:ascii="Times New Roman" w:hAnsi="Times New Roman" w:cs="Times New Roman"/>
                <w:b/>
                <w:sz w:val="16"/>
                <w:szCs w:val="16"/>
              </w:rPr>
            </w:pPr>
            <w:r w:rsidRPr="008C5F1C">
              <w:rPr>
                <w:rFonts w:ascii="Times New Roman" w:hAnsi="Times New Roman" w:cs="Times New Roman"/>
                <w:b/>
                <w:sz w:val="16"/>
                <w:szCs w:val="16"/>
              </w:rPr>
              <w:t xml:space="preserve">Indicator [255] </w:t>
            </w:r>
          </w:p>
        </w:tc>
        <w:tc>
          <w:tcPr>
            <w:tcW w:w="601" w:type="pct"/>
            <w:tcBorders>
              <w:top w:val="single" w:sz="4" w:space="0" w:color="auto"/>
              <w:left w:val="single" w:sz="4" w:space="0" w:color="auto"/>
              <w:bottom w:val="single" w:sz="4" w:space="0" w:color="auto"/>
              <w:right w:val="single" w:sz="4" w:space="0" w:color="auto"/>
            </w:tcBorders>
            <w:hideMark/>
          </w:tcPr>
          <w:p w14:paraId="1BA9C3A9" w14:textId="77777777" w:rsidR="000C7383" w:rsidRPr="008C5F1C" w:rsidRDefault="000C7383" w:rsidP="00531B85">
            <w:pPr>
              <w:rPr>
                <w:rFonts w:ascii="Times New Roman" w:hAnsi="Times New Roman" w:cs="Times New Roman"/>
                <w:b/>
                <w:sz w:val="16"/>
                <w:szCs w:val="16"/>
              </w:rPr>
            </w:pPr>
            <w:proofErr w:type="spellStart"/>
            <w:r w:rsidRPr="008C5F1C">
              <w:rPr>
                <w:rFonts w:ascii="Times New Roman" w:hAnsi="Times New Roman" w:cs="Times New Roman"/>
                <w:b/>
                <w:sz w:val="16"/>
                <w:szCs w:val="16"/>
              </w:rPr>
              <w:t>Measurement</w:t>
            </w:r>
            <w:proofErr w:type="spellEnd"/>
            <w:r w:rsidRPr="008C5F1C">
              <w:rPr>
                <w:rFonts w:ascii="Times New Roman" w:hAnsi="Times New Roman" w:cs="Times New Roman"/>
                <w:b/>
                <w:sz w:val="16"/>
                <w:szCs w:val="16"/>
              </w:rPr>
              <w:t xml:space="preserve"> unit</w:t>
            </w:r>
          </w:p>
        </w:tc>
        <w:tc>
          <w:tcPr>
            <w:tcW w:w="519" w:type="pct"/>
            <w:tcBorders>
              <w:top w:val="single" w:sz="4" w:space="0" w:color="auto"/>
              <w:left w:val="single" w:sz="4" w:space="0" w:color="auto"/>
              <w:bottom w:val="single" w:sz="4" w:space="0" w:color="auto"/>
              <w:right w:val="single" w:sz="4" w:space="0" w:color="auto"/>
            </w:tcBorders>
          </w:tcPr>
          <w:p w14:paraId="2B39D69C" w14:textId="77F5CB6A" w:rsidR="000C7383" w:rsidRPr="008C5F1C" w:rsidRDefault="000C7383" w:rsidP="00531B85">
            <w:pPr>
              <w:rPr>
                <w:rFonts w:ascii="Times New Roman" w:hAnsi="Times New Roman" w:cs="Times New Roman"/>
                <w:b/>
                <w:sz w:val="16"/>
                <w:szCs w:val="16"/>
              </w:rPr>
            </w:pPr>
            <w:proofErr w:type="spellStart"/>
            <w:r w:rsidRPr="008C5F1C">
              <w:rPr>
                <w:rFonts w:ascii="Times New Roman" w:hAnsi="Times New Roman" w:cs="Times New Roman"/>
                <w:b/>
                <w:sz w:val="16"/>
                <w:szCs w:val="16"/>
              </w:rPr>
              <w:t>Milestone</w:t>
            </w:r>
            <w:proofErr w:type="spellEnd"/>
            <w:r w:rsidRPr="008C5F1C">
              <w:rPr>
                <w:rFonts w:ascii="Times New Roman" w:hAnsi="Times New Roman" w:cs="Times New Roman"/>
                <w:b/>
                <w:sz w:val="16"/>
                <w:szCs w:val="16"/>
              </w:rPr>
              <w:t xml:space="preserve"> (2024)</w:t>
            </w:r>
          </w:p>
        </w:tc>
        <w:tc>
          <w:tcPr>
            <w:tcW w:w="645" w:type="pct"/>
            <w:tcBorders>
              <w:top w:val="single" w:sz="4" w:space="0" w:color="auto"/>
              <w:left w:val="single" w:sz="4" w:space="0" w:color="auto"/>
              <w:bottom w:val="single" w:sz="4" w:space="0" w:color="auto"/>
              <w:right w:val="single" w:sz="4" w:space="0" w:color="auto"/>
            </w:tcBorders>
          </w:tcPr>
          <w:p w14:paraId="64EAF42A" w14:textId="77777777" w:rsidR="000C7383" w:rsidRPr="008C5F1C" w:rsidRDefault="000C7383" w:rsidP="00531B85">
            <w:pPr>
              <w:rPr>
                <w:rFonts w:ascii="Times New Roman" w:hAnsi="Times New Roman" w:cs="Times New Roman"/>
                <w:b/>
                <w:sz w:val="16"/>
                <w:szCs w:val="16"/>
              </w:rPr>
            </w:pPr>
            <w:r w:rsidRPr="008C5F1C">
              <w:rPr>
                <w:rFonts w:ascii="Times New Roman" w:hAnsi="Times New Roman" w:cs="Times New Roman"/>
                <w:b/>
                <w:sz w:val="16"/>
                <w:szCs w:val="16"/>
              </w:rPr>
              <w:t>Target (2029)</w:t>
            </w:r>
          </w:p>
          <w:p w14:paraId="24A5D2C4" w14:textId="77777777" w:rsidR="000C7383" w:rsidRPr="008C5F1C" w:rsidRDefault="000C7383" w:rsidP="00531B85">
            <w:pPr>
              <w:rPr>
                <w:rFonts w:ascii="Times New Roman" w:hAnsi="Times New Roman" w:cs="Times New Roman"/>
                <w:b/>
                <w:sz w:val="16"/>
                <w:szCs w:val="16"/>
              </w:rPr>
            </w:pPr>
          </w:p>
        </w:tc>
      </w:tr>
      <w:tr w:rsidR="005F5B0F" w:rsidRPr="008C5F1C" w14:paraId="51D468E4" w14:textId="77777777" w:rsidTr="00894BF8">
        <w:trPr>
          <w:trHeight w:val="942"/>
        </w:trPr>
        <w:tc>
          <w:tcPr>
            <w:tcW w:w="394" w:type="pct"/>
            <w:tcBorders>
              <w:top w:val="single" w:sz="4" w:space="0" w:color="auto"/>
              <w:left w:val="single" w:sz="4" w:space="0" w:color="auto"/>
              <w:bottom w:val="single" w:sz="4" w:space="0" w:color="auto"/>
              <w:right w:val="single" w:sz="4" w:space="0" w:color="auto"/>
            </w:tcBorders>
          </w:tcPr>
          <w:p w14:paraId="19994267" w14:textId="77777777" w:rsidR="005F5B0F" w:rsidRPr="008C5F1C" w:rsidRDefault="005F5B0F" w:rsidP="005F5B0F">
            <w:pPr>
              <w:rPr>
                <w:rFonts w:ascii="Times New Roman" w:hAnsi="Times New Roman" w:cs="Times New Roman"/>
                <w:bCs/>
                <w:iCs/>
                <w:sz w:val="16"/>
                <w:szCs w:val="16"/>
              </w:rPr>
            </w:pPr>
            <w:r w:rsidRPr="008C5F1C">
              <w:rPr>
                <w:rFonts w:ascii="Times New Roman" w:hAnsi="Times New Roman" w:cs="Times New Roman"/>
                <w:bCs/>
                <w:iCs/>
                <w:sz w:val="16"/>
                <w:szCs w:val="16"/>
              </w:rPr>
              <w:t>3</w:t>
            </w:r>
          </w:p>
        </w:tc>
        <w:tc>
          <w:tcPr>
            <w:tcW w:w="891" w:type="pct"/>
            <w:tcBorders>
              <w:top w:val="single" w:sz="4" w:space="0" w:color="auto"/>
              <w:left w:val="single" w:sz="4" w:space="0" w:color="auto"/>
              <w:bottom w:val="single" w:sz="4" w:space="0" w:color="auto"/>
              <w:right w:val="single" w:sz="4" w:space="0" w:color="auto"/>
            </w:tcBorders>
          </w:tcPr>
          <w:p w14:paraId="27951B3F" w14:textId="7B620E5D" w:rsidR="005F5B0F" w:rsidRPr="008C5F1C" w:rsidRDefault="005F5B0F" w:rsidP="005F5B0F">
            <w:pPr>
              <w:rPr>
                <w:rFonts w:ascii="Times New Roman" w:hAnsi="Times New Roman" w:cs="Times New Roman"/>
                <w:bCs/>
                <w:iCs/>
                <w:sz w:val="16"/>
                <w:szCs w:val="16"/>
              </w:rPr>
            </w:pPr>
            <w:r w:rsidRPr="008C5F1C">
              <w:rPr>
                <w:rFonts w:ascii="Times New Roman" w:hAnsi="Times New Roman" w:cs="Times New Roman"/>
                <w:bCs/>
                <w:iCs/>
                <w:sz w:val="16"/>
                <w:szCs w:val="16"/>
              </w:rPr>
              <w:t>b (</w:t>
            </w:r>
            <w:r>
              <w:rPr>
                <w:rFonts w:ascii="Times New Roman" w:hAnsi="Times New Roman" w:cs="Times New Roman"/>
                <w:bCs/>
                <w:iCs/>
                <w:sz w:val="16"/>
                <w:szCs w:val="16"/>
              </w:rPr>
              <w:t>v</w:t>
            </w:r>
            <w:r w:rsidRPr="008C5F1C">
              <w:rPr>
                <w:rFonts w:ascii="Times New Roman" w:hAnsi="Times New Roman" w:cs="Times New Roman"/>
                <w:bCs/>
                <w:iCs/>
                <w:sz w:val="16"/>
                <w:szCs w:val="16"/>
              </w:rPr>
              <w:t xml:space="preserve">i) </w:t>
            </w:r>
            <w:r w:rsidRPr="005C3467">
              <w:rPr>
                <w:rFonts w:ascii="Times New Roman" w:hAnsi="Times New Roman" w:cs="Times New Roman"/>
                <w:bCs/>
                <w:iCs/>
                <w:sz w:val="16"/>
                <w:szCs w:val="16"/>
              </w:rPr>
              <w:t>Promovarea gestionarii durabile a apelor</w:t>
            </w:r>
          </w:p>
        </w:tc>
        <w:tc>
          <w:tcPr>
            <w:tcW w:w="325" w:type="pct"/>
            <w:tcBorders>
              <w:top w:val="single" w:sz="4" w:space="0" w:color="auto"/>
              <w:left w:val="single" w:sz="4" w:space="0" w:color="auto"/>
              <w:bottom w:val="single" w:sz="4" w:space="0" w:color="auto"/>
              <w:right w:val="single" w:sz="4" w:space="0" w:color="auto"/>
            </w:tcBorders>
          </w:tcPr>
          <w:p w14:paraId="1E4311B6" w14:textId="77777777" w:rsidR="005F5B0F" w:rsidRPr="008C5F1C" w:rsidRDefault="005F5B0F" w:rsidP="005F5B0F">
            <w:pPr>
              <w:rPr>
                <w:rFonts w:ascii="Times New Roman" w:hAnsi="Times New Roman" w:cs="Times New Roman"/>
                <w:bCs/>
                <w:iCs/>
                <w:sz w:val="16"/>
                <w:szCs w:val="16"/>
              </w:rPr>
            </w:pPr>
            <w:r w:rsidRPr="008C5F1C">
              <w:rPr>
                <w:rFonts w:ascii="Times New Roman" w:hAnsi="Times New Roman" w:cs="Times New Roman"/>
                <w:noProof/>
                <w:sz w:val="16"/>
                <w:szCs w:val="16"/>
              </w:rPr>
              <w:t>FEDR</w:t>
            </w:r>
          </w:p>
        </w:tc>
        <w:tc>
          <w:tcPr>
            <w:tcW w:w="454" w:type="pct"/>
            <w:tcBorders>
              <w:top w:val="single" w:sz="4" w:space="0" w:color="auto"/>
              <w:left w:val="single" w:sz="4" w:space="0" w:color="auto"/>
              <w:bottom w:val="single" w:sz="4" w:space="0" w:color="auto"/>
              <w:right w:val="single" w:sz="4" w:space="0" w:color="auto"/>
            </w:tcBorders>
          </w:tcPr>
          <w:p w14:paraId="0E0B3415" w14:textId="77777777" w:rsidR="005F5B0F" w:rsidRPr="008C5F1C" w:rsidRDefault="005F5B0F" w:rsidP="005F5B0F">
            <w:pPr>
              <w:rPr>
                <w:rFonts w:ascii="Times New Roman" w:hAnsi="Times New Roman" w:cs="Times New Roman"/>
                <w:bCs/>
                <w:iCs/>
                <w:sz w:val="16"/>
                <w:szCs w:val="16"/>
              </w:rPr>
            </w:pPr>
            <w:r w:rsidRPr="008C5F1C">
              <w:rPr>
                <w:rFonts w:ascii="Times New Roman" w:hAnsi="Times New Roman" w:cs="Times New Roman"/>
                <w:noProof/>
                <w:sz w:val="16"/>
                <w:szCs w:val="16"/>
              </w:rPr>
              <w:t>Mai puțin dezvoltate</w:t>
            </w:r>
          </w:p>
        </w:tc>
        <w:tc>
          <w:tcPr>
            <w:tcW w:w="283" w:type="pct"/>
            <w:tcBorders>
              <w:top w:val="single" w:sz="4" w:space="0" w:color="auto"/>
              <w:left w:val="single" w:sz="4" w:space="0" w:color="auto"/>
              <w:bottom w:val="single" w:sz="4" w:space="0" w:color="auto"/>
              <w:right w:val="single" w:sz="4" w:space="0" w:color="auto"/>
            </w:tcBorders>
          </w:tcPr>
          <w:p w14:paraId="5ED9CF9C" w14:textId="0DC5FCE3" w:rsidR="005F5B0F" w:rsidRPr="008C5F1C" w:rsidRDefault="005F5B0F" w:rsidP="005F5B0F">
            <w:pPr>
              <w:rPr>
                <w:rFonts w:ascii="Times New Roman" w:hAnsi="Times New Roman" w:cs="Times New Roman"/>
                <w:bCs/>
                <w:iCs/>
                <w:sz w:val="16"/>
                <w:szCs w:val="16"/>
              </w:rPr>
            </w:pPr>
            <w:r w:rsidRPr="008C5F1C">
              <w:rPr>
                <w:rFonts w:ascii="Times New Roman" w:hAnsi="Times New Roman" w:cs="Times New Roman"/>
                <w:bCs/>
                <w:iCs/>
                <w:sz w:val="16"/>
                <w:szCs w:val="16"/>
              </w:rPr>
              <w:t xml:space="preserve">RCO </w:t>
            </w:r>
            <w:r>
              <w:rPr>
                <w:rFonts w:ascii="Times New Roman" w:hAnsi="Times New Roman" w:cs="Times New Roman"/>
                <w:bCs/>
                <w:iCs/>
                <w:sz w:val="16"/>
                <w:szCs w:val="16"/>
              </w:rPr>
              <w:t>30</w:t>
            </w:r>
          </w:p>
        </w:tc>
        <w:tc>
          <w:tcPr>
            <w:tcW w:w="888" w:type="pct"/>
            <w:tcBorders>
              <w:top w:val="single" w:sz="4" w:space="0" w:color="auto"/>
              <w:left w:val="single" w:sz="4" w:space="0" w:color="auto"/>
              <w:bottom w:val="single" w:sz="4" w:space="0" w:color="auto"/>
              <w:right w:val="single" w:sz="4" w:space="0" w:color="auto"/>
            </w:tcBorders>
          </w:tcPr>
          <w:p w14:paraId="64FE8689" w14:textId="23EBB72F" w:rsidR="005F5B0F" w:rsidRPr="008C5F1C" w:rsidRDefault="005F5B0F" w:rsidP="005F5B0F">
            <w:pPr>
              <w:rPr>
                <w:rFonts w:ascii="Times New Roman" w:hAnsi="Times New Roman" w:cs="Times New Roman"/>
                <w:bCs/>
                <w:iCs/>
                <w:sz w:val="16"/>
                <w:szCs w:val="16"/>
              </w:rPr>
            </w:pPr>
            <w:r w:rsidRPr="008C5F1C">
              <w:rPr>
                <w:rFonts w:ascii="Times New Roman" w:hAnsi="Times New Roman" w:cs="Times New Roman"/>
                <w:bCs/>
                <w:iCs/>
                <w:sz w:val="16"/>
                <w:szCs w:val="16"/>
              </w:rPr>
              <w:t xml:space="preserve">RCO </w:t>
            </w:r>
            <w:r>
              <w:rPr>
                <w:rFonts w:ascii="Times New Roman" w:hAnsi="Times New Roman" w:cs="Times New Roman"/>
                <w:bCs/>
                <w:iCs/>
                <w:sz w:val="16"/>
                <w:szCs w:val="16"/>
              </w:rPr>
              <w:t xml:space="preserve">31 </w:t>
            </w:r>
            <w:r w:rsidRPr="008C5F1C">
              <w:rPr>
                <w:rFonts w:ascii="Times New Roman" w:hAnsi="Times New Roman" w:cs="Times New Roman"/>
                <w:bCs/>
                <w:iCs/>
                <w:sz w:val="16"/>
                <w:szCs w:val="16"/>
              </w:rPr>
              <w:t xml:space="preserve">– </w:t>
            </w:r>
            <w:r>
              <w:rPr>
                <w:rFonts w:ascii="Times New Roman" w:hAnsi="Times New Roman" w:cs="Times New Roman"/>
                <w:bCs/>
                <w:iCs/>
                <w:sz w:val="16"/>
                <w:szCs w:val="16"/>
              </w:rPr>
              <w:t xml:space="preserve">Lungimea conductelor noi </w:t>
            </w:r>
            <w:proofErr w:type="spellStart"/>
            <w:r>
              <w:rPr>
                <w:rFonts w:ascii="Times New Roman" w:hAnsi="Times New Roman" w:cs="Times New Roman"/>
                <w:bCs/>
                <w:iCs/>
                <w:sz w:val="16"/>
                <w:szCs w:val="16"/>
              </w:rPr>
              <w:t>noi</w:t>
            </w:r>
            <w:proofErr w:type="spellEnd"/>
            <w:r>
              <w:rPr>
                <w:rFonts w:ascii="Times New Roman" w:hAnsi="Times New Roman" w:cs="Times New Roman"/>
                <w:bCs/>
                <w:iCs/>
                <w:sz w:val="16"/>
                <w:szCs w:val="16"/>
              </w:rPr>
              <w:t xml:space="preserve"> sau consolidate pentru conectarea la </w:t>
            </w:r>
            <w:proofErr w:type="spellStart"/>
            <w:r>
              <w:rPr>
                <w:rFonts w:ascii="Times New Roman" w:hAnsi="Times New Roman" w:cs="Times New Roman"/>
                <w:bCs/>
                <w:iCs/>
                <w:sz w:val="16"/>
                <w:szCs w:val="16"/>
              </w:rPr>
              <w:t>retelele</w:t>
            </w:r>
            <w:proofErr w:type="spellEnd"/>
            <w:r>
              <w:rPr>
                <w:rFonts w:ascii="Times New Roman" w:hAnsi="Times New Roman" w:cs="Times New Roman"/>
                <w:bCs/>
                <w:iCs/>
                <w:sz w:val="16"/>
                <w:szCs w:val="16"/>
              </w:rPr>
              <w:t xml:space="preserve"> de apa</w:t>
            </w:r>
          </w:p>
        </w:tc>
        <w:tc>
          <w:tcPr>
            <w:tcW w:w="601" w:type="pct"/>
            <w:tcBorders>
              <w:top w:val="single" w:sz="4" w:space="0" w:color="auto"/>
              <w:left w:val="single" w:sz="4" w:space="0" w:color="auto"/>
              <w:bottom w:val="single" w:sz="4" w:space="0" w:color="auto"/>
              <w:right w:val="single" w:sz="4" w:space="0" w:color="auto"/>
            </w:tcBorders>
          </w:tcPr>
          <w:p w14:paraId="137C2112" w14:textId="00A3EB4E" w:rsidR="005F5B0F" w:rsidRPr="008C5F1C" w:rsidRDefault="005F5B0F" w:rsidP="005F5B0F">
            <w:pPr>
              <w:rPr>
                <w:rFonts w:ascii="Times New Roman" w:hAnsi="Times New Roman" w:cs="Times New Roman"/>
                <w:bCs/>
                <w:iCs/>
                <w:sz w:val="16"/>
                <w:szCs w:val="16"/>
              </w:rPr>
            </w:pPr>
            <w:r>
              <w:rPr>
                <w:rFonts w:ascii="Times New Roman" w:hAnsi="Times New Roman" w:cs="Times New Roman"/>
                <w:bCs/>
                <w:iCs/>
                <w:sz w:val="16"/>
                <w:szCs w:val="16"/>
              </w:rPr>
              <w:t>km</w:t>
            </w:r>
          </w:p>
        </w:tc>
        <w:tc>
          <w:tcPr>
            <w:tcW w:w="519" w:type="pct"/>
            <w:tcBorders>
              <w:top w:val="single" w:sz="4" w:space="0" w:color="auto"/>
              <w:left w:val="single" w:sz="4" w:space="0" w:color="auto"/>
              <w:bottom w:val="single" w:sz="4" w:space="0" w:color="auto"/>
              <w:right w:val="single" w:sz="4" w:space="0" w:color="auto"/>
            </w:tcBorders>
          </w:tcPr>
          <w:p w14:paraId="1C0D6737" w14:textId="518A5BEC" w:rsidR="005F5B0F" w:rsidRPr="008C5F1C" w:rsidRDefault="005F5B0F" w:rsidP="005F5B0F">
            <w:pPr>
              <w:rPr>
                <w:rFonts w:ascii="Times New Roman" w:hAnsi="Times New Roman" w:cs="Times New Roman"/>
                <w:bCs/>
                <w:iCs/>
                <w:sz w:val="16"/>
                <w:szCs w:val="16"/>
              </w:rPr>
            </w:pPr>
          </w:p>
        </w:tc>
        <w:tc>
          <w:tcPr>
            <w:tcW w:w="645" w:type="pct"/>
            <w:tcBorders>
              <w:top w:val="single" w:sz="4" w:space="0" w:color="auto"/>
              <w:left w:val="single" w:sz="4" w:space="0" w:color="auto"/>
              <w:bottom w:val="single" w:sz="4" w:space="0" w:color="auto"/>
              <w:right w:val="single" w:sz="4" w:space="0" w:color="auto"/>
            </w:tcBorders>
          </w:tcPr>
          <w:p w14:paraId="493D5AE2" w14:textId="6D2C24BD" w:rsidR="005F5B0F" w:rsidRPr="008C5F1C" w:rsidRDefault="005F5B0F" w:rsidP="005F5B0F">
            <w:pPr>
              <w:rPr>
                <w:rFonts w:ascii="Times New Roman" w:hAnsi="Times New Roman" w:cs="Times New Roman"/>
                <w:bCs/>
                <w:iCs/>
                <w:sz w:val="16"/>
                <w:szCs w:val="16"/>
              </w:rPr>
            </w:pPr>
          </w:p>
        </w:tc>
      </w:tr>
      <w:tr w:rsidR="005F5B0F" w:rsidRPr="008C5F1C" w14:paraId="169BA39A" w14:textId="77777777" w:rsidTr="00531B85">
        <w:trPr>
          <w:trHeight w:val="1066"/>
        </w:trPr>
        <w:tc>
          <w:tcPr>
            <w:tcW w:w="394" w:type="pct"/>
            <w:tcBorders>
              <w:top w:val="single" w:sz="4" w:space="0" w:color="auto"/>
              <w:left w:val="single" w:sz="4" w:space="0" w:color="auto"/>
              <w:bottom w:val="single" w:sz="4" w:space="0" w:color="auto"/>
              <w:right w:val="single" w:sz="4" w:space="0" w:color="auto"/>
            </w:tcBorders>
          </w:tcPr>
          <w:p w14:paraId="5CC8D608" w14:textId="77777777" w:rsidR="005F5B0F" w:rsidRPr="008C5F1C" w:rsidRDefault="005F5B0F" w:rsidP="005F5B0F">
            <w:pPr>
              <w:rPr>
                <w:rFonts w:ascii="Times New Roman" w:hAnsi="Times New Roman" w:cs="Times New Roman"/>
                <w:bCs/>
                <w:iCs/>
                <w:sz w:val="16"/>
                <w:szCs w:val="16"/>
              </w:rPr>
            </w:pPr>
            <w:r w:rsidRPr="008C5F1C">
              <w:rPr>
                <w:rFonts w:ascii="Times New Roman" w:hAnsi="Times New Roman" w:cs="Times New Roman"/>
                <w:bCs/>
                <w:iCs/>
                <w:sz w:val="16"/>
                <w:szCs w:val="16"/>
              </w:rPr>
              <w:t>3</w:t>
            </w:r>
          </w:p>
        </w:tc>
        <w:tc>
          <w:tcPr>
            <w:tcW w:w="891" w:type="pct"/>
            <w:tcBorders>
              <w:top w:val="single" w:sz="4" w:space="0" w:color="auto"/>
              <w:left w:val="single" w:sz="4" w:space="0" w:color="auto"/>
              <w:bottom w:val="single" w:sz="4" w:space="0" w:color="auto"/>
              <w:right w:val="single" w:sz="4" w:space="0" w:color="auto"/>
            </w:tcBorders>
          </w:tcPr>
          <w:p w14:paraId="1FC7DDA1" w14:textId="7BCE0ED3" w:rsidR="005F5B0F" w:rsidRPr="008C5F1C" w:rsidRDefault="005F5B0F" w:rsidP="005F5B0F">
            <w:pPr>
              <w:rPr>
                <w:rFonts w:ascii="Times New Roman" w:hAnsi="Times New Roman" w:cs="Times New Roman"/>
                <w:bCs/>
                <w:iCs/>
                <w:sz w:val="16"/>
                <w:szCs w:val="16"/>
              </w:rPr>
            </w:pPr>
            <w:r w:rsidRPr="008C5F1C">
              <w:rPr>
                <w:rFonts w:ascii="Times New Roman" w:hAnsi="Times New Roman" w:cs="Times New Roman"/>
                <w:bCs/>
                <w:iCs/>
                <w:sz w:val="16"/>
                <w:szCs w:val="16"/>
              </w:rPr>
              <w:t>b (</w:t>
            </w:r>
            <w:r>
              <w:rPr>
                <w:rFonts w:ascii="Times New Roman" w:hAnsi="Times New Roman" w:cs="Times New Roman"/>
                <w:bCs/>
                <w:iCs/>
                <w:sz w:val="16"/>
                <w:szCs w:val="16"/>
              </w:rPr>
              <w:t>v</w:t>
            </w:r>
            <w:r w:rsidRPr="008C5F1C">
              <w:rPr>
                <w:rFonts w:ascii="Times New Roman" w:hAnsi="Times New Roman" w:cs="Times New Roman"/>
                <w:bCs/>
                <w:iCs/>
                <w:sz w:val="16"/>
                <w:szCs w:val="16"/>
              </w:rPr>
              <w:t xml:space="preserve">i) </w:t>
            </w:r>
            <w:r w:rsidRPr="005C3467">
              <w:rPr>
                <w:rFonts w:ascii="Times New Roman" w:hAnsi="Times New Roman" w:cs="Times New Roman"/>
                <w:bCs/>
                <w:iCs/>
                <w:sz w:val="16"/>
                <w:szCs w:val="16"/>
              </w:rPr>
              <w:t>Promovarea gestionarii durabile a apelor</w:t>
            </w:r>
          </w:p>
        </w:tc>
        <w:tc>
          <w:tcPr>
            <w:tcW w:w="325" w:type="pct"/>
            <w:tcBorders>
              <w:top w:val="single" w:sz="4" w:space="0" w:color="auto"/>
              <w:left w:val="single" w:sz="4" w:space="0" w:color="auto"/>
              <w:bottom w:val="single" w:sz="4" w:space="0" w:color="auto"/>
              <w:right w:val="single" w:sz="4" w:space="0" w:color="auto"/>
            </w:tcBorders>
          </w:tcPr>
          <w:p w14:paraId="518E3278" w14:textId="77777777" w:rsidR="005F5B0F" w:rsidRPr="008C5F1C" w:rsidRDefault="005F5B0F" w:rsidP="005F5B0F">
            <w:pPr>
              <w:rPr>
                <w:rFonts w:ascii="Times New Roman" w:hAnsi="Times New Roman" w:cs="Times New Roman"/>
                <w:noProof/>
                <w:sz w:val="16"/>
                <w:szCs w:val="16"/>
              </w:rPr>
            </w:pPr>
            <w:r w:rsidRPr="008C5F1C">
              <w:rPr>
                <w:rFonts w:ascii="Times New Roman" w:hAnsi="Times New Roman" w:cs="Times New Roman"/>
                <w:noProof/>
                <w:sz w:val="16"/>
                <w:szCs w:val="16"/>
              </w:rPr>
              <w:t>FEDR</w:t>
            </w:r>
          </w:p>
        </w:tc>
        <w:tc>
          <w:tcPr>
            <w:tcW w:w="454" w:type="pct"/>
            <w:tcBorders>
              <w:top w:val="single" w:sz="4" w:space="0" w:color="auto"/>
              <w:left w:val="single" w:sz="4" w:space="0" w:color="auto"/>
              <w:bottom w:val="single" w:sz="4" w:space="0" w:color="auto"/>
              <w:right w:val="single" w:sz="4" w:space="0" w:color="auto"/>
            </w:tcBorders>
          </w:tcPr>
          <w:p w14:paraId="5732FC49" w14:textId="77777777" w:rsidR="005F5B0F" w:rsidRPr="008C5F1C" w:rsidRDefault="005F5B0F" w:rsidP="005F5B0F">
            <w:pPr>
              <w:rPr>
                <w:rFonts w:ascii="Times New Roman" w:hAnsi="Times New Roman" w:cs="Times New Roman"/>
                <w:noProof/>
                <w:sz w:val="16"/>
                <w:szCs w:val="16"/>
              </w:rPr>
            </w:pPr>
            <w:r w:rsidRPr="008C5F1C">
              <w:rPr>
                <w:rFonts w:ascii="Times New Roman" w:hAnsi="Times New Roman" w:cs="Times New Roman"/>
                <w:noProof/>
                <w:sz w:val="16"/>
                <w:szCs w:val="16"/>
              </w:rPr>
              <w:t>Mai puțin dezvoltate</w:t>
            </w:r>
          </w:p>
        </w:tc>
        <w:tc>
          <w:tcPr>
            <w:tcW w:w="283" w:type="pct"/>
            <w:tcBorders>
              <w:top w:val="single" w:sz="4" w:space="0" w:color="auto"/>
              <w:left w:val="single" w:sz="4" w:space="0" w:color="auto"/>
              <w:bottom w:val="single" w:sz="4" w:space="0" w:color="auto"/>
              <w:right w:val="single" w:sz="4" w:space="0" w:color="auto"/>
            </w:tcBorders>
          </w:tcPr>
          <w:p w14:paraId="5A055C6D" w14:textId="5BE769C7" w:rsidR="005F5B0F" w:rsidRPr="008C5F1C" w:rsidRDefault="005F5B0F" w:rsidP="005F5B0F">
            <w:pPr>
              <w:rPr>
                <w:rFonts w:ascii="Times New Roman" w:hAnsi="Times New Roman" w:cs="Times New Roman"/>
                <w:bCs/>
                <w:iCs/>
                <w:sz w:val="16"/>
                <w:szCs w:val="16"/>
              </w:rPr>
            </w:pPr>
            <w:r w:rsidRPr="008C5F1C">
              <w:rPr>
                <w:rFonts w:ascii="Times New Roman" w:hAnsi="Times New Roman" w:cs="Times New Roman"/>
                <w:bCs/>
                <w:iCs/>
                <w:sz w:val="16"/>
                <w:szCs w:val="16"/>
              </w:rPr>
              <w:t xml:space="preserve">RCO </w:t>
            </w:r>
            <w:r>
              <w:rPr>
                <w:rFonts w:ascii="Times New Roman" w:hAnsi="Times New Roman" w:cs="Times New Roman"/>
                <w:bCs/>
                <w:iCs/>
                <w:sz w:val="16"/>
                <w:szCs w:val="16"/>
              </w:rPr>
              <w:t>31</w:t>
            </w:r>
          </w:p>
        </w:tc>
        <w:tc>
          <w:tcPr>
            <w:tcW w:w="888" w:type="pct"/>
            <w:tcBorders>
              <w:top w:val="single" w:sz="4" w:space="0" w:color="auto"/>
              <w:left w:val="single" w:sz="4" w:space="0" w:color="auto"/>
              <w:bottom w:val="single" w:sz="4" w:space="0" w:color="auto"/>
              <w:right w:val="single" w:sz="4" w:space="0" w:color="auto"/>
            </w:tcBorders>
          </w:tcPr>
          <w:p w14:paraId="1AB7AE9F" w14:textId="22A5B0D3" w:rsidR="005F5B0F" w:rsidRPr="008C5F1C" w:rsidRDefault="005F5B0F" w:rsidP="005F5B0F">
            <w:pPr>
              <w:rPr>
                <w:rFonts w:ascii="Times New Roman" w:hAnsi="Times New Roman" w:cs="Times New Roman"/>
                <w:bCs/>
                <w:iCs/>
                <w:sz w:val="16"/>
                <w:szCs w:val="16"/>
              </w:rPr>
            </w:pPr>
            <w:r w:rsidRPr="008C5F1C">
              <w:rPr>
                <w:rFonts w:ascii="Times New Roman" w:hAnsi="Times New Roman" w:cs="Times New Roman"/>
                <w:bCs/>
                <w:iCs/>
                <w:sz w:val="16"/>
                <w:szCs w:val="16"/>
              </w:rPr>
              <w:t xml:space="preserve">RCO </w:t>
            </w:r>
            <w:r>
              <w:rPr>
                <w:rFonts w:ascii="Times New Roman" w:hAnsi="Times New Roman" w:cs="Times New Roman"/>
                <w:bCs/>
                <w:iCs/>
                <w:sz w:val="16"/>
                <w:szCs w:val="16"/>
              </w:rPr>
              <w:t>31</w:t>
            </w:r>
            <w:r w:rsidRPr="008C5F1C">
              <w:rPr>
                <w:rFonts w:ascii="Times New Roman" w:hAnsi="Times New Roman" w:cs="Times New Roman"/>
                <w:bCs/>
                <w:iCs/>
                <w:sz w:val="16"/>
                <w:szCs w:val="16"/>
              </w:rPr>
              <w:t xml:space="preserve"> – </w:t>
            </w:r>
            <w:r>
              <w:rPr>
                <w:rFonts w:ascii="Times New Roman" w:hAnsi="Times New Roman" w:cs="Times New Roman"/>
                <w:bCs/>
                <w:iCs/>
                <w:sz w:val="16"/>
                <w:szCs w:val="16"/>
              </w:rPr>
              <w:t xml:space="preserve">Lungimea </w:t>
            </w:r>
            <w:proofErr w:type="spellStart"/>
            <w:r>
              <w:rPr>
                <w:rFonts w:ascii="Times New Roman" w:hAnsi="Times New Roman" w:cs="Times New Roman"/>
                <w:bCs/>
                <w:iCs/>
                <w:sz w:val="16"/>
                <w:szCs w:val="16"/>
              </w:rPr>
              <w:t>retelelor</w:t>
            </w:r>
            <w:proofErr w:type="spellEnd"/>
            <w:r>
              <w:rPr>
                <w:rFonts w:ascii="Times New Roman" w:hAnsi="Times New Roman" w:cs="Times New Roman"/>
                <w:bCs/>
                <w:iCs/>
                <w:sz w:val="16"/>
                <w:szCs w:val="16"/>
              </w:rPr>
              <w:t xml:space="preserve"> de canalizare nou construite sau consolidate</w:t>
            </w:r>
          </w:p>
        </w:tc>
        <w:tc>
          <w:tcPr>
            <w:tcW w:w="601" w:type="pct"/>
            <w:tcBorders>
              <w:top w:val="single" w:sz="4" w:space="0" w:color="auto"/>
              <w:left w:val="single" w:sz="4" w:space="0" w:color="auto"/>
              <w:bottom w:val="single" w:sz="4" w:space="0" w:color="auto"/>
              <w:right w:val="single" w:sz="4" w:space="0" w:color="auto"/>
            </w:tcBorders>
          </w:tcPr>
          <w:p w14:paraId="13B2C841" w14:textId="5C37C422" w:rsidR="005F5B0F" w:rsidRPr="008C5F1C" w:rsidRDefault="005F5B0F" w:rsidP="005F5B0F">
            <w:pPr>
              <w:rPr>
                <w:rFonts w:ascii="Times New Roman" w:hAnsi="Times New Roman" w:cs="Times New Roman"/>
                <w:bCs/>
                <w:iCs/>
                <w:sz w:val="16"/>
                <w:szCs w:val="16"/>
              </w:rPr>
            </w:pPr>
            <w:r>
              <w:rPr>
                <w:rFonts w:ascii="Times New Roman" w:hAnsi="Times New Roman" w:cs="Times New Roman"/>
                <w:bCs/>
                <w:iCs/>
                <w:sz w:val="16"/>
                <w:szCs w:val="16"/>
              </w:rPr>
              <w:t>km</w:t>
            </w:r>
          </w:p>
        </w:tc>
        <w:tc>
          <w:tcPr>
            <w:tcW w:w="519" w:type="pct"/>
            <w:tcBorders>
              <w:top w:val="single" w:sz="4" w:space="0" w:color="auto"/>
              <w:left w:val="single" w:sz="4" w:space="0" w:color="auto"/>
              <w:bottom w:val="single" w:sz="4" w:space="0" w:color="auto"/>
              <w:right w:val="single" w:sz="4" w:space="0" w:color="auto"/>
            </w:tcBorders>
          </w:tcPr>
          <w:p w14:paraId="4CB92BD2" w14:textId="352DF53A" w:rsidR="005F5B0F" w:rsidRPr="008C5F1C" w:rsidRDefault="005F5B0F" w:rsidP="005F5B0F">
            <w:pPr>
              <w:rPr>
                <w:rFonts w:ascii="Times New Roman" w:hAnsi="Times New Roman" w:cs="Times New Roman"/>
                <w:bCs/>
                <w:iCs/>
                <w:sz w:val="16"/>
                <w:szCs w:val="16"/>
              </w:rPr>
            </w:pPr>
          </w:p>
        </w:tc>
        <w:tc>
          <w:tcPr>
            <w:tcW w:w="645" w:type="pct"/>
            <w:tcBorders>
              <w:top w:val="single" w:sz="4" w:space="0" w:color="auto"/>
              <w:left w:val="single" w:sz="4" w:space="0" w:color="auto"/>
              <w:bottom w:val="single" w:sz="4" w:space="0" w:color="auto"/>
              <w:right w:val="single" w:sz="4" w:space="0" w:color="auto"/>
            </w:tcBorders>
          </w:tcPr>
          <w:p w14:paraId="76D2F8B1" w14:textId="43F550EA" w:rsidR="005F5B0F" w:rsidRPr="008C5F1C" w:rsidRDefault="005F5B0F" w:rsidP="005F5B0F">
            <w:pPr>
              <w:rPr>
                <w:rFonts w:ascii="Times New Roman" w:hAnsi="Times New Roman" w:cs="Times New Roman"/>
                <w:bCs/>
                <w:iCs/>
                <w:sz w:val="16"/>
                <w:szCs w:val="16"/>
              </w:rPr>
            </w:pPr>
          </w:p>
        </w:tc>
      </w:tr>
    </w:tbl>
    <w:p w14:paraId="6BE003D0" w14:textId="77777777" w:rsidR="000C7383" w:rsidRPr="008C5F1C" w:rsidRDefault="000C7383" w:rsidP="000C7383">
      <w:pPr>
        <w:rPr>
          <w:rFonts w:ascii="Times New Roman" w:hAnsi="Times New Roman" w:cs="Times New Roman"/>
        </w:rPr>
        <w:sectPr w:rsidR="000C7383" w:rsidRPr="008C5F1C" w:rsidSect="00F72A1C">
          <w:footerReference w:type="default" r:id="rId9"/>
          <w:type w:val="continuous"/>
          <w:pgSz w:w="11906" w:h="16838"/>
          <w:pgMar w:top="1134" w:right="1134" w:bottom="1134" w:left="1134" w:header="567" w:footer="567" w:gutter="0"/>
          <w:cols w:space="720"/>
          <w:docGrid w:linePitch="326"/>
        </w:sectPr>
      </w:pPr>
    </w:p>
    <w:tbl>
      <w:tblPr>
        <w:tblW w:w="53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1"/>
        <w:gridCol w:w="999"/>
        <w:gridCol w:w="645"/>
        <w:gridCol w:w="941"/>
        <w:gridCol w:w="905"/>
        <w:gridCol w:w="1221"/>
        <w:gridCol w:w="721"/>
        <w:gridCol w:w="837"/>
        <w:gridCol w:w="602"/>
        <w:gridCol w:w="817"/>
        <w:gridCol w:w="660"/>
        <w:gridCol w:w="756"/>
        <w:gridCol w:w="145"/>
      </w:tblGrid>
      <w:tr w:rsidR="000C7383" w:rsidRPr="008C5F1C" w14:paraId="59EAD3F2" w14:textId="77777777" w:rsidTr="00531B85">
        <w:trPr>
          <w:trHeight w:val="480"/>
        </w:trPr>
        <w:tc>
          <w:tcPr>
            <w:tcW w:w="5000" w:type="pct"/>
            <w:gridSpan w:val="13"/>
            <w:tcBorders>
              <w:top w:val="single" w:sz="4" w:space="0" w:color="auto"/>
              <w:left w:val="single" w:sz="4" w:space="0" w:color="auto"/>
              <w:bottom w:val="single" w:sz="4" w:space="0" w:color="auto"/>
              <w:right w:val="single" w:sz="4" w:space="0" w:color="auto"/>
            </w:tcBorders>
            <w:hideMark/>
          </w:tcPr>
          <w:p w14:paraId="0BFF3D99" w14:textId="77777777" w:rsidR="000C7383" w:rsidRPr="008C5F1C" w:rsidRDefault="000C7383" w:rsidP="00531B85">
            <w:pPr>
              <w:rPr>
                <w:rFonts w:ascii="Times New Roman" w:hAnsi="Times New Roman" w:cs="Times New Roman"/>
                <w:b/>
              </w:rPr>
            </w:pPr>
            <w:r w:rsidRPr="008C5F1C">
              <w:rPr>
                <w:rFonts w:ascii="Times New Roman" w:hAnsi="Times New Roman" w:cs="Times New Roman"/>
                <w:b/>
                <w:iCs/>
              </w:rPr>
              <w:t xml:space="preserve">Table 3: </w:t>
            </w:r>
            <w:proofErr w:type="spellStart"/>
            <w:r w:rsidRPr="008C5F1C">
              <w:rPr>
                <w:rFonts w:ascii="Times New Roman" w:hAnsi="Times New Roman" w:cs="Times New Roman"/>
                <w:b/>
                <w:iCs/>
              </w:rPr>
              <w:t>Result</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indicators</w:t>
            </w:r>
            <w:proofErr w:type="spellEnd"/>
          </w:p>
        </w:tc>
      </w:tr>
      <w:tr w:rsidR="000C7383" w:rsidRPr="008C5F1C" w14:paraId="60FA5725" w14:textId="77777777" w:rsidTr="00531B85">
        <w:trPr>
          <w:gridAfter w:val="1"/>
          <w:wAfter w:w="71" w:type="pct"/>
          <w:trHeight w:val="1059"/>
        </w:trPr>
        <w:tc>
          <w:tcPr>
            <w:tcW w:w="471" w:type="pct"/>
            <w:tcBorders>
              <w:top w:val="single" w:sz="4" w:space="0" w:color="auto"/>
              <w:left w:val="single" w:sz="4" w:space="0" w:color="auto"/>
              <w:bottom w:val="single" w:sz="4" w:space="0" w:color="auto"/>
              <w:right w:val="single" w:sz="4" w:space="0" w:color="auto"/>
            </w:tcBorders>
            <w:hideMark/>
          </w:tcPr>
          <w:p w14:paraId="20D1E20D" w14:textId="77777777" w:rsidR="000C7383" w:rsidRPr="008C5F1C" w:rsidRDefault="000C7383" w:rsidP="00531B85">
            <w:pPr>
              <w:rPr>
                <w:rFonts w:ascii="Times New Roman" w:hAnsi="Times New Roman" w:cs="Times New Roman"/>
                <w:b/>
                <w:sz w:val="16"/>
                <w:szCs w:val="16"/>
              </w:rPr>
            </w:pPr>
            <w:proofErr w:type="spellStart"/>
            <w:r w:rsidRPr="008C5F1C">
              <w:rPr>
                <w:rFonts w:ascii="Times New Roman" w:hAnsi="Times New Roman" w:cs="Times New Roman"/>
                <w:b/>
                <w:sz w:val="16"/>
                <w:szCs w:val="16"/>
              </w:rPr>
              <w:t>Priority</w:t>
            </w:r>
            <w:proofErr w:type="spellEnd"/>
            <w:r w:rsidRPr="008C5F1C">
              <w:rPr>
                <w:rFonts w:ascii="Times New Roman" w:hAnsi="Times New Roman" w:cs="Times New Roman"/>
                <w:b/>
                <w:sz w:val="16"/>
                <w:szCs w:val="16"/>
              </w:rPr>
              <w:t xml:space="preserve"> </w:t>
            </w:r>
          </w:p>
        </w:tc>
        <w:tc>
          <w:tcPr>
            <w:tcW w:w="489" w:type="pct"/>
            <w:tcBorders>
              <w:top w:val="single" w:sz="4" w:space="0" w:color="auto"/>
              <w:left w:val="single" w:sz="4" w:space="0" w:color="auto"/>
              <w:bottom w:val="single" w:sz="4" w:space="0" w:color="auto"/>
              <w:right w:val="single" w:sz="4" w:space="0" w:color="auto"/>
            </w:tcBorders>
            <w:hideMark/>
          </w:tcPr>
          <w:p w14:paraId="2ED9DF38" w14:textId="77777777" w:rsidR="000C7383" w:rsidRPr="008C5F1C" w:rsidRDefault="000C7383" w:rsidP="00531B85">
            <w:pPr>
              <w:rPr>
                <w:rFonts w:ascii="Times New Roman" w:hAnsi="Times New Roman" w:cs="Times New Roman"/>
                <w:b/>
                <w:sz w:val="16"/>
                <w:szCs w:val="16"/>
              </w:rPr>
            </w:pPr>
            <w:r w:rsidRPr="008C5F1C">
              <w:rPr>
                <w:rFonts w:ascii="Times New Roman" w:hAnsi="Times New Roman" w:cs="Times New Roman"/>
                <w:b/>
                <w:sz w:val="16"/>
                <w:szCs w:val="16"/>
              </w:rPr>
              <w:t xml:space="preserve">Specific </w:t>
            </w:r>
            <w:proofErr w:type="spellStart"/>
            <w:r w:rsidRPr="008C5F1C">
              <w:rPr>
                <w:rFonts w:ascii="Times New Roman" w:hAnsi="Times New Roman" w:cs="Times New Roman"/>
                <w:b/>
                <w:sz w:val="16"/>
                <w:szCs w:val="16"/>
              </w:rPr>
              <w:t>objective</w:t>
            </w:r>
            <w:proofErr w:type="spellEnd"/>
            <w:r w:rsidRPr="008C5F1C">
              <w:rPr>
                <w:rFonts w:ascii="Times New Roman" w:hAnsi="Times New Roman" w:cs="Times New Roman"/>
                <w:b/>
                <w:sz w:val="16"/>
                <w:szCs w:val="16"/>
              </w:rPr>
              <w:t xml:space="preserve"> (Investment for </w:t>
            </w:r>
            <w:proofErr w:type="spellStart"/>
            <w:r w:rsidRPr="008C5F1C">
              <w:rPr>
                <w:rFonts w:ascii="Times New Roman" w:hAnsi="Times New Roman" w:cs="Times New Roman"/>
                <w:b/>
                <w:sz w:val="16"/>
                <w:szCs w:val="16"/>
              </w:rPr>
              <w:t>Jobs</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and</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Growth</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goal</w:t>
            </w:r>
            <w:proofErr w:type="spellEnd"/>
            <w:r w:rsidRPr="008C5F1C">
              <w:rPr>
                <w:rFonts w:ascii="Times New Roman" w:hAnsi="Times New Roman" w:cs="Times New Roman"/>
                <w:b/>
                <w:sz w:val="16"/>
                <w:szCs w:val="16"/>
              </w:rPr>
              <w:t xml:space="preserve"> or EMFF)</w:t>
            </w:r>
          </w:p>
        </w:tc>
        <w:tc>
          <w:tcPr>
            <w:tcW w:w="316" w:type="pct"/>
            <w:tcBorders>
              <w:top w:val="single" w:sz="4" w:space="0" w:color="auto"/>
              <w:left w:val="single" w:sz="4" w:space="0" w:color="auto"/>
              <w:bottom w:val="single" w:sz="4" w:space="0" w:color="auto"/>
              <w:right w:val="single" w:sz="4" w:space="0" w:color="auto"/>
            </w:tcBorders>
            <w:hideMark/>
          </w:tcPr>
          <w:p w14:paraId="775540A8" w14:textId="77777777" w:rsidR="000C7383" w:rsidRPr="008C5F1C" w:rsidRDefault="000C7383" w:rsidP="00531B85">
            <w:pPr>
              <w:rPr>
                <w:rFonts w:ascii="Times New Roman" w:hAnsi="Times New Roman" w:cs="Times New Roman"/>
                <w:b/>
                <w:sz w:val="16"/>
                <w:szCs w:val="16"/>
              </w:rPr>
            </w:pPr>
            <w:r w:rsidRPr="008C5F1C">
              <w:rPr>
                <w:rFonts w:ascii="Times New Roman" w:hAnsi="Times New Roman" w:cs="Times New Roman"/>
                <w:b/>
                <w:sz w:val="16"/>
                <w:szCs w:val="16"/>
              </w:rPr>
              <w:t>Fund</w:t>
            </w:r>
          </w:p>
        </w:tc>
        <w:tc>
          <w:tcPr>
            <w:tcW w:w="461" w:type="pct"/>
            <w:tcBorders>
              <w:top w:val="single" w:sz="4" w:space="0" w:color="auto"/>
              <w:left w:val="single" w:sz="4" w:space="0" w:color="auto"/>
              <w:bottom w:val="single" w:sz="4" w:space="0" w:color="auto"/>
              <w:right w:val="single" w:sz="4" w:space="0" w:color="auto"/>
            </w:tcBorders>
            <w:hideMark/>
          </w:tcPr>
          <w:p w14:paraId="1C9E5AA7" w14:textId="77777777" w:rsidR="000C7383" w:rsidRPr="008C5F1C" w:rsidRDefault="000C7383" w:rsidP="00531B85">
            <w:pPr>
              <w:rPr>
                <w:rFonts w:ascii="Times New Roman" w:hAnsi="Times New Roman" w:cs="Times New Roman"/>
                <w:b/>
                <w:sz w:val="16"/>
                <w:szCs w:val="16"/>
              </w:rPr>
            </w:pPr>
            <w:proofErr w:type="spellStart"/>
            <w:r w:rsidRPr="008C5F1C">
              <w:rPr>
                <w:rFonts w:ascii="Times New Roman" w:hAnsi="Times New Roman" w:cs="Times New Roman"/>
                <w:b/>
                <w:sz w:val="16"/>
                <w:szCs w:val="16"/>
              </w:rPr>
              <w:t>Category</w:t>
            </w:r>
            <w:proofErr w:type="spellEnd"/>
            <w:r w:rsidRPr="008C5F1C">
              <w:rPr>
                <w:rFonts w:ascii="Times New Roman" w:hAnsi="Times New Roman" w:cs="Times New Roman"/>
                <w:b/>
                <w:sz w:val="16"/>
                <w:szCs w:val="16"/>
              </w:rPr>
              <w:t xml:space="preserve"> of </w:t>
            </w:r>
            <w:proofErr w:type="spellStart"/>
            <w:r w:rsidRPr="008C5F1C">
              <w:rPr>
                <w:rFonts w:ascii="Times New Roman" w:hAnsi="Times New Roman" w:cs="Times New Roman"/>
                <w:b/>
                <w:sz w:val="16"/>
                <w:szCs w:val="16"/>
              </w:rPr>
              <w:t>region</w:t>
            </w:r>
            <w:proofErr w:type="spellEnd"/>
            <w:r w:rsidRPr="008C5F1C">
              <w:rPr>
                <w:rFonts w:ascii="Times New Roman" w:hAnsi="Times New Roman" w:cs="Times New Roman"/>
                <w:sz w:val="16"/>
                <w:szCs w:val="16"/>
              </w:rPr>
              <w:t xml:space="preserve"> </w:t>
            </w:r>
          </w:p>
        </w:tc>
        <w:tc>
          <w:tcPr>
            <w:tcW w:w="443" w:type="pct"/>
            <w:tcBorders>
              <w:top w:val="single" w:sz="4" w:space="0" w:color="auto"/>
              <w:left w:val="single" w:sz="4" w:space="0" w:color="auto"/>
              <w:bottom w:val="single" w:sz="4" w:space="0" w:color="auto"/>
              <w:right w:val="single" w:sz="4" w:space="0" w:color="auto"/>
            </w:tcBorders>
            <w:hideMark/>
          </w:tcPr>
          <w:p w14:paraId="0208889F" w14:textId="77777777" w:rsidR="000C7383" w:rsidRPr="008C5F1C" w:rsidRDefault="000C7383" w:rsidP="00531B85">
            <w:pPr>
              <w:rPr>
                <w:rFonts w:ascii="Times New Roman" w:hAnsi="Times New Roman" w:cs="Times New Roman"/>
                <w:b/>
                <w:sz w:val="16"/>
                <w:szCs w:val="16"/>
              </w:rPr>
            </w:pPr>
            <w:r w:rsidRPr="008C5F1C">
              <w:rPr>
                <w:rFonts w:ascii="Times New Roman" w:hAnsi="Times New Roman" w:cs="Times New Roman"/>
                <w:b/>
                <w:sz w:val="16"/>
                <w:szCs w:val="16"/>
              </w:rPr>
              <w:t>ID [5]</w:t>
            </w:r>
          </w:p>
        </w:tc>
        <w:tc>
          <w:tcPr>
            <w:tcW w:w="598" w:type="pct"/>
            <w:tcBorders>
              <w:top w:val="single" w:sz="4" w:space="0" w:color="auto"/>
              <w:left w:val="single" w:sz="4" w:space="0" w:color="auto"/>
              <w:bottom w:val="single" w:sz="4" w:space="0" w:color="auto"/>
              <w:right w:val="single" w:sz="4" w:space="0" w:color="auto"/>
            </w:tcBorders>
            <w:hideMark/>
          </w:tcPr>
          <w:p w14:paraId="1C6DE7F9" w14:textId="77777777" w:rsidR="000C7383" w:rsidRPr="008C5F1C" w:rsidRDefault="000C7383" w:rsidP="00531B85">
            <w:pPr>
              <w:rPr>
                <w:rFonts w:ascii="Times New Roman" w:hAnsi="Times New Roman" w:cs="Times New Roman"/>
                <w:b/>
                <w:sz w:val="16"/>
                <w:szCs w:val="16"/>
              </w:rPr>
            </w:pPr>
            <w:r w:rsidRPr="008C5F1C">
              <w:rPr>
                <w:rFonts w:ascii="Times New Roman" w:hAnsi="Times New Roman" w:cs="Times New Roman"/>
                <w:b/>
                <w:sz w:val="16"/>
                <w:szCs w:val="16"/>
              </w:rPr>
              <w:t>Indicator [255]</w:t>
            </w:r>
          </w:p>
        </w:tc>
        <w:tc>
          <w:tcPr>
            <w:tcW w:w="353" w:type="pct"/>
            <w:tcBorders>
              <w:top w:val="single" w:sz="4" w:space="0" w:color="auto"/>
              <w:left w:val="single" w:sz="4" w:space="0" w:color="auto"/>
              <w:bottom w:val="single" w:sz="4" w:space="0" w:color="auto"/>
              <w:right w:val="single" w:sz="4" w:space="0" w:color="auto"/>
            </w:tcBorders>
            <w:hideMark/>
          </w:tcPr>
          <w:p w14:paraId="3F68F561" w14:textId="77777777" w:rsidR="000C7383" w:rsidRPr="008C5F1C" w:rsidRDefault="000C7383" w:rsidP="00531B85">
            <w:pPr>
              <w:rPr>
                <w:rFonts w:ascii="Times New Roman" w:hAnsi="Times New Roman" w:cs="Times New Roman"/>
                <w:b/>
                <w:sz w:val="16"/>
                <w:szCs w:val="16"/>
              </w:rPr>
            </w:pPr>
            <w:proofErr w:type="spellStart"/>
            <w:r w:rsidRPr="008C5F1C">
              <w:rPr>
                <w:rFonts w:ascii="Times New Roman" w:hAnsi="Times New Roman" w:cs="Times New Roman"/>
                <w:b/>
                <w:sz w:val="16"/>
                <w:szCs w:val="16"/>
              </w:rPr>
              <w:t>Measurement</w:t>
            </w:r>
            <w:proofErr w:type="spellEnd"/>
            <w:r w:rsidRPr="008C5F1C">
              <w:rPr>
                <w:rFonts w:ascii="Times New Roman" w:hAnsi="Times New Roman" w:cs="Times New Roman"/>
                <w:b/>
                <w:sz w:val="16"/>
                <w:szCs w:val="16"/>
              </w:rPr>
              <w:t xml:space="preserve"> unit</w:t>
            </w:r>
          </w:p>
        </w:tc>
        <w:tc>
          <w:tcPr>
            <w:tcW w:w="410" w:type="pct"/>
            <w:tcBorders>
              <w:top w:val="single" w:sz="4" w:space="0" w:color="auto"/>
              <w:left w:val="single" w:sz="4" w:space="0" w:color="auto"/>
              <w:bottom w:val="single" w:sz="4" w:space="0" w:color="auto"/>
              <w:right w:val="single" w:sz="4" w:space="0" w:color="auto"/>
            </w:tcBorders>
            <w:hideMark/>
          </w:tcPr>
          <w:p w14:paraId="389A6461" w14:textId="77777777" w:rsidR="000C7383" w:rsidRPr="008C5F1C" w:rsidRDefault="000C7383" w:rsidP="00531B85">
            <w:pPr>
              <w:rPr>
                <w:rFonts w:ascii="Times New Roman" w:hAnsi="Times New Roman" w:cs="Times New Roman"/>
                <w:b/>
                <w:sz w:val="16"/>
                <w:szCs w:val="16"/>
              </w:rPr>
            </w:pPr>
            <w:proofErr w:type="spellStart"/>
            <w:r w:rsidRPr="008C5F1C">
              <w:rPr>
                <w:rFonts w:ascii="Times New Roman" w:hAnsi="Times New Roman" w:cs="Times New Roman"/>
                <w:b/>
                <w:sz w:val="16"/>
                <w:szCs w:val="16"/>
              </w:rPr>
              <w:t>Baseline</w:t>
            </w:r>
            <w:proofErr w:type="spellEnd"/>
            <w:r w:rsidRPr="008C5F1C">
              <w:rPr>
                <w:rFonts w:ascii="Times New Roman" w:hAnsi="Times New Roman" w:cs="Times New Roman"/>
                <w:b/>
                <w:sz w:val="16"/>
                <w:szCs w:val="16"/>
              </w:rPr>
              <w:t xml:space="preserve"> or </w:t>
            </w:r>
            <w:proofErr w:type="spellStart"/>
            <w:r w:rsidRPr="008C5F1C">
              <w:rPr>
                <w:rFonts w:ascii="Times New Roman" w:hAnsi="Times New Roman" w:cs="Times New Roman"/>
                <w:b/>
                <w:sz w:val="16"/>
                <w:szCs w:val="16"/>
              </w:rPr>
              <w:t>reference</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value</w:t>
            </w:r>
            <w:proofErr w:type="spellEnd"/>
          </w:p>
        </w:tc>
        <w:tc>
          <w:tcPr>
            <w:tcW w:w="295" w:type="pct"/>
            <w:tcBorders>
              <w:top w:val="single" w:sz="4" w:space="0" w:color="auto"/>
              <w:left w:val="single" w:sz="4" w:space="0" w:color="auto"/>
              <w:bottom w:val="single" w:sz="4" w:space="0" w:color="auto"/>
              <w:right w:val="single" w:sz="4" w:space="0" w:color="auto"/>
            </w:tcBorders>
            <w:hideMark/>
          </w:tcPr>
          <w:p w14:paraId="1609A46C" w14:textId="77777777" w:rsidR="000C7383" w:rsidRPr="008C5F1C" w:rsidRDefault="000C7383" w:rsidP="00531B85">
            <w:pPr>
              <w:rPr>
                <w:rFonts w:ascii="Times New Roman" w:hAnsi="Times New Roman" w:cs="Times New Roman"/>
                <w:b/>
                <w:sz w:val="16"/>
                <w:szCs w:val="16"/>
              </w:rPr>
            </w:pPr>
            <w:proofErr w:type="spellStart"/>
            <w:r w:rsidRPr="008C5F1C">
              <w:rPr>
                <w:rFonts w:ascii="Times New Roman" w:hAnsi="Times New Roman" w:cs="Times New Roman"/>
                <w:b/>
                <w:sz w:val="16"/>
                <w:szCs w:val="16"/>
              </w:rPr>
              <w:t>Reference</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year</w:t>
            </w:r>
            <w:proofErr w:type="spellEnd"/>
          </w:p>
        </w:tc>
        <w:tc>
          <w:tcPr>
            <w:tcW w:w="400" w:type="pct"/>
            <w:tcBorders>
              <w:top w:val="single" w:sz="4" w:space="0" w:color="auto"/>
              <w:left w:val="single" w:sz="4" w:space="0" w:color="auto"/>
              <w:bottom w:val="single" w:sz="4" w:space="0" w:color="auto"/>
              <w:right w:val="single" w:sz="4" w:space="0" w:color="auto"/>
            </w:tcBorders>
          </w:tcPr>
          <w:p w14:paraId="0AF58C25" w14:textId="77777777" w:rsidR="000C7383" w:rsidRPr="008C5F1C" w:rsidRDefault="000C7383" w:rsidP="00531B85">
            <w:pPr>
              <w:rPr>
                <w:rFonts w:ascii="Times New Roman" w:hAnsi="Times New Roman" w:cs="Times New Roman"/>
                <w:b/>
                <w:sz w:val="16"/>
                <w:szCs w:val="16"/>
              </w:rPr>
            </w:pPr>
            <w:r w:rsidRPr="008C5F1C">
              <w:rPr>
                <w:rFonts w:ascii="Times New Roman" w:hAnsi="Times New Roman" w:cs="Times New Roman"/>
                <w:b/>
                <w:sz w:val="16"/>
                <w:szCs w:val="16"/>
              </w:rPr>
              <w:t>Target (2029)</w:t>
            </w:r>
          </w:p>
        </w:tc>
        <w:tc>
          <w:tcPr>
            <w:tcW w:w="323" w:type="pct"/>
            <w:tcBorders>
              <w:top w:val="single" w:sz="4" w:space="0" w:color="auto"/>
              <w:left w:val="single" w:sz="4" w:space="0" w:color="auto"/>
              <w:bottom w:val="single" w:sz="4" w:space="0" w:color="auto"/>
              <w:right w:val="single" w:sz="4" w:space="0" w:color="auto"/>
            </w:tcBorders>
            <w:hideMark/>
          </w:tcPr>
          <w:p w14:paraId="090E10CE" w14:textId="77777777" w:rsidR="000C7383" w:rsidRPr="008C5F1C" w:rsidRDefault="000C7383" w:rsidP="00531B85">
            <w:pPr>
              <w:rPr>
                <w:rFonts w:ascii="Times New Roman" w:hAnsi="Times New Roman" w:cs="Times New Roman"/>
                <w:b/>
                <w:sz w:val="16"/>
                <w:szCs w:val="16"/>
              </w:rPr>
            </w:pPr>
            <w:proofErr w:type="spellStart"/>
            <w:r w:rsidRPr="008C5F1C">
              <w:rPr>
                <w:rFonts w:ascii="Times New Roman" w:hAnsi="Times New Roman" w:cs="Times New Roman"/>
                <w:b/>
                <w:sz w:val="16"/>
                <w:szCs w:val="16"/>
              </w:rPr>
              <w:t>Source</w:t>
            </w:r>
            <w:proofErr w:type="spellEnd"/>
            <w:r w:rsidRPr="008C5F1C">
              <w:rPr>
                <w:rFonts w:ascii="Times New Roman" w:hAnsi="Times New Roman" w:cs="Times New Roman"/>
                <w:b/>
                <w:sz w:val="16"/>
                <w:szCs w:val="16"/>
              </w:rPr>
              <w:t xml:space="preserve"> of data [200]</w:t>
            </w:r>
          </w:p>
        </w:tc>
        <w:tc>
          <w:tcPr>
            <w:tcW w:w="370" w:type="pct"/>
            <w:tcBorders>
              <w:top w:val="single" w:sz="4" w:space="0" w:color="auto"/>
              <w:left w:val="single" w:sz="4" w:space="0" w:color="auto"/>
              <w:bottom w:val="single" w:sz="4" w:space="0" w:color="auto"/>
              <w:right w:val="single" w:sz="4" w:space="0" w:color="auto"/>
            </w:tcBorders>
            <w:hideMark/>
          </w:tcPr>
          <w:p w14:paraId="7BA76C80" w14:textId="77777777" w:rsidR="000C7383" w:rsidRPr="008C5F1C" w:rsidRDefault="000C7383" w:rsidP="00531B85">
            <w:pPr>
              <w:rPr>
                <w:rFonts w:ascii="Times New Roman" w:hAnsi="Times New Roman" w:cs="Times New Roman"/>
                <w:b/>
                <w:sz w:val="16"/>
                <w:szCs w:val="16"/>
              </w:rPr>
            </w:pPr>
            <w:proofErr w:type="spellStart"/>
            <w:r w:rsidRPr="008C5F1C">
              <w:rPr>
                <w:rFonts w:ascii="Times New Roman" w:hAnsi="Times New Roman" w:cs="Times New Roman"/>
                <w:b/>
                <w:sz w:val="16"/>
                <w:szCs w:val="16"/>
              </w:rPr>
              <w:t>Comments</w:t>
            </w:r>
            <w:proofErr w:type="spellEnd"/>
            <w:r w:rsidRPr="008C5F1C">
              <w:rPr>
                <w:rFonts w:ascii="Times New Roman" w:hAnsi="Times New Roman" w:cs="Times New Roman"/>
                <w:b/>
                <w:sz w:val="16"/>
                <w:szCs w:val="16"/>
              </w:rPr>
              <w:t xml:space="preserve"> [200]</w:t>
            </w:r>
          </w:p>
        </w:tc>
      </w:tr>
      <w:tr w:rsidR="005F5B0F" w:rsidRPr="008C5F1C" w14:paraId="5A20CF9C" w14:textId="77777777" w:rsidTr="00531B85">
        <w:trPr>
          <w:gridAfter w:val="1"/>
          <w:wAfter w:w="71" w:type="pct"/>
          <w:trHeight w:val="434"/>
        </w:trPr>
        <w:tc>
          <w:tcPr>
            <w:tcW w:w="471" w:type="pct"/>
            <w:tcBorders>
              <w:top w:val="single" w:sz="4" w:space="0" w:color="auto"/>
              <w:left w:val="single" w:sz="4" w:space="0" w:color="auto"/>
              <w:bottom w:val="single" w:sz="4" w:space="0" w:color="auto"/>
              <w:right w:val="single" w:sz="4" w:space="0" w:color="auto"/>
            </w:tcBorders>
          </w:tcPr>
          <w:p w14:paraId="7EEE0EF6" w14:textId="77777777" w:rsidR="005F5B0F" w:rsidRPr="008C5F1C" w:rsidRDefault="005F5B0F" w:rsidP="005F5B0F">
            <w:pPr>
              <w:rPr>
                <w:rFonts w:ascii="Times New Roman" w:hAnsi="Times New Roman" w:cs="Times New Roman"/>
                <w:iCs/>
                <w:sz w:val="16"/>
                <w:szCs w:val="16"/>
              </w:rPr>
            </w:pPr>
            <w:r w:rsidRPr="008C5F1C">
              <w:rPr>
                <w:rFonts w:ascii="Times New Roman" w:hAnsi="Times New Roman" w:cs="Times New Roman"/>
                <w:iCs/>
                <w:sz w:val="16"/>
                <w:szCs w:val="16"/>
              </w:rPr>
              <w:lastRenderedPageBreak/>
              <w:t>3</w:t>
            </w:r>
          </w:p>
        </w:tc>
        <w:tc>
          <w:tcPr>
            <w:tcW w:w="489" w:type="pct"/>
            <w:tcBorders>
              <w:top w:val="single" w:sz="4" w:space="0" w:color="auto"/>
              <w:left w:val="single" w:sz="4" w:space="0" w:color="auto"/>
              <w:bottom w:val="single" w:sz="4" w:space="0" w:color="auto"/>
              <w:right w:val="single" w:sz="4" w:space="0" w:color="auto"/>
            </w:tcBorders>
          </w:tcPr>
          <w:p w14:paraId="0DC1027C" w14:textId="061F64AF" w:rsidR="005F5B0F" w:rsidRPr="008C5F1C" w:rsidRDefault="005F5B0F" w:rsidP="005F5B0F">
            <w:pPr>
              <w:rPr>
                <w:rFonts w:ascii="Times New Roman" w:hAnsi="Times New Roman" w:cs="Times New Roman"/>
                <w:iCs/>
                <w:sz w:val="16"/>
                <w:szCs w:val="16"/>
              </w:rPr>
            </w:pPr>
            <w:r w:rsidRPr="008C5F1C">
              <w:rPr>
                <w:rFonts w:ascii="Times New Roman" w:hAnsi="Times New Roman" w:cs="Times New Roman"/>
                <w:bCs/>
                <w:iCs/>
                <w:sz w:val="16"/>
                <w:szCs w:val="16"/>
              </w:rPr>
              <w:t>b (</w:t>
            </w:r>
            <w:r>
              <w:rPr>
                <w:rFonts w:ascii="Times New Roman" w:hAnsi="Times New Roman" w:cs="Times New Roman"/>
                <w:bCs/>
                <w:iCs/>
                <w:sz w:val="16"/>
                <w:szCs w:val="16"/>
              </w:rPr>
              <w:t>v</w:t>
            </w:r>
            <w:r w:rsidRPr="008C5F1C">
              <w:rPr>
                <w:rFonts w:ascii="Times New Roman" w:hAnsi="Times New Roman" w:cs="Times New Roman"/>
                <w:bCs/>
                <w:iCs/>
                <w:sz w:val="16"/>
                <w:szCs w:val="16"/>
              </w:rPr>
              <w:t xml:space="preserve">i) </w:t>
            </w:r>
            <w:r w:rsidRPr="005C3467">
              <w:rPr>
                <w:rFonts w:ascii="Times New Roman" w:hAnsi="Times New Roman" w:cs="Times New Roman"/>
                <w:bCs/>
                <w:iCs/>
                <w:sz w:val="16"/>
                <w:szCs w:val="16"/>
              </w:rPr>
              <w:t>Promovarea gestionarii durabile a apelor</w:t>
            </w:r>
          </w:p>
        </w:tc>
        <w:tc>
          <w:tcPr>
            <w:tcW w:w="316" w:type="pct"/>
            <w:tcBorders>
              <w:top w:val="single" w:sz="4" w:space="0" w:color="auto"/>
              <w:left w:val="single" w:sz="4" w:space="0" w:color="auto"/>
              <w:bottom w:val="single" w:sz="4" w:space="0" w:color="auto"/>
              <w:right w:val="single" w:sz="4" w:space="0" w:color="auto"/>
            </w:tcBorders>
          </w:tcPr>
          <w:p w14:paraId="40890020" w14:textId="77777777" w:rsidR="005F5B0F" w:rsidRPr="008C5F1C" w:rsidRDefault="005F5B0F" w:rsidP="005F5B0F">
            <w:pPr>
              <w:rPr>
                <w:rFonts w:ascii="Times New Roman" w:hAnsi="Times New Roman" w:cs="Times New Roman"/>
                <w:iCs/>
                <w:sz w:val="16"/>
                <w:szCs w:val="16"/>
              </w:rPr>
            </w:pPr>
            <w:r w:rsidRPr="008C5F1C">
              <w:rPr>
                <w:rFonts w:ascii="Times New Roman" w:hAnsi="Times New Roman" w:cs="Times New Roman"/>
                <w:noProof/>
                <w:sz w:val="16"/>
                <w:szCs w:val="16"/>
              </w:rPr>
              <w:t>FEDR</w:t>
            </w:r>
          </w:p>
        </w:tc>
        <w:tc>
          <w:tcPr>
            <w:tcW w:w="461" w:type="pct"/>
            <w:tcBorders>
              <w:top w:val="single" w:sz="4" w:space="0" w:color="auto"/>
              <w:left w:val="single" w:sz="4" w:space="0" w:color="auto"/>
              <w:bottom w:val="single" w:sz="4" w:space="0" w:color="auto"/>
              <w:right w:val="single" w:sz="4" w:space="0" w:color="auto"/>
            </w:tcBorders>
          </w:tcPr>
          <w:p w14:paraId="62D6A47D" w14:textId="77777777" w:rsidR="005F5B0F" w:rsidRPr="008C5F1C" w:rsidRDefault="005F5B0F" w:rsidP="005F5B0F">
            <w:pPr>
              <w:rPr>
                <w:rFonts w:ascii="Times New Roman" w:hAnsi="Times New Roman" w:cs="Times New Roman"/>
                <w:iCs/>
                <w:sz w:val="16"/>
                <w:szCs w:val="16"/>
              </w:rPr>
            </w:pPr>
            <w:r w:rsidRPr="008C5F1C">
              <w:rPr>
                <w:rFonts w:ascii="Times New Roman" w:hAnsi="Times New Roman" w:cs="Times New Roman"/>
                <w:noProof/>
                <w:sz w:val="16"/>
                <w:szCs w:val="16"/>
              </w:rPr>
              <w:t>Mai puțin dezvoltate</w:t>
            </w:r>
          </w:p>
        </w:tc>
        <w:tc>
          <w:tcPr>
            <w:tcW w:w="443" w:type="pct"/>
            <w:tcBorders>
              <w:top w:val="single" w:sz="4" w:space="0" w:color="auto"/>
              <w:left w:val="single" w:sz="4" w:space="0" w:color="auto"/>
              <w:bottom w:val="single" w:sz="4" w:space="0" w:color="auto"/>
              <w:right w:val="single" w:sz="4" w:space="0" w:color="auto"/>
            </w:tcBorders>
          </w:tcPr>
          <w:p w14:paraId="5F713995" w14:textId="08CEFCBA" w:rsidR="005F5B0F" w:rsidRPr="008C5F1C" w:rsidRDefault="005F5B0F" w:rsidP="005F5B0F">
            <w:pPr>
              <w:rPr>
                <w:rFonts w:ascii="Times New Roman" w:hAnsi="Times New Roman" w:cs="Times New Roman"/>
                <w:iCs/>
                <w:sz w:val="16"/>
                <w:szCs w:val="16"/>
              </w:rPr>
            </w:pPr>
            <w:r w:rsidRPr="008C5F1C">
              <w:rPr>
                <w:rFonts w:ascii="Times New Roman" w:hAnsi="Times New Roman" w:cs="Times New Roman"/>
                <w:iCs/>
                <w:sz w:val="16"/>
                <w:szCs w:val="16"/>
              </w:rPr>
              <w:t xml:space="preserve">RCR </w:t>
            </w:r>
            <w:r>
              <w:rPr>
                <w:rFonts w:ascii="Times New Roman" w:hAnsi="Times New Roman" w:cs="Times New Roman"/>
                <w:iCs/>
                <w:sz w:val="16"/>
                <w:szCs w:val="16"/>
              </w:rPr>
              <w:t>41</w:t>
            </w:r>
          </w:p>
          <w:p w14:paraId="15BAF1BB" w14:textId="77777777" w:rsidR="005F5B0F" w:rsidRPr="008C5F1C" w:rsidRDefault="005F5B0F" w:rsidP="005F5B0F">
            <w:pPr>
              <w:rPr>
                <w:rFonts w:ascii="Times New Roman" w:hAnsi="Times New Roman" w:cs="Times New Roman"/>
                <w:iCs/>
                <w:sz w:val="16"/>
                <w:szCs w:val="16"/>
              </w:rPr>
            </w:pPr>
          </w:p>
        </w:tc>
        <w:tc>
          <w:tcPr>
            <w:tcW w:w="598" w:type="pct"/>
            <w:tcBorders>
              <w:top w:val="single" w:sz="4" w:space="0" w:color="auto"/>
              <w:left w:val="single" w:sz="4" w:space="0" w:color="auto"/>
              <w:bottom w:val="single" w:sz="4" w:space="0" w:color="auto"/>
              <w:right w:val="single" w:sz="4" w:space="0" w:color="auto"/>
            </w:tcBorders>
          </w:tcPr>
          <w:p w14:paraId="3FD85C4A" w14:textId="3F048F03" w:rsidR="005F5B0F" w:rsidRPr="008C5F1C" w:rsidRDefault="005F5B0F" w:rsidP="005F5B0F">
            <w:pPr>
              <w:rPr>
                <w:rFonts w:ascii="Times New Roman" w:hAnsi="Times New Roman" w:cs="Times New Roman"/>
                <w:iCs/>
                <w:sz w:val="16"/>
                <w:szCs w:val="16"/>
              </w:rPr>
            </w:pPr>
            <w:r w:rsidRPr="008C5F1C">
              <w:rPr>
                <w:rFonts w:ascii="Times New Roman" w:hAnsi="Times New Roman" w:cs="Times New Roman"/>
                <w:iCs/>
                <w:sz w:val="16"/>
                <w:szCs w:val="16"/>
              </w:rPr>
              <w:t xml:space="preserve">RCR </w:t>
            </w:r>
            <w:r>
              <w:rPr>
                <w:rFonts w:ascii="Times New Roman" w:hAnsi="Times New Roman" w:cs="Times New Roman"/>
                <w:iCs/>
                <w:sz w:val="16"/>
                <w:szCs w:val="16"/>
              </w:rPr>
              <w:t>41</w:t>
            </w:r>
            <w:r w:rsidRPr="008C5F1C">
              <w:rPr>
                <w:rFonts w:ascii="Times New Roman" w:hAnsi="Times New Roman" w:cs="Times New Roman"/>
                <w:iCs/>
                <w:sz w:val="16"/>
                <w:szCs w:val="16"/>
              </w:rPr>
              <w:t xml:space="preserve"> </w:t>
            </w:r>
            <w:r>
              <w:rPr>
                <w:rFonts w:ascii="Times New Roman" w:hAnsi="Times New Roman" w:cs="Times New Roman"/>
                <w:iCs/>
                <w:sz w:val="16"/>
                <w:szCs w:val="16"/>
              </w:rPr>
              <w:t>–</w:t>
            </w:r>
            <w:r w:rsidRPr="008C5F1C">
              <w:rPr>
                <w:rFonts w:ascii="Times New Roman" w:hAnsi="Times New Roman" w:cs="Times New Roman"/>
                <w:iCs/>
                <w:sz w:val="16"/>
                <w:szCs w:val="16"/>
              </w:rPr>
              <w:t xml:space="preserve"> </w:t>
            </w:r>
            <w:proofErr w:type="spellStart"/>
            <w:r>
              <w:rPr>
                <w:rFonts w:ascii="Times New Roman" w:hAnsi="Times New Roman" w:cs="Times New Roman"/>
                <w:iCs/>
                <w:sz w:val="16"/>
                <w:szCs w:val="16"/>
              </w:rPr>
              <w:t>Populatia</w:t>
            </w:r>
            <w:proofErr w:type="spellEnd"/>
            <w:r>
              <w:rPr>
                <w:rFonts w:ascii="Times New Roman" w:hAnsi="Times New Roman" w:cs="Times New Roman"/>
                <w:iCs/>
                <w:sz w:val="16"/>
                <w:szCs w:val="16"/>
              </w:rPr>
              <w:t xml:space="preserve"> racordata la </w:t>
            </w:r>
            <w:proofErr w:type="spellStart"/>
            <w:r>
              <w:rPr>
                <w:rFonts w:ascii="Times New Roman" w:hAnsi="Times New Roman" w:cs="Times New Roman"/>
                <w:iCs/>
                <w:sz w:val="16"/>
                <w:szCs w:val="16"/>
              </w:rPr>
              <w:t>retele</w:t>
            </w:r>
            <w:proofErr w:type="spellEnd"/>
            <w:r>
              <w:rPr>
                <w:rFonts w:ascii="Times New Roman" w:hAnsi="Times New Roman" w:cs="Times New Roman"/>
                <w:iCs/>
                <w:sz w:val="16"/>
                <w:szCs w:val="16"/>
              </w:rPr>
              <w:t xml:space="preserve"> </w:t>
            </w:r>
            <w:proofErr w:type="spellStart"/>
            <w:r>
              <w:rPr>
                <w:rFonts w:ascii="Times New Roman" w:hAnsi="Times New Roman" w:cs="Times New Roman"/>
                <w:iCs/>
                <w:sz w:val="16"/>
                <w:szCs w:val="16"/>
              </w:rPr>
              <w:t>imbunatatite</w:t>
            </w:r>
            <w:proofErr w:type="spellEnd"/>
            <w:r>
              <w:rPr>
                <w:rFonts w:ascii="Times New Roman" w:hAnsi="Times New Roman" w:cs="Times New Roman"/>
                <w:iCs/>
                <w:sz w:val="16"/>
                <w:szCs w:val="16"/>
              </w:rPr>
              <w:t xml:space="preserve"> de alimentare cu apa</w:t>
            </w:r>
          </w:p>
        </w:tc>
        <w:tc>
          <w:tcPr>
            <w:tcW w:w="353" w:type="pct"/>
            <w:tcBorders>
              <w:top w:val="single" w:sz="4" w:space="0" w:color="auto"/>
              <w:left w:val="single" w:sz="4" w:space="0" w:color="auto"/>
              <w:bottom w:val="single" w:sz="4" w:space="0" w:color="auto"/>
              <w:right w:val="single" w:sz="4" w:space="0" w:color="auto"/>
            </w:tcBorders>
          </w:tcPr>
          <w:p w14:paraId="6A59560D" w14:textId="05FDE8B4" w:rsidR="005F5B0F" w:rsidRPr="008C5F1C" w:rsidRDefault="005F5B0F" w:rsidP="005F5B0F">
            <w:pPr>
              <w:rPr>
                <w:rFonts w:ascii="Times New Roman" w:hAnsi="Times New Roman" w:cs="Times New Roman"/>
                <w:iCs/>
                <w:sz w:val="16"/>
                <w:szCs w:val="16"/>
              </w:rPr>
            </w:pPr>
            <w:proofErr w:type="spellStart"/>
            <w:r>
              <w:rPr>
                <w:rFonts w:ascii="Times New Roman" w:hAnsi="Times New Roman" w:cs="Times New Roman"/>
                <w:iCs/>
                <w:sz w:val="16"/>
                <w:szCs w:val="16"/>
              </w:rPr>
              <w:t>Populatia</w:t>
            </w:r>
            <w:proofErr w:type="spellEnd"/>
          </w:p>
        </w:tc>
        <w:tc>
          <w:tcPr>
            <w:tcW w:w="410" w:type="pct"/>
            <w:tcBorders>
              <w:top w:val="single" w:sz="4" w:space="0" w:color="auto"/>
              <w:left w:val="single" w:sz="4" w:space="0" w:color="auto"/>
              <w:bottom w:val="single" w:sz="4" w:space="0" w:color="auto"/>
              <w:right w:val="single" w:sz="4" w:space="0" w:color="auto"/>
            </w:tcBorders>
          </w:tcPr>
          <w:p w14:paraId="00472265" w14:textId="418C2AA2" w:rsidR="005F5B0F" w:rsidRPr="008C5F1C" w:rsidRDefault="005F5B0F" w:rsidP="005F5B0F">
            <w:pPr>
              <w:rPr>
                <w:rFonts w:ascii="Times New Roman" w:hAnsi="Times New Roman" w:cs="Times New Roman"/>
                <w:iCs/>
                <w:sz w:val="16"/>
                <w:szCs w:val="16"/>
              </w:rPr>
            </w:pPr>
          </w:p>
        </w:tc>
        <w:tc>
          <w:tcPr>
            <w:tcW w:w="295" w:type="pct"/>
            <w:tcBorders>
              <w:top w:val="single" w:sz="4" w:space="0" w:color="auto"/>
              <w:left w:val="single" w:sz="4" w:space="0" w:color="auto"/>
              <w:bottom w:val="single" w:sz="4" w:space="0" w:color="auto"/>
              <w:right w:val="single" w:sz="4" w:space="0" w:color="auto"/>
            </w:tcBorders>
          </w:tcPr>
          <w:p w14:paraId="43FF1EDC" w14:textId="1A97F348" w:rsidR="005F5B0F" w:rsidRPr="008C5F1C" w:rsidRDefault="005F5B0F" w:rsidP="005F5B0F">
            <w:pPr>
              <w:rPr>
                <w:rFonts w:ascii="Times New Roman" w:hAnsi="Times New Roman" w:cs="Times New Roman"/>
                <w:iCs/>
                <w:sz w:val="16"/>
                <w:szCs w:val="16"/>
              </w:rPr>
            </w:pPr>
            <w:r>
              <w:rPr>
                <w:rFonts w:ascii="Times New Roman" w:hAnsi="Times New Roman" w:cs="Times New Roman"/>
                <w:iCs/>
                <w:sz w:val="16"/>
                <w:szCs w:val="16"/>
              </w:rPr>
              <w:t>2019</w:t>
            </w:r>
          </w:p>
        </w:tc>
        <w:tc>
          <w:tcPr>
            <w:tcW w:w="400" w:type="pct"/>
            <w:tcBorders>
              <w:top w:val="single" w:sz="4" w:space="0" w:color="auto"/>
              <w:left w:val="single" w:sz="4" w:space="0" w:color="auto"/>
              <w:bottom w:val="single" w:sz="4" w:space="0" w:color="auto"/>
              <w:right w:val="single" w:sz="4" w:space="0" w:color="auto"/>
            </w:tcBorders>
          </w:tcPr>
          <w:p w14:paraId="2D4FB12C" w14:textId="3F259234" w:rsidR="005F5B0F" w:rsidRPr="008C5F1C" w:rsidRDefault="005F5B0F" w:rsidP="005F5B0F">
            <w:pPr>
              <w:rPr>
                <w:rFonts w:ascii="Times New Roman" w:hAnsi="Times New Roman" w:cs="Times New Roman"/>
                <w:iCs/>
                <w:sz w:val="16"/>
                <w:szCs w:val="16"/>
              </w:rPr>
            </w:pPr>
          </w:p>
        </w:tc>
        <w:tc>
          <w:tcPr>
            <w:tcW w:w="323" w:type="pct"/>
            <w:tcBorders>
              <w:top w:val="single" w:sz="4" w:space="0" w:color="auto"/>
              <w:left w:val="single" w:sz="4" w:space="0" w:color="auto"/>
              <w:bottom w:val="single" w:sz="4" w:space="0" w:color="auto"/>
              <w:right w:val="single" w:sz="4" w:space="0" w:color="auto"/>
            </w:tcBorders>
          </w:tcPr>
          <w:p w14:paraId="2C990393" w14:textId="63F40548" w:rsidR="005F5B0F" w:rsidRPr="008C5F1C" w:rsidRDefault="005F5B0F" w:rsidP="005F5B0F">
            <w:pPr>
              <w:rPr>
                <w:rFonts w:ascii="Times New Roman" w:hAnsi="Times New Roman" w:cs="Times New Roman"/>
                <w:iCs/>
                <w:sz w:val="16"/>
                <w:szCs w:val="16"/>
              </w:rPr>
            </w:pPr>
          </w:p>
        </w:tc>
        <w:tc>
          <w:tcPr>
            <w:tcW w:w="370" w:type="pct"/>
            <w:tcBorders>
              <w:top w:val="single" w:sz="4" w:space="0" w:color="auto"/>
              <w:left w:val="single" w:sz="4" w:space="0" w:color="auto"/>
              <w:bottom w:val="single" w:sz="4" w:space="0" w:color="auto"/>
              <w:right w:val="single" w:sz="4" w:space="0" w:color="auto"/>
            </w:tcBorders>
          </w:tcPr>
          <w:p w14:paraId="052AE85C" w14:textId="77777777" w:rsidR="005F5B0F" w:rsidRPr="008C5F1C" w:rsidRDefault="005F5B0F" w:rsidP="005F5B0F">
            <w:pPr>
              <w:spacing w:after="120"/>
              <w:rPr>
                <w:rFonts w:ascii="Times New Roman" w:hAnsi="Times New Roman" w:cs="Times New Roman"/>
                <w:iCs/>
                <w:sz w:val="16"/>
                <w:szCs w:val="16"/>
              </w:rPr>
            </w:pPr>
          </w:p>
        </w:tc>
      </w:tr>
      <w:tr w:rsidR="005F5B0F" w:rsidRPr="008C5F1C" w14:paraId="619723DD" w14:textId="77777777" w:rsidTr="00531B85">
        <w:trPr>
          <w:gridAfter w:val="1"/>
          <w:wAfter w:w="71" w:type="pct"/>
          <w:trHeight w:val="434"/>
        </w:trPr>
        <w:tc>
          <w:tcPr>
            <w:tcW w:w="471" w:type="pct"/>
            <w:tcBorders>
              <w:top w:val="single" w:sz="4" w:space="0" w:color="auto"/>
              <w:left w:val="single" w:sz="4" w:space="0" w:color="auto"/>
              <w:bottom w:val="single" w:sz="4" w:space="0" w:color="auto"/>
              <w:right w:val="single" w:sz="4" w:space="0" w:color="auto"/>
            </w:tcBorders>
          </w:tcPr>
          <w:p w14:paraId="37C98ABC" w14:textId="77777777" w:rsidR="005F5B0F" w:rsidRPr="008C5F1C" w:rsidRDefault="005F5B0F" w:rsidP="005F5B0F">
            <w:pPr>
              <w:rPr>
                <w:rFonts w:ascii="Times New Roman" w:hAnsi="Times New Roman" w:cs="Times New Roman"/>
                <w:iCs/>
                <w:sz w:val="16"/>
                <w:szCs w:val="16"/>
              </w:rPr>
            </w:pPr>
            <w:r w:rsidRPr="008C5F1C">
              <w:rPr>
                <w:rFonts w:ascii="Times New Roman" w:hAnsi="Times New Roman" w:cs="Times New Roman"/>
                <w:iCs/>
                <w:sz w:val="16"/>
                <w:szCs w:val="16"/>
              </w:rPr>
              <w:t>3</w:t>
            </w:r>
          </w:p>
        </w:tc>
        <w:tc>
          <w:tcPr>
            <w:tcW w:w="489" w:type="pct"/>
            <w:tcBorders>
              <w:top w:val="single" w:sz="4" w:space="0" w:color="auto"/>
              <w:left w:val="single" w:sz="4" w:space="0" w:color="auto"/>
              <w:bottom w:val="single" w:sz="4" w:space="0" w:color="auto"/>
              <w:right w:val="single" w:sz="4" w:space="0" w:color="auto"/>
            </w:tcBorders>
          </w:tcPr>
          <w:p w14:paraId="49DC19D3" w14:textId="20F164FF" w:rsidR="005F5B0F" w:rsidRPr="008C5F1C" w:rsidRDefault="005F5B0F" w:rsidP="005F5B0F">
            <w:pPr>
              <w:rPr>
                <w:rFonts w:ascii="Times New Roman" w:hAnsi="Times New Roman" w:cs="Times New Roman"/>
                <w:bCs/>
                <w:iCs/>
                <w:sz w:val="16"/>
                <w:szCs w:val="16"/>
              </w:rPr>
            </w:pPr>
            <w:r w:rsidRPr="008C5F1C">
              <w:rPr>
                <w:rFonts w:ascii="Times New Roman" w:hAnsi="Times New Roman" w:cs="Times New Roman"/>
                <w:bCs/>
                <w:iCs/>
                <w:sz w:val="16"/>
                <w:szCs w:val="16"/>
              </w:rPr>
              <w:t>b (</w:t>
            </w:r>
            <w:r>
              <w:rPr>
                <w:rFonts w:ascii="Times New Roman" w:hAnsi="Times New Roman" w:cs="Times New Roman"/>
                <w:bCs/>
                <w:iCs/>
                <w:sz w:val="16"/>
                <w:szCs w:val="16"/>
              </w:rPr>
              <w:t>v</w:t>
            </w:r>
            <w:r w:rsidRPr="008C5F1C">
              <w:rPr>
                <w:rFonts w:ascii="Times New Roman" w:hAnsi="Times New Roman" w:cs="Times New Roman"/>
                <w:bCs/>
                <w:iCs/>
                <w:sz w:val="16"/>
                <w:szCs w:val="16"/>
              </w:rPr>
              <w:t xml:space="preserve">i) </w:t>
            </w:r>
            <w:r w:rsidRPr="005C3467">
              <w:rPr>
                <w:rFonts w:ascii="Times New Roman" w:hAnsi="Times New Roman" w:cs="Times New Roman"/>
                <w:bCs/>
                <w:iCs/>
                <w:sz w:val="16"/>
                <w:szCs w:val="16"/>
              </w:rPr>
              <w:t>Promovarea gestionarii durabile a apelor</w:t>
            </w:r>
          </w:p>
        </w:tc>
        <w:tc>
          <w:tcPr>
            <w:tcW w:w="316" w:type="pct"/>
            <w:tcBorders>
              <w:top w:val="single" w:sz="4" w:space="0" w:color="auto"/>
              <w:left w:val="single" w:sz="4" w:space="0" w:color="auto"/>
              <w:bottom w:val="single" w:sz="4" w:space="0" w:color="auto"/>
              <w:right w:val="single" w:sz="4" w:space="0" w:color="auto"/>
            </w:tcBorders>
          </w:tcPr>
          <w:p w14:paraId="1BD79117" w14:textId="77777777" w:rsidR="005F5B0F" w:rsidRPr="008C5F1C" w:rsidRDefault="005F5B0F" w:rsidP="005F5B0F">
            <w:pPr>
              <w:rPr>
                <w:rFonts w:ascii="Times New Roman" w:hAnsi="Times New Roman" w:cs="Times New Roman"/>
                <w:noProof/>
                <w:sz w:val="16"/>
                <w:szCs w:val="16"/>
              </w:rPr>
            </w:pPr>
            <w:r w:rsidRPr="008C5F1C">
              <w:rPr>
                <w:rFonts w:ascii="Times New Roman" w:hAnsi="Times New Roman" w:cs="Times New Roman"/>
                <w:noProof/>
                <w:sz w:val="16"/>
                <w:szCs w:val="16"/>
              </w:rPr>
              <w:t>FEDR</w:t>
            </w:r>
          </w:p>
        </w:tc>
        <w:tc>
          <w:tcPr>
            <w:tcW w:w="461" w:type="pct"/>
            <w:tcBorders>
              <w:top w:val="single" w:sz="4" w:space="0" w:color="auto"/>
              <w:left w:val="single" w:sz="4" w:space="0" w:color="auto"/>
              <w:bottom w:val="single" w:sz="4" w:space="0" w:color="auto"/>
              <w:right w:val="single" w:sz="4" w:space="0" w:color="auto"/>
            </w:tcBorders>
          </w:tcPr>
          <w:p w14:paraId="37E5E63D" w14:textId="77777777" w:rsidR="005F5B0F" w:rsidRPr="008C5F1C" w:rsidRDefault="005F5B0F" w:rsidP="005F5B0F">
            <w:pPr>
              <w:rPr>
                <w:rFonts w:ascii="Times New Roman" w:hAnsi="Times New Roman" w:cs="Times New Roman"/>
                <w:noProof/>
                <w:sz w:val="16"/>
                <w:szCs w:val="16"/>
              </w:rPr>
            </w:pPr>
            <w:r w:rsidRPr="008C5F1C">
              <w:rPr>
                <w:rFonts w:ascii="Times New Roman" w:hAnsi="Times New Roman" w:cs="Times New Roman"/>
                <w:noProof/>
                <w:sz w:val="16"/>
                <w:szCs w:val="16"/>
              </w:rPr>
              <w:t>Mai puțin dezvoltate</w:t>
            </w:r>
          </w:p>
        </w:tc>
        <w:tc>
          <w:tcPr>
            <w:tcW w:w="443" w:type="pct"/>
            <w:tcBorders>
              <w:top w:val="single" w:sz="4" w:space="0" w:color="auto"/>
              <w:left w:val="single" w:sz="4" w:space="0" w:color="auto"/>
              <w:bottom w:val="single" w:sz="4" w:space="0" w:color="auto"/>
              <w:right w:val="single" w:sz="4" w:space="0" w:color="auto"/>
            </w:tcBorders>
          </w:tcPr>
          <w:p w14:paraId="09BE858F" w14:textId="3FB76698" w:rsidR="005F5B0F" w:rsidRPr="008C5F1C" w:rsidRDefault="005F5B0F" w:rsidP="005F5B0F">
            <w:pPr>
              <w:rPr>
                <w:rFonts w:ascii="Times New Roman" w:hAnsi="Times New Roman" w:cs="Times New Roman"/>
                <w:iCs/>
                <w:sz w:val="16"/>
                <w:szCs w:val="16"/>
              </w:rPr>
            </w:pPr>
            <w:r w:rsidRPr="008C5F1C">
              <w:rPr>
                <w:rFonts w:ascii="Times New Roman" w:hAnsi="Times New Roman" w:cs="Times New Roman"/>
                <w:iCs/>
                <w:sz w:val="16"/>
                <w:szCs w:val="16"/>
              </w:rPr>
              <w:t xml:space="preserve">RCR </w:t>
            </w:r>
            <w:r>
              <w:rPr>
                <w:rFonts w:ascii="Times New Roman" w:hAnsi="Times New Roman" w:cs="Times New Roman"/>
                <w:iCs/>
                <w:sz w:val="16"/>
                <w:szCs w:val="16"/>
              </w:rPr>
              <w:t>42</w:t>
            </w:r>
            <w:r w:rsidRPr="008C5F1C">
              <w:rPr>
                <w:rFonts w:ascii="Times New Roman" w:hAnsi="Times New Roman" w:cs="Times New Roman"/>
                <w:iCs/>
                <w:sz w:val="16"/>
                <w:szCs w:val="16"/>
              </w:rPr>
              <w:t xml:space="preserve"> </w:t>
            </w:r>
          </w:p>
        </w:tc>
        <w:tc>
          <w:tcPr>
            <w:tcW w:w="598" w:type="pct"/>
            <w:tcBorders>
              <w:top w:val="single" w:sz="4" w:space="0" w:color="auto"/>
              <w:left w:val="single" w:sz="4" w:space="0" w:color="auto"/>
              <w:bottom w:val="single" w:sz="4" w:space="0" w:color="auto"/>
              <w:right w:val="single" w:sz="4" w:space="0" w:color="auto"/>
            </w:tcBorders>
          </w:tcPr>
          <w:p w14:paraId="6D1678CB" w14:textId="42D802BD" w:rsidR="005F5B0F" w:rsidRPr="008C5F1C" w:rsidRDefault="005F5B0F" w:rsidP="005F5B0F">
            <w:pPr>
              <w:rPr>
                <w:rFonts w:ascii="Times New Roman" w:hAnsi="Times New Roman" w:cs="Times New Roman"/>
                <w:iCs/>
                <w:sz w:val="16"/>
                <w:szCs w:val="16"/>
              </w:rPr>
            </w:pPr>
            <w:r w:rsidRPr="008C5F1C">
              <w:rPr>
                <w:rFonts w:ascii="Times New Roman" w:hAnsi="Times New Roman" w:cs="Times New Roman"/>
                <w:iCs/>
                <w:sz w:val="16"/>
                <w:szCs w:val="16"/>
              </w:rPr>
              <w:t xml:space="preserve">RCR </w:t>
            </w:r>
            <w:r>
              <w:rPr>
                <w:rFonts w:ascii="Times New Roman" w:hAnsi="Times New Roman" w:cs="Times New Roman"/>
                <w:iCs/>
                <w:sz w:val="16"/>
                <w:szCs w:val="16"/>
              </w:rPr>
              <w:t>42</w:t>
            </w:r>
            <w:r w:rsidRPr="008C5F1C">
              <w:rPr>
                <w:rFonts w:ascii="Times New Roman" w:hAnsi="Times New Roman" w:cs="Times New Roman"/>
                <w:iCs/>
                <w:sz w:val="16"/>
                <w:szCs w:val="16"/>
              </w:rPr>
              <w:t xml:space="preserve"> – </w:t>
            </w:r>
            <w:proofErr w:type="spellStart"/>
            <w:r>
              <w:rPr>
                <w:rFonts w:ascii="Times New Roman" w:hAnsi="Times New Roman" w:cs="Times New Roman"/>
                <w:iCs/>
                <w:sz w:val="16"/>
                <w:szCs w:val="16"/>
              </w:rPr>
              <w:t>Populatia</w:t>
            </w:r>
            <w:proofErr w:type="spellEnd"/>
            <w:r>
              <w:rPr>
                <w:rFonts w:ascii="Times New Roman" w:hAnsi="Times New Roman" w:cs="Times New Roman"/>
                <w:iCs/>
                <w:sz w:val="16"/>
                <w:szCs w:val="16"/>
              </w:rPr>
              <w:t xml:space="preserve"> racordata cel </w:t>
            </w:r>
            <w:proofErr w:type="spellStart"/>
            <w:r>
              <w:rPr>
                <w:rFonts w:ascii="Times New Roman" w:hAnsi="Times New Roman" w:cs="Times New Roman"/>
                <w:iCs/>
                <w:sz w:val="16"/>
                <w:szCs w:val="16"/>
              </w:rPr>
              <w:t>putin</w:t>
            </w:r>
            <w:proofErr w:type="spellEnd"/>
            <w:r>
              <w:rPr>
                <w:rFonts w:ascii="Times New Roman" w:hAnsi="Times New Roman" w:cs="Times New Roman"/>
                <w:iCs/>
                <w:sz w:val="16"/>
                <w:szCs w:val="16"/>
              </w:rPr>
              <w:t xml:space="preserve"> la </w:t>
            </w:r>
            <w:proofErr w:type="spellStart"/>
            <w:r>
              <w:rPr>
                <w:rFonts w:ascii="Times New Roman" w:hAnsi="Times New Roman" w:cs="Times New Roman"/>
                <w:iCs/>
                <w:sz w:val="16"/>
                <w:szCs w:val="16"/>
              </w:rPr>
              <w:t>instalatii</w:t>
            </w:r>
            <w:proofErr w:type="spellEnd"/>
            <w:r>
              <w:rPr>
                <w:rFonts w:ascii="Times New Roman" w:hAnsi="Times New Roman" w:cs="Times New Roman"/>
                <w:iCs/>
                <w:sz w:val="16"/>
                <w:szCs w:val="16"/>
              </w:rPr>
              <w:t xml:space="preserve"> secundare de tratare a apelor uzate</w:t>
            </w:r>
          </w:p>
        </w:tc>
        <w:tc>
          <w:tcPr>
            <w:tcW w:w="353" w:type="pct"/>
            <w:tcBorders>
              <w:top w:val="single" w:sz="4" w:space="0" w:color="auto"/>
              <w:left w:val="single" w:sz="4" w:space="0" w:color="auto"/>
              <w:bottom w:val="single" w:sz="4" w:space="0" w:color="auto"/>
              <w:right w:val="single" w:sz="4" w:space="0" w:color="auto"/>
            </w:tcBorders>
          </w:tcPr>
          <w:p w14:paraId="1224E648" w14:textId="5017DCAC" w:rsidR="005F5B0F" w:rsidRPr="008C5F1C" w:rsidRDefault="005F5B0F" w:rsidP="005F5B0F">
            <w:pPr>
              <w:rPr>
                <w:rFonts w:ascii="Times New Roman" w:hAnsi="Times New Roman" w:cs="Times New Roman"/>
                <w:iCs/>
                <w:sz w:val="16"/>
                <w:szCs w:val="16"/>
              </w:rPr>
            </w:pPr>
            <w:proofErr w:type="spellStart"/>
            <w:r w:rsidRPr="00F74451">
              <w:rPr>
                <w:rFonts w:ascii="Times New Roman" w:hAnsi="Times New Roman" w:cs="Times New Roman"/>
                <w:iCs/>
                <w:sz w:val="16"/>
                <w:szCs w:val="16"/>
              </w:rPr>
              <w:t>Populatia</w:t>
            </w:r>
            <w:proofErr w:type="spellEnd"/>
          </w:p>
        </w:tc>
        <w:tc>
          <w:tcPr>
            <w:tcW w:w="410" w:type="pct"/>
            <w:tcBorders>
              <w:top w:val="single" w:sz="4" w:space="0" w:color="auto"/>
              <w:left w:val="single" w:sz="4" w:space="0" w:color="auto"/>
              <w:bottom w:val="single" w:sz="4" w:space="0" w:color="auto"/>
              <w:right w:val="single" w:sz="4" w:space="0" w:color="auto"/>
            </w:tcBorders>
          </w:tcPr>
          <w:p w14:paraId="053320D7" w14:textId="394C502F" w:rsidR="005F5B0F" w:rsidRPr="008C5F1C" w:rsidRDefault="005F5B0F" w:rsidP="005F5B0F">
            <w:pPr>
              <w:rPr>
                <w:rFonts w:ascii="Times New Roman" w:hAnsi="Times New Roman" w:cs="Times New Roman"/>
                <w:iCs/>
                <w:sz w:val="16"/>
                <w:szCs w:val="16"/>
              </w:rPr>
            </w:pPr>
          </w:p>
        </w:tc>
        <w:tc>
          <w:tcPr>
            <w:tcW w:w="295" w:type="pct"/>
            <w:tcBorders>
              <w:top w:val="single" w:sz="4" w:space="0" w:color="auto"/>
              <w:left w:val="single" w:sz="4" w:space="0" w:color="auto"/>
              <w:bottom w:val="single" w:sz="4" w:space="0" w:color="auto"/>
              <w:right w:val="single" w:sz="4" w:space="0" w:color="auto"/>
            </w:tcBorders>
          </w:tcPr>
          <w:p w14:paraId="157F80F2" w14:textId="596D8DC9" w:rsidR="005F5B0F" w:rsidRPr="008C5F1C" w:rsidRDefault="005F5B0F" w:rsidP="005F5B0F">
            <w:pPr>
              <w:rPr>
                <w:rFonts w:ascii="Times New Roman" w:hAnsi="Times New Roman" w:cs="Times New Roman"/>
                <w:iCs/>
                <w:sz w:val="16"/>
                <w:szCs w:val="16"/>
              </w:rPr>
            </w:pPr>
            <w:r>
              <w:rPr>
                <w:rFonts w:ascii="Times New Roman" w:hAnsi="Times New Roman" w:cs="Times New Roman"/>
                <w:iCs/>
                <w:sz w:val="16"/>
                <w:szCs w:val="16"/>
              </w:rPr>
              <w:t>2019</w:t>
            </w:r>
          </w:p>
        </w:tc>
        <w:tc>
          <w:tcPr>
            <w:tcW w:w="400" w:type="pct"/>
            <w:tcBorders>
              <w:top w:val="single" w:sz="4" w:space="0" w:color="auto"/>
              <w:left w:val="single" w:sz="4" w:space="0" w:color="auto"/>
              <w:bottom w:val="single" w:sz="4" w:space="0" w:color="auto"/>
              <w:right w:val="single" w:sz="4" w:space="0" w:color="auto"/>
            </w:tcBorders>
          </w:tcPr>
          <w:p w14:paraId="5782772A" w14:textId="1F66B075" w:rsidR="005F5B0F" w:rsidRPr="008C5F1C" w:rsidRDefault="005F5B0F" w:rsidP="005F5B0F">
            <w:pPr>
              <w:rPr>
                <w:rFonts w:ascii="Times New Roman" w:hAnsi="Times New Roman" w:cs="Times New Roman"/>
                <w:iCs/>
                <w:sz w:val="16"/>
                <w:szCs w:val="16"/>
              </w:rPr>
            </w:pPr>
          </w:p>
        </w:tc>
        <w:tc>
          <w:tcPr>
            <w:tcW w:w="323" w:type="pct"/>
            <w:tcBorders>
              <w:top w:val="single" w:sz="4" w:space="0" w:color="auto"/>
              <w:left w:val="single" w:sz="4" w:space="0" w:color="auto"/>
              <w:bottom w:val="single" w:sz="4" w:space="0" w:color="auto"/>
              <w:right w:val="single" w:sz="4" w:space="0" w:color="auto"/>
            </w:tcBorders>
          </w:tcPr>
          <w:p w14:paraId="0686BFF3" w14:textId="16CD59BB" w:rsidR="005F5B0F" w:rsidRPr="008C5F1C" w:rsidRDefault="005F5B0F" w:rsidP="005F5B0F">
            <w:pPr>
              <w:rPr>
                <w:rFonts w:ascii="Times New Roman" w:hAnsi="Times New Roman" w:cs="Times New Roman"/>
                <w:iCs/>
                <w:sz w:val="16"/>
                <w:szCs w:val="16"/>
              </w:rPr>
            </w:pPr>
          </w:p>
        </w:tc>
        <w:tc>
          <w:tcPr>
            <w:tcW w:w="370" w:type="pct"/>
            <w:tcBorders>
              <w:top w:val="single" w:sz="4" w:space="0" w:color="auto"/>
              <w:left w:val="single" w:sz="4" w:space="0" w:color="auto"/>
              <w:bottom w:val="single" w:sz="4" w:space="0" w:color="auto"/>
              <w:right w:val="single" w:sz="4" w:space="0" w:color="auto"/>
            </w:tcBorders>
          </w:tcPr>
          <w:p w14:paraId="7A7E7D3A" w14:textId="77777777" w:rsidR="005F5B0F" w:rsidRPr="008C5F1C" w:rsidRDefault="005F5B0F" w:rsidP="005F5B0F">
            <w:pPr>
              <w:rPr>
                <w:rFonts w:ascii="Times New Roman" w:hAnsi="Times New Roman" w:cs="Times New Roman"/>
                <w:iCs/>
                <w:sz w:val="16"/>
                <w:szCs w:val="16"/>
              </w:rPr>
            </w:pPr>
          </w:p>
        </w:tc>
      </w:tr>
    </w:tbl>
    <w:p w14:paraId="7E47B09F" w14:textId="77777777" w:rsidR="000C7383" w:rsidRPr="008C5F1C" w:rsidRDefault="000C7383" w:rsidP="000C7383">
      <w:pPr>
        <w:rPr>
          <w:rFonts w:ascii="Times New Roman" w:hAnsi="Times New Roman" w:cs="Times New Roman"/>
          <w:b/>
          <w:iCs/>
        </w:rPr>
      </w:pPr>
      <w:r w:rsidRPr="008C5F1C">
        <w:rPr>
          <w:rFonts w:ascii="Times New Roman" w:hAnsi="Times New Roman" w:cs="Times New Roman"/>
          <w:i/>
        </w:rPr>
        <w:t xml:space="preserve">[Point 2.1.1.3 in </w:t>
      </w:r>
      <w:proofErr w:type="spellStart"/>
      <w:r w:rsidRPr="008C5F1C">
        <w:rPr>
          <w:rFonts w:ascii="Times New Roman" w:hAnsi="Times New Roman" w:cs="Times New Roman"/>
          <w:i/>
        </w:rPr>
        <w:t>the</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Commission</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proposal</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has</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been</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moved</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up</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following</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changes</w:t>
      </w:r>
      <w:proofErr w:type="spellEnd"/>
      <w:r w:rsidRPr="008C5F1C">
        <w:rPr>
          <w:rFonts w:ascii="Times New Roman" w:hAnsi="Times New Roman" w:cs="Times New Roman"/>
          <w:i/>
        </w:rPr>
        <w:t xml:space="preserve"> in </w:t>
      </w:r>
      <w:proofErr w:type="spellStart"/>
      <w:r w:rsidRPr="008C5F1C">
        <w:rPr>
          <w:rFonts w:ascii="Times New Roman" w:hAnsi="Times New Roman" w:cs="Times New Roman"/>
          <w:i/>
        </w:rPr>
        <w:t>Article</w:t>
      </w:r>
      <w:proofErr w:type="spellEnd"/>
      <w:r w:rsidRPr="008C5F1C">
        <w:rPr>
          <w:rFonts w:ascii="Times New Roman" w:hAnsi="Times New Roman" w:cs="Times New Roman"/>
          <w:i/>
        </w:rPr>
        <w:t xml:space="preserve"> 17(3)(c) CPR </w:t>
      </w:r>
      <w:proofErr w:type="spellStart"/>
      <w:r w:rsidRPr="008C5F1C">
        <w:rPr>
          <w:rFonts w:ascii="Times New Roman" w:hAnsi="Times New Roman" w:cs="Times New Roman"/>
          <w:i/>
        </w:rPr>
        <w:t>and</w:t>
      </w:r>
      <w:proofErr w:type="spellEnd"/>
      <w:r w:rsidRPr="008C5F1C">
        <w:rPr>
          <w:rFonts w:ascii="Times New Roman" w:hAnsi="Times New Roman" w:cs="Times New Roman"/>
          <w:i/>
        </w:rPr>
        <w:t xml:space="preserve"> it </w:t>
      </w:r>
      <w:proofErr w:type="spellStart"/>
      <w:r w:rsidRPr="008C5F1C">
        <w:rPr>
          <w:rFonts w:ascii="Times New Roman" w:hAnsi="Times New Roman" w:cs="Times New Roman"/>
          <w:i/>
        </w:rPr>
        <w:t>is</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now</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point</w:t>
      </w:r>
      <w:proofErr w:type="spellEnd"/>
      <w:r w:rsidRPr="008C5F1C">
        <w:rPr>
          <w:rFonts w:ascii="Times New Roman" w:hAnsi="Times New Roman" w:cs="Times New Roman"/>
          <w:i/>
        </w:rPr>
        <w:t xml:space="preserve"> 2.1.1.bis]</w:t>
      </w:r>
    </w:p>
    <w:p w14:paraId="1F4FADB6" w14:textId="77777777" w:rsidR="000C7383" w:rsidRPr="008C5F1C" w:rsidRDefault="000C7383" w:rsidP="000C7383">
      <w:pPr>
        <w:rPr>
          <w:rFonts w:ascii="Times New Roman" w:hAnsi="Times New Roman" w:cs="Times New Roman"/>
          <w:b/>
        </w:rPr>
        <w:sectPr w:rsidR="000C7383" w:rsidRPr="008C5F1C" w:rsidSect="00F72A1C">
          <w:type w:val="continuous"/>
          <w:pgSz w:w="11906" w:h="16838"/>
          <w:pgMar w:top="1134" w:right="1134" w:bottom="1134" w:left="1134" w:header="567" w:footer="567" w:gutter="0"/>
          <w:cols w:space="720"/>
          <w:docGrid w:linePitch="326"/>
        </w:sectPr>
      </w:pPr>
    </w:p>
    <w:p w14:paraId="4EC7F2F6" w14:textId="77777777" w:rsidR="000C7383" w:rsidRPr="008C5F1C" w:rsidRDefault="000C7383" w:rsidP="000C7383">
      <w:pPr>
        <w:rPr>
          <w:rFonts w:ascii="Times New Roman" w:hAnsi="Times New Roman" w:cs="Times New Roman"/>
          <w:b/>
        </w:rPr>
      </w:pPr>
      <w:r w:rsidRPr="008C5F1C">
        <w:rPr>
          <w:rFonts w:ascii="Times New Roman" w:hAnsi="Times New Roman" w:cs="Times New Roman"/>
          <w:b/>
        </w:rPr>
        <w:t xml:space="preserve">2.B.1.2. </w:t>
      </w:r>
      <w:proofErr w:type="spellStart"/>
      <w:r w:rsidRPr="008C5F1C">
        <w:rPr>
          <w:rFonts w:ascii="Times New Roman" w:hAnsi="Times New Roman" w:cs="Times New Roman"/>
          <w:b/>
        </w:rPr>
        <w:t>Indicators</w:t>
      </w:r>
      <w:proofErr w:type="spellEnd"/>
      <w:r w:rsidRPr="008C5F1C">
        <w:rPr>
          <w:rFonts w:ascii="Times New Roman" w:hAnsi="Times New Roman" w:cs="Times New Roman"/>
          <w:b/>
        </w:rPr>
        <w:t xml:space="preserve"> </w:t>
      </w:r>
    </w:p>
    <w:p w14:paraId="67C0AB05" w14:textId="77777777" w:rsidR="000C7383" w:rsidRPr="008C5F1C" w:rsidRDefault="000C7383" w:rsidP="000C7383">
      <w:pPr>
        <w:rPr>
          <w:rFonts w:ascii="Times New Roman" w:hAnsi="Times New Roman" w:cs="Times New Roman"/>
          <w:b/>
          <w:bCs/>
        </w:rPr>
      </w:pPr>
      <w:r w:rsidRPr="008C5F1C">
        <w:rPr>
          <w:rFonts w:ascii="Times New Roman" w:hAnsi="Times New Roman" w:cs="Times New Roman"/>
          <w:b/>
        </w:rPr>
        <w:t xml:space="preserve">Output </w:t>
      </w:r>
      <w:proofErr w:type="spellStart"/>
      <w:r w:rsidRPr="008C5F1C">
        <w:rPr>
          <w:rFonts w:ascii="Times New Roman" w:hAnsi="Times New Roman" w:cs="Times New Roman"/>
          <w:b/>
        </w:rPr>
        <w:t>indicators</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with</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the</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corresponding</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milestones</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and</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targets</w:t>
      </w:r>
      <w:proofErr w:type="spellEnd"/>
      <w:r w:rsidRPr="008C5F1C">
        <w:rPr>
          <w:rFonts w:ascii="Times New Roman" w:hAnsi="Times New Roman" w:cs="Times New Roman"/>
          <w:b/>
        </w:rPr>
        <w:t xml:space="preserve"> – </w:t>
      </w:r>
      <w:proofErr w:type="spellStart"/>
      <w:r w:rsidRPr="008C5F1C">
        <w:rPr>
          <w:rFonts w:ascii="Times New Roman" w:hAnsi="Times New Roman" w:cs="Times New Roman"/>
          <w:b/>
        </w:rPr>
        <w:t>Article</w:t>
      </w:r>
      <w:proofErr w:type="spellEnd"/>
      <w:r w:rsidRPr="008C5F1C">
        <w:rPr>
          <w:rFonts w:ascii="Times New Roman" w:hAnsi="Times New Roman" w:cs="Times New Roman"/>
          <w:b/>
        </w:rPr>
        <w:t xml:space="preserve"> 17(3)(e)bis(ii)</w:t>
      </w:r>
    </w:p>
    <w:tbl>
      <w:tblPr>
        <w:tblW w:w="50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
        <w:gridCol w:w="1215"/>
        <w:gridCol w:w="587"/>
        <w:gridCol w:w="858"/>
        <w:gridCol w:w="403"/>
        <w:gridCol w:w="2289"/>
        <w:gridCol w:w="1204"/>
        <w:gridCol w:w="1127"/>
        <w:gridCol w:w="1363"/>
        <w:gridCol w:w="8"/>
      </w:tblGrid>
      <w:tr w:rsidR="000C7383" w:rsidRPr="008C5F1C" w14:paraId="40AA702A" w14:textId="77777777" w:rsidTr="00531B85">
        <w:trPr>
          <w:trHeight w:val="425"/>
        </w:trPr>
        <w:tc>
          <w:tcPr>
            <w:tcW w:w="5000" w:type="pct"/>
            <w:gridSpan w:val="10"/>
            <w:tcBorders>
              <w:top w:val="single" w:sz="4" w:space="0" w:color="auto"/>
              <w:left w:val="single" w:sz="4" w:space="0" w:color="auto"/>
              <w:bottom w:val="single" w:sz="4" w:space="0" w:color="auto"/>
              <w:right w:val="single" w:sz="4" w:space="0" w:color="auto"/>
            </w:tcBorders>
            <w:hideMark/>
          </w:tcPr>
          <w:p w14:paraId="656DCEFB" w14:textId="77777777" w:rsidR="000C7383" w:rsidRPr="008C5F1C" w:rsidRDefault="000C7383" w:rsidP="00531B85">
            <w:pPr>
              <w:rPr>
                <w:rFonts w:ascii="Times New Roman" w:hAnsi="Times New Roman" w:cs="Times New Roman"/>
                <w:b/>
              </w:rPr>
            </w:pPr>
            <w:r w:rsidRPr="008C5F1C">
              <w:rPr>
                <w:rFonts w:ascii="Times New Roman" w:hAnsi="Times New Roman" w:cs="Times New Roman"/>
                <w:b/>
                <w:iCs/>
              </w:rPr>
              <w:t xml:space="preserve">Table 2: Output </w:t>
            </w:r>
            <w:proofErr w:type="spellStart"/>
            <w:r w:rsidRPr="008C5F1C">
              <w:rPr>
                <w:rFonts w:ascii="Times New Roman" w:hAnsi="Times New Roman" w:cs="Times New Roman"/>
                <w:b/>
                <w:iCs/>
              </w:rPr>
              <w:t>indicators</w:t>
            </w:r>
            <w:proofErr w:type="spellEnd"/>
          </w:p>
        </w:tc>
      </w:tr>
      <w:tr w:rsidR="000C7383" w:rsidRPr="008C5F1C" w14:paraId="217C17C5" w14:textId="77777777" w:rsidTr="00531B85">
        <w:trPr>
          <w:gridAfter w:val="1"/>
          <w:wAfter w:w="3" w:type="pct"/>
          <w:trHeight w:val="558"/>
        </w:trPr>
        <w:tc>
          <w:tcPr>
            <w:tcW w:w="389" w:type="pct"/>
            <w:tcBorders>
              <w:top w:val="single" w:sz="4" w:space="0" w:color="auto"/>
              <w:left w:val="single" w:sz="4" w:space="0" w:color="auto"/>
              <w:bottom w:val="single" w:sz="4" w:space="0" w:color="auto"/>
              <w:right w:val="single" w:sz="4" w:space="0" w:color="auto"/>
            </w:tcBorders>
            <w:hideMark/>
          </w:tcPr>
          <w:p w14:paraId="659DD432" w14:textId="77777777" w:rsidR="000C7383" w:rsidRPr="008C5F1C" w:rsidRDefault="000C7383" w:rsidP="00531B85">
            <w:pPr>
              <w:rPr>
                <w:rFonts w:ascii="Times New Roman" w:hAnsi="Times New Roman" w:cs="Times New Roman"/>
                <w:b/>
                <w:sz w:val="16"/>
                <w:szCs w:val="16"/>
              </w:rPr>
            </w:pPr>
            <w:proofErr w:type="spellStart"/>
            <w:r w:rsidRPr="008C5F1C">
              <w:rPr>
                <w:rFonts w:ascii="Times New Roman" w:hAnsi="Times New Roman" w:cs="Times New Roman"/>
                <w:b/>
                <w:sz w:val="16"/>
                <w:szCs w:val="16"/>
              </w:rPr>
              <w:t>Priority</w:t>
            </w:r>
            <w:proofErr w:type="spellEnd"/>
            <w:r w:rsidRPr="008C5F1C">
              <w:rPr>
                <w:rFonts w:ascii="Times New Roman" w:hAnsi="Times New Roman" w:cs="Times New Roman"/>
                <w:b/>
                <w:sz w:val="16"/>
                <w:szCs w:val="16"/>
              </w:rPr>
              <w:t xml:space="preserve"> </w:t>
            </w:r>
          </w:p>
        </w:tc>
        <w:tc>
          <w:tcPr>
            <w:tcW w:w="619" w:type="pct"/>
            <w:tcBorders>
              <w:top w:val="single" w:sz="4" w:space="0" w:color="auto"/>
              <w:left w:val="single" w:sz="4" w:space="0" w:color="auto"/>
              <w:bottom w:val="single" w:sz="4" w:space="0" w:color="auto"/>
              <w:right w:val="single" w:sz="4" w:space="0" w:color="auto"/>
            </w:tcBorders>
            <w:hideMark/>
          </w:tcPr>
          <w:p w14:paraId="72E2734E" w14:textId="77777777" w:rsidR="000C7383" w:rsidRPr="008C5F1C" w:rsidRDefault="000C7383" w:rsidP="00531B85">
            <w:pPr>
              <w:rPr>
                <w:rFonts w:ascii="Times New Roman" w:hAnsi="Times New Roman" w:cs="Times New Roman"/>
                <w:b/>
                <w:sz w:val="16"/>
                <w:szCs w:val="16"/>
              </w:rPr>
            </w:pPr>
            <w:r w:rsidRPr="008C5F1C">
              <w:rPr>
                <w:rFonts w:ascii="Times New Roman" w:hAnsi="Times New Roman" w:cs="Times New Roman"/>
                <w:b/>
                <w:sz w:val="16"/>
                <w:szCs w:val="16"/>
              </w:rPr>
              <w:t xml:space="preserve">Specific </w:t>
            </w:r>
            <w:proofErr w:type="spellStart"/>
            <w:r w:rsidRPr="008C5F1C">
              <w:rPr>
                <w:rFonts w:ascii="Times New Roman" w:hAnsi="Times New Roman" w:cs="Times New Roman"/>
                <w:b/>
                <w:sz w:val="16"/>
                <w:szCs w:val="16"/>
              </w:rPr>
              <w:t>objective</w:t>
            </w:r>
            <w:proofErr w:type="spellEnd"/>
            <w:r w:rsidRPr="008C5F1C">
              <w:rPr>
                <w:rFonts w:ascii="Times New Roman" w:hAnsi="Times New Roman" w:cs="Times New Roman"/>
                <w:b/>
                <w:sz w:val="16"/>
                <w:szCs w:val="16"/>
              </w:rPr>
              <w:t xml:space="preserve"> (Investment for </w:t>
            </w:r>
            <w:proofErr w:type="spellStart"/>
            <w:r w:rsidRPr="008C5F1C">
              <w:rPr>
                <w:rFonts w:ascii="Times New Roman" w:hAnsi="Times New Roman" w:cs="Times New Roman"/>
                <w:b/>
                <w:sz w:val="16"/>
                <w:szCs w:val="16"/>
              </w:rPr>
              <w:t>Jobs</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and</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Growth</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goal</w:t>
            </w:r>
            <w:proofErr w:type="spellEnd"/>
            <w:r w:rsidRPr="008C5F1C">
              <w:rPr>
                <w:rFonts w:ascii="Times New Roman" w:hAnsi="Times New Roman" w:cs="Times New Roman"/>
                <w:b/>
                <w:sz w:val="16"/>
                <w:szCs w:val="16"/>
              </w:rPr>
              <w:t xml:space="preserve"> EMFF)</w:t>
            </w:r>
          </w:p>
        </w:tc>
        <w:tc>
          <w:tcPr>
            <w:tcW w:w="299" w:type="pct"/>
            <w:tcBorders>
              <w:top w:val="single" w:sz="4" w:space="0" w:color="auto"/>
              <w:left w:val="single" w:sz="4" w:space="0" w:color="auto"/>
              <w:bottom w:val="single" w:sz="4" w:space="0" w:color="auto"/>
              <w:right w:val="single" w:sz="4" w:space="0" w:color="auto"/>
            </w:tcBorders>
            <w:hideMark/>
          </w:tcPr>
          <w:p w14:paraId="746E5BD0" w14:textId="77777777" w:rsidR="000C7383" w:rsidRPr="008C5F1C" w:rsidRDefault="000C7383" w:rsidP="00531B85">
            <w:pPr>
              <w:rPr>
                <w:rFonts w:ascii="Times New Roman" w:hAnsi="Times New Roman" w:cs="Times New Roman"/>
                <w:b/>
                <w:sz w:val="16"/>
                <w:szCs w:val="16"/>
              </w:rPr>
            </w:pPr>
            <w:r w:rsidRPr="008C5F1C">
              <w:rPr>
                <w:rFonts w:ascii="Times New Roman" w:hAnsi="Times New Roman" w:cs="Times New Roman"/>
                <w:b/>
                <w:sz w:val="16"/>
                <w:szCs w:val="16"/>
              </w:rPr>
              <w:t>Fund</w:t>
            </w:r>
          </w:p>
        </w:tc>
        <w:tc>
          <w:tcPr>
            <w:tcW w:w="437" w:type="pct"/>
            <w:tcBorders>
              <w:top w:val="single" w:sz="4" w:space="0" w:color="auto"/>
              <w:left w:val="single" w:sz="4" w:space="0" w:color="auto"/>
              <w:bottom w:val="single" w:sz="4" w:space="0" w:color="auto"/>
              <w:right w:val="single" w:sz="4" w:space="0" w:color="auto"/>
            </w:tcBorders>
            <w:hideMark/>
          </w:tcPr>
          <w:p w14:paraId="48C52ABB" w14:textId="77777777" w:rsidR="000C7383" w:rsidRPr="008C5F1C" w:rsidRDefault="000C7383" w:rsidP="00531B85">
            <w:pPr>
              <w:rPr>
                <w:rFonts w:ascii="Times New Roman" w:hAnsi="Times New Roman" w:cs="Times New Roman"/>
                <w:b/>
                <w:sz w:val="16"/>
                <w:szCs w:val="16"/>
              </w:rPr>
            </w:pPr>
            <w:proofErr w:type="spellStart"/>
            <w:r w:rsidRPr="008C5F1C">
              <w:rPr>
                <w:rFonts w:ascii="Times New Roman" w:hAnsi="Times New Roman" w:cs="Times New Roman"/>
                <w:b/>
                <w:sz w:val="16"/>
                <w:szCs w:val="16"/>
              </w:rPr>
              <w:t>Category</w:t>
            </w:r>
            <w:proofErr w:type="spellEnd"/>
            <w:r w:rsidRPr="008C5F1C">
              <w:rPr>
                <w:rFonts w:ascii="Times New Roman" w:hAnsi="Times New Roman" w:cs="Times New Roman"/>
                <w:b/>
                <w:sz w:val="16"/>
                <w:szCs w:val="16"/>
              </w:rPr>
              <w:t xml:space="preserve"> of </w:t>
            </w:r>
            <w:proofErr w:type="spellStart"/>
            <w:r w:rsidRPr="008C5F1C">
              <w:rPr>
                <w:rFonts w:ascii="Times New Roman" w:hAnsi="Times New Roman" w:cs="Times New Roman"/>
                <w:b/>
                <w:sz w:val="16"/>
                <w:szCs w:val="16"/>
              </w:rPr>
              <w:t>region</w:t>
            </w:r>
            <w:proofErr w:type="spellEnd"/>
          </w:p>
        </w:tc>
        <w:tc>
          <w:tcPr>
            <w:tcW w:w="205" w:type="pct"/>
            <w:tcBorders>
              <w:top w:val="single" w:sz="4" w:space="0" w:color="auto"/>
              <w:left w:val="single" w:sz="4" w:space="0" w:color="auto"/>
              <w:bottom w:val="single" w:sz="4" w:space="0" w:color="auto"/>
              <w:right w:val="single" w:sz="4" w:space="0" w:color="auto"/>
            </w:tcBorders>
            <w:hideMark/>
          </w:tcPr>
          <w:p w14:paraId="4F051EA0" w14:textId="77777777" w:rsidR="000C7383" w:rsidRPr="008C5F1C" w:rsidRDefault="000C7383" w:rsidP="00531B85">
            <w:pPr>
              <w:rPr>
                <w:rFonts w:ascii="Times New Roman" w:hAnsi="Times New Roman" w:cs="Times New Roman"/>
                <w:b/>
                <w:sz w:val="16"/>
                <w:szCs w:val="16"/>
              </w:rPr>
            </w:pPr>
            <w:r w:rsidRPr="008C5F1C">
              <w:rPr>
                <w:rFonts w:ascii="Times New Roman" w:hAnsi="Times New Roman" w:cs="Times New Roman"/>
                <w:b/>
                <w:sz w:val="16"/>
                <w:szCs w:val="16"/>
              </w:rPr>
              <w:t>ID [5]</w:t>
            </w:r>
          </w:p>
        </w:tc>
        <w:tc>
          <w:tcPr>
            <w:tcW w:w="1166" w:type="pct"/>
            <w:tcBorders>
              <w:top w:val="single" w:sz="4" w:space="0" w:color="auto"/>
              <w:left w:val="single" w:sz="4" w:space="0" w:color="auto"/>
              <w:bottom w:val="single" w:sz="4" w:space="0" w:color="auto"/>
              <w:right w:val="single" w:sz="4" w:space="0" w:color="auto"/>
            </w:tcBorders>
            <w:hideMark/>
          </w:tcPr>
          <w:p w14:paraId="1274C009" w14:textId="77777777" w:rsidR="000C7383" w:rsidRPr="008C5F1C" w:rsidRDefault="000C7383" w:rsidP="00531B85">
            <w:pPr>
              <w:rPr>
                <w:rFonts w:ascii="Times New Roman" w:hAnsi="Times New Roman" w:cs="Times New Roman"/>
                <w:b/>
                <w:sz w:val="16"/>
                <w:szCs w:val="16"/>
              </w:rPr>
            </w:pPr>
            <w:r w:rsidRPr="008C5F1C">
              <w:rPr>
                <w:rFonts w:ascii="Times New Roman" w:hAnsi="Times New Roman" w:cs="Times New Roman"/>
                <w:b/>
                <w:sz w:val="16"/>
                <w:szCs w:val="16"/>
              </w:rPr>
              <w:t xml:space="preserve">Indicator [255] </w:t>
            </w:r>
          </w:p>
        </w:tc>
        <w:tc>
          <w:tcPr>
            <w:tcW w:w="613" w:type="pct"/>
            <w:tcBorders>
              <w:top w:val="single" w:sz="4" w:space="0" w:color="auto"/>
              <w:left w:val="single" w:sz="4" w:space="0" w:color="auto"/>
              <w:bottom w:val="single" w:sz="4" w:space="0" w:color="auto"/>
              <w:right w:val="single" w:sz="4" w:space="0" w:color="auto"/>
            </w:tcBorders>
            <w:hideMark/>
          </w:tcPr>
          <w:p w14:paraId="23F7DFEE" w14:textId="77777777" w:rsidR="000C7383" w:rsidRPr="008C5F1C" w:rsidRDefault="000C7383" w:rsidP="00531B85">
            <w:pPr>
              <w:rPr>
                <w:rFonts w:ascii="Times New Roman" w:hAnsi="Times New Roman" w:cs="Times New Roman"/>
                <w:b/>
                <w:sz w:val="16"/>
                <w:szCs w:val="16"/>
              </w:rPr>
            </w:pPr>
            <w:proofErr w:type="spellStart"/>
            <w:r w:rsidRPr="008C5F1C">
              <w:rPr>
                <w:rFonts w:ascii="Times New Roman" w:hAnsi="Times New Roman" w:cs="Times New Roman"/>
                <w:b/>
                <w:sz w:val="16"/>
                <w:szCs w:val="16"/>
              </w:rPr>
              <w:t>Measurement</w:t>
            </w:r>
            <w:proofErr w:type="spellEnd"/>
            <w:r w:rsidRPr="008C5F1C">
              <w:rPr>
                <w:rFonts w:ascii="Times New Roman" w:hAnsi="Times New Roman" w:cs="Times New Roman"/>
                <w:b/>
                <w:sz w:val="16"/>
                <w:szCs w:val="16"/>
              </w:rPr>
              <w:t xml:space="preserve"> unit</w:t>
            </w:r>
          </w:p>
        </w:tc>
        <w:tc>
          <w:tcPr>
            <w:tcW w:w="574" w:type="pct"/>
            <w:tcBorders>
              <w:top w:val="single" w:sz="4" w:space="0" w:color="auto"/>
              <w:left w:val="single" w:sz="4" w:space="0" w:color="auto"/>
              <w:bottom w:val="single" w:sz="4" w:space="0" w:color="auto"/>
              <w:right w:val="single" w:sz="4" w:space="0" w:color="auto"/>
            </w:tcBorders>
          </w:tcPr>
          <w:p w14:paraId="77566BF3" w14:textId="77777777" w:rsidR="000C7383" w:rsidRPr="008C5F1C" w:rsidRDefault="000C7383" w:rsidP="00531B85">
            <w:pPr>
              <w:rPr>
                <w:rFonts w:ascii="Times New Roman" w:hAnsi="Times New Roman" w:cs="Times New Roman"/>
                <w:b/>
                <w:sz w:val="16"/>
                <w:szCs w:val="16"/>
              </w:rPr>
            </w:pPr>
            <w:proofErr w:type="spellStart"/>
            <w:r w:rsidRPr="008C5F1C">
              <w:rPr>
                <w:rFonts w:ascii="Times New Roman" w:hAnsi="Times New Roman" w:cs="Times New Roman"/>
                <w:b/>
                <w:sz w:val="16"/>
                <w:szCs w:val="16"/>
              </w:rPr>
              <w:t>Milestone</w:t>
            </w:r>
            <w:proofErr w:type="spellEnd"/>
            <w:r w:rsidRPr="008C5F1C">
              <w:rPr>
                <w:rFonts w:ascii="Times New Roman" w:hAnsi="Times New Roman" w:cs="Times New Roman"/>
                <w:b/>
                <w:sz w:val="16"/>
                <w:szCs w:val="16"/>
              </w:rPr>
              <w:t xml:space="preserve"> (2024)</w:t>
            </w:r>
          </w:p>
          <w:p w14:paraId="497835D9" w14:textId="77777777" w:rsidR="000C7383" w:rsidRPr="008C5F1C" w:rsidRDefault="000C7383" w:rsidP="00531B85">
            <w:pPr>
              <w:rPr>
                <w:rFonts w:ascii="Times New Roman" w:hAnsi="Times New Roman" w:cs="Times New Roman"/>
                <w:b/>
                <w:sz w:val="16"/>
                <w:szCs w:val="16"/>
              </w:rPr>
            </w:pPr>
          </w:p>
        </w:tc>
        <w:tc>
          <w:tcPr>
            <w:tcW w:w="694" w:type="pct"/>
            <w:tcBorders>
              <w:top w:val="single" w:sz="4" w:space="0" w:color="auto"/>
              <w:left w:val="single" w:sz="4" w:space="0" w:color="auto"/>
              <w:bottom w:val="single" w:sz="4" w:space="0" w:color="auto"/>
              <w:right w:val="single" w:sz="4" w:space="0" w:color="auto"/>
            </w:tcBorders>
          </w:tcPr>
          <w:p w14:paraId="23B6A751" w14:textId="77777777" w:rsidR="000C7383" w:rsidRPr="008C5F1C" w:rsidRDefault="000C7383" w:rsidP="00531B85">
            <w:pPr>
              <w:rPr>
                <w:rFonts w:ascii="Times New Roman" w:hAnsi="Times New Roman" w:cs="Times New Roman"/>
                <w:b/>
                <w:sz w:val="16"/>
                <w:szCs w:val="16"/>
              </w:rPr>
            </w:pPr>
            <w:r w:rsidRPr="008C5F1C">
              <w:rPr>
                <w:rFonts w:ascii="Times New Roman" w:hAnsi="Times New Roman" w:cs="Times New Roman"/>
                <w:b/>
                <w:sz w:val="16"/>
                <w:szCs w:val="16"/>
              </w:rPr>
              <w:t>Target (2029)</w:t>
            </w:r>
          </w:p>
          <w:p w14:paraId="313D8DF7" w14:textId="77777777" w:rsidR="000C7383" w:rsidRPr="008C5F1C" w:rsidRDefault="000C7383" w:rsidP="00531B85">
            <w:pPr>
              <w:rPr>
                <w:rFonts w:ascii="Times New Roman" w:hAnsi="Times New Roman" w:cs="Times New Roman"/>
                <w:b/>
                <w:sz w:val="16"/>
                <w:szCs w:val="16"/>
              </w:rPr>
            </w:pPr>
          </w:p>
        </w:tc>
      </w:tr>
      <w:tr w:rsidR="000C7383" w:rsidRPr="008C5F1C" w14:paraId="1D270306" w14:textId="77777777" w:rsidTr="00531B85">
        <w:trPr>
          <w:gridAfter w:val="1"/>
          <w:wAfter w:w="3" w:type="pct"/>
          <w:trHeight w:val="332"/>
        </w:trPr>
        <w:tc>
          <w:tcPr>
            <w:tcW w:w="389" w:type="pct"/>
            <w:tcBorders>
              <w:top w:val="single" w:sz="4" w:space="0" w:color="auto"/>
              <w:left w:val="single" w:sz="4" w:space="0" w:color="auto"/>
              <w:bottom w:val="single" w:sz="4" w:space="0" w:color="auto"/>
              <w:right w:val="single" w:sz="4" w:space="0" w:color="auto"/>
            </w:tcBorders>
          </w:tcPr>
          <w:p w14:paraId="30A8AEA5" w14:textId="77777777" w:rsidR="000C7383" w:rsidRPr="008C5F1C" w:rsidRDefault="000C7383" w:rsidP="00531B85">
            <w:pPr>
              <w:rPr>
                <w:rFonts w:ascii="Times New Roman" w:hAnsi="Times New Roman" w:cs="Times New Roman"/>
                <w:b/>
                <w:i/>
                <w:sz w:val="16"/>
                <w:szCs w:val="16"/>
              </w:rPr>
            </w:pPr>
          </w:p>
        </w:tc>
        <w:tc>
          <w:tcPr>
            <w:tcW w:w="619" w:type="pct"/>
            <w:tcBorders>
              <w:top w:val="single" w:sz="4" w:space="0" w:color="auto"/>
              <w:left w:val="single" w:sz="4" w:space="0" w:color="auto"/>
              <w:bottom w:val="single" w:sz="4" w:space="0" w:color="auto"/>
              <w:right w:val="single" w:sz="4" w:space="0" w:color="auto"/>
            </w:tcBorders>
          </w:tcPr>
          <w:p w14:paraId="5240ADC2" w14:textId="77777777" w:rsidR="000C7383" w:rsidRPr="008C5F1C" w:rsidRDefault="000C7383" w:rsidP="00531B85">
            <w:pPr>
              <w:rPr>
                <w:rFonts w:ascii="Times New Roman" w:hAnsi="Times New Roman" w:cs="Times New Roman"/>
                <w:b/>
                <w:i/>
                <w:sz w:val="16"/>
                <w:szCs w:val="16"/>
              </w:rPr>
            </w:pPr>
          </w:p>
        </w:tc>
        <w:tc>
          <w:tcPr>
            <w:tcW w:w="299" w:type="pct"/>
            <w:tcBorders>
              <w:top w:val="single" w:sz="4" w:space="0" w:color="auto"/>
              <w:left w:val="single" w:sz="4" w:space="0" w:color="auto"/>
              <w:bottom w:val="single" w:sz="4" w:space="0" w:color="auto"/>
              <w:right w:val="single" w:sz="4" w:space="0" w:color="auto"/>
            </w:tcBorders>
          </w:tcPr>
          <w:p w14:paraId="1656BFB3" w14:textId="77777777" w:rsidR="000C7383" w:rsidRPr="008C5F1C" w:rsidRDefault="000C7383" w:rsidP="00531B85">
            <w:pPr>
              <w:rPr>
                <w:rFonts w:ascii="Times New Roman" w:hAnsi="Times New Roman" w:cs="Times New Roman"/>
                <w:b/>
                <w:i/>
                <w:sz w:val="16"/>
                <w:szCs w:val="16"/>
              </w:rPr>
            </w:pPr>
          </w:p>
        </w:tc>
        <w:tc>
          <w:tcPr>
            <w:tcW w:w="437" w:type="pct"/>
            <w:tcBorders>
              <w:top w:val="single" w:sz="4" w:space="0" w:color="auto"/>
              <w:left w:val="single" w:sz="4" w:space="0" w:color="auto"/>
              <w:bottom w:val="single" w:sz="4" w:space="0" w:color="auto"/>
              <w:right w:val="single" w:sz="4" w:space="0" w:color="auto"/>
            </w:tcBorders>
          </w:tcPr>
          <w:p w14:paraId="1904EFCD" w14:textId="77777777" w:rsidR="000C7383" w:rsidRPr="008C5F1C" w:rsidRDefault="000C7383" w:rsidP="00531B85">
            <w:pPr>
              <w:rPr>
                <w:rFonts w:ascii="Times New Roman" w:hAnsi="Times New Roman" w:cs="Times New Roman"/>
                <w:b/>
                <w:i/>
                <w:sz w:val="16"/>
                <w:szCs w:val="16"/>
              </w:rPr>
            </w:pPr>
          </w:p>
        </w:tc>
        <w:tc>
          <w:tcPr>
            <w:tcW w:w="205" w:type="pct"/>
            <w:tcBorders>
              <w:top w:val="single" w:sz="4" w:space="0" w:color="auto"/>
              <w:left w:val="single" w:sz="4" w:space="0" w:color="auto"/>
              <w:bottom w:val="single" w:sz="4" w:space="0" w:color="auto"/>
              <w:right w:val="single" w:sz="4" w:space="0" w:color="auto"/>
            </w:tcBorders>
          </w:tcPr>
          <w:p w14:paraId="6D7040AB" w14:textId="77777777" w:rsidR="000C7383" w:rsidRPr="008C5F1C" w:rsidRDefault="000C7383" w:rsidP="00531B85">
            <w:pPr>
              <w:rPr>
                <w:rFonts w:ascii="Times New Roman" w:hAnsi="Times New Roman" w:cs="Times New Roman"/>
                <w:b/>
                <w:i/>
                <w:sz w:val="16"/>
                <w:szCs w:val="16"/>
              </w:rPr>
            </w:pPr>
          </w:p>
        </w:tc>
        <w:tc>
          <w:tcPr>
            <w:tcW w:w="1166" w:type="pct"/>
            <w:tcBorders>
              <w:top w:val="single" w:sz="4" w:space="0" w:color="auto"/>
              <w:left w:val="single" w:sz="4" w:space="0" w:color="auto"/>
              <w:bottom w:val="single" w:sz="4" w:space="0" w:color="auto"/>
              <w:right w:val="single" w:sz="4" w:space="0" w:color="auto"/>
            </w:tcBorders>
          </w:tcPr>
          <w:p w14:paraId="066DDEFB" w14:textId="77777777" w:rsidR="000C7383" w:rsidRPr="008C5F1C" w:rsidRDefault="000C7383" w:rsidP="00531B85">
            <w:pPr>
              <w:rPr>
                <w:rFonts w:ascii="Times New Roman" w:hAnsi="Times New Roman" w:cs="Times New Roman"/>
                <w:b/>
                <w:i/>
                <w:sz w:val="16"/>
                <w:szCs w:val="16"/>
              </w:rPr>
            </w:pPr>
          </w:p>
        </w:tc>
        <w:tc>
          <w:tcPr>
            <w:tcW w:w="613" w:type="pct"/>
            <w:tcBorders>
              <w:top w:val="single" w:sz="4" w:space="0" w:color="auto"/>
              <w:left w:val="single" w:sz="4" w:space="0" w:color="auto"/>
              <w:bottom w:val="single" w:sz="4" w:space="0" w:color="auto"/>
              <w:right w:val="single" w:sz="4" w:space="0" w:color="auto"/>
            </w:tcBorders>
          </w:tcPr>
          <w:p w14:paraId="400FE43A" w14:textId="77777777" w:rsidR="000C7383" w:rsidRPr="008C5F1C" w:rsidRDefault="000C7383" w:rsidP="00531B85">
            <w:pPr>
              <w:rPr>
                <w:rFonts w:ascii="Times New Roman" w:hAnsi="Times New Roman" w:cs="Times New Roman"/>
                <w:b/>
                <w:i/>
                <w:sz w:val="16"/>
                <w:szCs w:val="16"/>
              </w:rPr>
            </w:pPr>
          </w:p>
        </w:tc>
        <w:tc>
          <w:tcPr>
            <w:tcW w:w="574" w:type="pct"/>
            <w:tcBorders>
              <w:top w:val="single" w:sz="4" w:space="0" w:color="auto"/>
              <w:left w:val="single" w:sz="4" w:space="0" w:color="auto"/>
              <w:bottom w:val="single" w:sz="4" w:space="0" w:color="auto"/>
              <w:right w:val="single" w:sz="4" w:space="0" w:color="auto"/>
            </w:tcBorders>
          </w:tcPr>
          <w:p w14:paraId="3CB362E2" w14:textId="77777777" w:rsidR="000C7383" w:rsidRPr="008C5F1C" w:rsidRDefault="000C7383" w:rsidP="00531B85">
            <w:pPr>
              <w:rPr>
                <w:rFonts w:ascii="Times New Roman" w:hAnsi="Times New Roman" w:cs="Times New Roman"/>
                <w:b/>
                <w:sz w:val="16"/>
                <w:szCs w:val="16"/>
              </w:rPr>
            </w:pPr>
          </w:p>
        </w:tc>
        <w:tc>
          <w:tcPr>
            <w:tcW w:w="694" w:type="pct"/>
            <w:tcBorders>
              <w:top w:val="single" w:sz="4" w:space="0" w:color="auto"/>
              <w:left w:val="single" w:sz="4" w:space="0" w:color="auto"/>
              <w:bottom w:val="single" w:sz="4" w:space="0" w:color="auto"/>
              <w:right w:val="single" w:sz="4" w:space="0" w:color="auto"/>
            </w:tcBorders>
          </w:tcPr>
          <w:p w14:paraId="48E53B76" w14:textId="77777777" w:rsidR="000C7383" w:rsidRPr="008C5F1C" w:rsidRDefault="000C7383" w:rsidP="00531B85">
            <w:pPr>
              <w:rPr>
                <w:rFonts w:ascii="Times New Roman" w:hAnsi="Times New Roman" w:cs="Times New Roman"/>
                <w:b/>
                <w:sz w:val="16"/>
                <w:szCs w:val="16"/>
              </w:rPr>
            </w:pPr>
          </w:p>
        </w:tc>
      </w:tr>
    </w:tbl>
    <w:p w14:paraId="7CABB8E5" w14:textId="77777777" w:rsidR="000C7383" w:rsidRPr="008C5F1C" w:rsidRDefault="000C7383" w:rsidP="000C7383">
      <w:pPr>
        <w:rPr>
          <w:rFonts w:ascii="Times New Roman" w:hAnsi="Times New Roman" w:cs="Times New Roman"/>
          <w:b/>
        </w:rPr>
      </w:pPr>
    </w:p>
    <w:p w14:paraId="62E1207A" w14:textId="77777777" w:rsidR="000C7383" w:rsidRPr="008C5F1C" w:rsidRDefault="000C7383" w:rsidP="000C7383">
      <w:pPr>
        <w:rPr>
          <w:rFonts w:ascii="Times New Roman" w:hAnsi="Times New Roman" w:cs="Times New Roman"/>
          <w:bCs/>
          <w:i/>
        </w:rPr>
      </w:pPr>
      <w:r w:rsidRPr="008C5F1C">
        <w:rPr>
          <w:rFonts w:ascii="Times New Roman" w:hAnsi="Times New Roman" w:cs="Times New Roman"/>
          <w:b/>
          <w:iCs/>
        </w:rPr>
        <w:t xml:space="preserve">2.B.1.3. Indicative </w:t>
      </w:r>
      <w:proofErr w:type="spellStart"/>
      <w:r w:rsidRPr="008C5F1C">
        <w:rPr>
          <w:rFonts w:ascii="Times New Roman" w:hAnsi="Times New Roman" w:cs="Times New Roman"/>
          <w:b/>
          <w:iCs/>
        </w:rPr>
        <w:t>breakdown</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the</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programmed</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resources</w:t>
      </w:r>
      <w:proofErr w:type="spellEnd"/>
      <w:r w:rsidRPr="008C5F1C">
        <w:rPr>
          <w:rFonts w:ascii="Times New Roman" w:hAnsi="Times New Roman" w:cs="Times New Roman"/>
          <w:b/>
          <w:iCs/>
        </w:rPr>
        <w:t xml:space="preserve"> (EU) </w:t>
      </w:r>
      <w:proofErr w:type="spellStart"/>
      <w:r w:rsidRPr="008C5F1C">
        <w:rPr>
          <w:rFonts w:ascii="Times New Roman" w:hAnsi="Times New Roman" w:cs="Times New Roman"/>
          <w:b/>
          <w:iCs/>
        </w:rPr>
        <w:t>by</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type</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intervention</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i/>
          <w:iCs/>
        </w:rPr>
        <w:t>Reference</w:t>
      </w:r>
      <w:proofErr w:type="spellEnd"/>
      <w:r w:rsidRPr="008C5F1C">
        <w:rPr>
          <w:rFonts w:ascii="Times New Roman" w:hAnsi="Times New Roman" w:cs="Times New Roman"/>
          <w:i/>
          <w:iCs/>
        </w:rPr>
        <w:t xml:space="preserve"> </w:t>
      </w:r>
      <w:proofErr w:type="spellStart"/>
      <w:r w:rsidRPr="008C5F1C">
        <w:rPr>
          <w:rFonts w:ascii="Times New Roman" w:hAnsi="Times New Roman" w:cs="Times New Roman"/>
          <w:i/>
        </w:rPr>
        <w:t>Article</w:t>
      </w:r>
      <w:proofErr w:type="spellEnd"/>
      <w:r w:rsidRPr="008C5F1C">
        <w:rPr>
          <w:rFonts w:ascii="Times New Roman" w:hAnsi="Times New Roman" w:cs="Times New Roman"/>
          <w:i/>
        </w:rPr>
        <w:t xml:space="preserve"> 17(3)(e)bis(iv)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2399"/>
        <w:gridCol w:w="1053"/>
        <w:gridCol w:w="3058"/>
      </w:tblGrid>
      <w:tr w:rsidR="000C7383" w:rsidRPr="008C5F1C" w14:paraId="4CCD652F" w14:textId="77777777" w:rsidTr="00531B85">
        <w:tc>
          <w:tcPr>
            <w:tcW w:w="9493" w:type="dxa"/>
            <w:gridSpan w:val="5"/>
            <w:tcBorders>
              <w:top w:val="single" w:sz="4" w:space="0" w:color="auto"/>
              <w:left w:val="single" w:sz="4" w:space="0" w:color="auto"/>
              <w:bottom w:val="single" w:sz="4" w:space="0" w:color="auto"/>
              <w:right w:val="single" w:sz="4" w:space="0" w:color="auto"/>
            </w:tcBorders>
            <w:hideMark/>
          </w:tcPr>
          <w:p w14:paraId="71A7C8C0" w14:textId="77777777" w:rsidR="000C7383" w:rsidRPr="008C5F1C" w:rsidRDefault="000C7383" w:rsidP="00531B85">
            <w:pPr>
              <w:rPr>
                <w:rFonts w:ascii="Times New Roman" w:hAnsi="Times New Roman" w:cs="Times New Roman"/>
                <w:b/>
                <w:iCs/>
              </w:rPr>
            </w:pPr>
            <w:r w:rsidRPr="008C5F1C">
              <w:rPr>
                <w:rFonts w:ascii="Times New Roman" w:hAnsi="Times New Roman" w:cs="Times New Roman"/>
                <w:b/>
                <w:iCs/>
              </w:rPr>
              <w:t xml:space="preserve">Table 8: </w:t>
            </w:r>
            <w:proofErr w:type="spellStart"/>
            <w:r w:rsidRPr="008C5F1C">
              <w:rPr>
                <w:rFonts w:ascii="Times New Roman" w:hAnsi="Times New Roman" w:cs="Times New Roman"/>
                <w:b/>
                <w:iCs/>
              </w:rPr>
              <w:t>Dimension</w:t>
            </w:r>
            <w:proofErr w:type="spellEnd"/>
            <w:r w:rsidRPr="008C5F1C">
              <w:rPr>
                <w:rFonts w:ascii="Times New Roman" w:hAnsi="Times New Roman" w:cs="Times New Roman"/>
                <w:b/>
                <w:iCs/>
              </w:rPr>
              <w:t xml:space="preserve"> 1 – </w:t>
            </w:r>
            <w:proofErr w:type="spellStart"/>
            <w:r w:rsidRPr="008C5F1C">
              <w:rPr>
                <w:rFonts w:ascii="Times New Roman" w:hAnsi="Times New Roman" w:cs="Times New Roman"/>
                <w:b/>
                <w:iCs/>
              </w:rPr>
              <w:t>intervention</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field</w:t>
            </w:r>
            <w:proofErr w:type="spellEnd"/>
          </w:p>
        </w:tc>
      </w:tr>
      <w:tr w:rsidR="000C7383" w:rsidRPr="008C5F1C" w14:paraId="7BE65938" w14:textId="77777777" w:rsidTr="00531B85">
        <w:tc>
          <w:tcPr>
            <w:tcW w:w="1599" w:type="dxa"/>
            <w:tcBorders>
              <w:top w:val="single" w:sz="4" w:space="0" w:color="auto"/>
              <w:left w:val="single" w:sz="4" w:space="0" w:color="auto"/>
              <w:bottom w:val="single" w:sz="4" w:space="0" w:color="auto"/>
              <w:right w:val="single" w:sz="4" w:space="0" w:color="auto"/>
            </w:tcBorders>
            <w:hideMark/>
          </w:tcPr>
          <w:p w14:paraId="7EAFAA97" w14:textId="77777777" w:rsidR="000C7383" w:rsidRPr="008C5F1C" w:rsidRDefault="000C7383" w:rsidP="00531B85">
            <w:pPr>
              <w:rPr>
                <w:rFonts w:ascii="Times New Roman" w:hAnsi="Times New Roman" w:cs="Times New Roman"/>
                <w:b/>
                <w:iCs/>
              </w:rPr>
            </w:pPr>
            <w:proofErr w:type="spellStart"/>
            <w:r w:rsidRPr="008C5F1C">
              <w:rPr>
                <w:rFonts w:ascii="Times New Roman" w:hAnsi="Times New Roman" w:cs="Times New Roman"/>
                <w:b/>
                <w:iCs/>
              </w:rPr>
              <w:t>Priority</w:t>
            </w:r>
            <w:proofErr w:type="spellEnd"/>
            <w:r w:rsidRPr="008C5F1C">
              <w:rPr>
                <w:rFonts w:ascii="Times New Roman" w:hAnsi="Times New Roman" w:cs="Times New Roman"/>
                <w:b/>
                <w:iCs/>
              </w:rPr>
              <w:t xml:space="preserve"> No</w:t>
            </w:r>
          </w:p>
        </w:tc>
        <w:tc>
          <w:tcPr>
            <w:tcW w:w="1384" w:type="dxa"/>
            <w:tcBorders>
              <w:top w:val="single" w:sz="4" w:space="0" w:color="auto"/>
              <w:left w:val="single" w:sz="4" w:space="0" w:color="auto"/>
              <w:bottom w:val="single" w:sz="4" w:space="0" w:color="auto"/>
              <w:right w:val="single" w:sz="4" w:space="0" w:color="auto"/>
            </w:tcBorders>
            <w:hideMark/>
          </w:tcPr>
          <w:p w14:paraId="34305FFD" w14:textId="77777777" w:rsidR="000C7383" w:rsidRPr="008C5F1C" w:rsidRDefault="000C7383" w:rsidP="00531B85">
            <w:pPr>
              <w:rPr>
                <w:rFonts w:ascii="Times New Roman" w:hAnsi="Times New Roman" w:cs="Times New Roman"/>
                <w:b/>
                <w:iCs/>
              </w:rPr>
            </w:pPr>
            <w:r w:rsidRPr="008C5F1C">
              <w:rPr>
                <w:rFonts w:ascii="Times New Roman" w:hAnsi="Times New Roman" w:cs="Times New Roman"/>
                <w:b/>
                <w:iCs/>
              </w:rPr>
              <w:t>Fund</w:t>
            </w:r>
          </w:p>
        </w:tc>
        <w:tc>
          <w:tcPr>
            <w:tcW w:w="2399" w:type="dxa"/>
            <w:tcBorders>
              <w:top w:val="single" w:sz="4" w:space="0" w:color="auto"/>
              <w:left w:val="single" w:sz="4" w:space="0" w:color="auto"/>
              <w:bottom w:val="single" w:sz="4" w:space="0" w:color="auto"/>
              <w:right w:val="single" w:sz="4" w:space="0" w:color="auto"/>
            </w:tcBorders>
            <w:hideMark/>
          </w:tcPr>
          <w:p w14:paraId="3EDF2D93" w14:textId="77777777" w:rsidR="000C7383" w:rsidRPr="008C5F1C" w:rsidRDefault="000C7383" w:rsidP="00531B85">
            <w:pPr>
              <w:rPr>
                <w:rFonts w:ascii="Times New Roman" w:hAnsi="Times New Roman" w:cs="Times New Roman"/>
                <w:b/>
                <w:iCs/>
              </w:rPr>
            </w:pPr>
            <w:proofErr w:type="spellStart"/>
            <w:r w:rsidRPr="008C5F1C">
              <w:rPr>
                <w:rFonts w:ascii="Times New Roman" w:hAnsi="Times New Roman" w:cs="Times New Roman"/>
                <w:b/>
                <w:iCs/>
              </w:rPr>
              <w:t>Category</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region</w:t>
            </w:r>
            <w:proofErr w:type="spellEnd"/>
          </w:p>
        </w:tc>
        <w:tc>
          <w:tcPr>
            <w:tcW w:w="1053" w:type="dxa"/>
            <w:tcBorders>
              <w:top w:val="single" w:sz="4" w:space="0" w:color="auto"/>
              <w:left w:val="single" w:sz="4" w:space="0" w:color="auto"/>
              <w:bottom w:val="single" w:sz="4" w:space="0" w:color="auto"/>
              <w:right w:val="single" w:sz="4" w:space="0" w:color="auto"/>
            </w:tcBorders>
            <w:hideMark/>
          </w:tcPr>
          <w:p w14:paraId="12E430E1" w14:textId="77777777" w:rsidR="000C7383" w:rsidRPr="008C5F1C" w:rsidRDefault="000C7383" w:rsidP="00531B85">
            <w:pPr>
              <w:rPr>
                <w:rFonts w:ascii="Times New Roman" w:hAnsi="Times New Roman" w:cs="Times New Roman"/>
                <w:b/>
                <w:iCs/>
              </w:rPr>
            </w:pPr>
            <w:r w:rsidRPr="008C5F1C">
              <w:rPr>
                <w:rFonts w:ascii="Times New Roman" w:hAnsi="Times New Roman" w:cs="Times New Roman"/>
                <w:b/>
                <w:iCs/>
              </w:rPr>
              <w:t xml:space="preserve">Code </w:t>
            </w:r>
          </w:p>
        </w:tc>
        <w:tc>
          <w:tcPr>
            <w:tcW w:w="3058" w:type="dxa"/>
            <w:tcBorders>
              <w:top w:val="single" w:sz="4" w:space="0" w:color="auto"/>
              <w:left w:val="single" w:sz="4" w:space="0" w:color="auto"/>
              <w:bottom w:val="single" w:sz="4" w:space="0" w:color="auto"/>
              <w:right w:val="single" w:sz="4" w:space="0" w:color="auto"/>
            </w:tcBorders>
            <w:hideMark/>
          </w:tcPr>
          <w:p w14:paraId="5733DE5C" w14:textId="77777777" w:rsidR="000C7383" w:rsidRPr="008C5F1C" w:rsidRDefault="000C7383" w:rsidP="00531B85">
            <w:pPr>
              <w:rPr>
                <w:rFonts w:ascii="Times New Roman" w:hAnsi="Times New Roman" w:cs="Times New Roman"/>
                <w:b/>
                <w:iCs/>
              </w:rPr>
            </w:pPr>
            <w:proofErr w:type="spellStart"/>
            <w:r w:rsidRPr="008C5F1C">
              <w:rPr>
                <w:rFonts w:ascii="Times New Roman" w:hAnsi="Times New Roman" w:cs="Times New Roman"/>
                <w:b/>
                <w:iCs/>
              </w:rPr>
              <w:t>Amount</w:t>
            </w:r>
            <w:proofErr w:type="spellEnd"/>
            <w:r w:rsidRPr="008C5F1C">
              <w:rPr>
                <w:rFonts w:ascii="Times New Roman" w:hAnsi="Times New Roman" w:cs="Times New Roman"/>
                <w:b/>
                <w:iCs/>
              </w:rPr>
              <w:t xml:space="preserve"> (EUR)</w:t>
            </w:r>
          </w:p>
        </w:tc>
      </w:tr>
      <w:tr w:rsidR="000C7383" w:rsidRPr="008C5F1C" w14:paraId="438D3801" w14:textId="77777777" w:rsidTr="00531B85">
        <w:tc>
          <w:tcPr>
            <w:tcW w:w="1599" w:type="dxa"/>
            <w:tcBorders>
              <w:top w:val="single" w:sz="4" w:space="0" w:color="auto"/>
              <w:left w:val="single" w:sz="4" w:space="0" w:color="auto"/>
              <w:bottom w:val="single" w:sz="4" w:space="0" w:color="auto"/>
              <w:right w:val="single" w:sz="4" w:space="0" w:color="auto"/>
            </w:tcBorders>
          </w:tcPr>
          <w:p w14:paraId="4EF9A577" w14:textId="77777777" w:rsidR="000C7383" w:rsidRPr="008C5F1C" w:rsidRDefault="000C7383" w:rsidP="00531B85">
            <w:pPr>
              <w:rPr>
                <w:rFonts w:ascii="Times New Roman" w:hAnsi="Times New Roman" w:cs="Times New Roman"/>
                <w:iCs/>
              </w:rPr>
            </w:pPr>
          </w:p>
        </w:tc>
        <w:tc>
          <w:tcPr>
            <w:tcW w:w="1384" w:type="dxa"/>
            <w:tcBorders>
              <w:top w:val="single" w:sz="4" w:space="0" w:color="auto"/>
              <w:left w:val="single" w:sz="4" w:space="0" w:color="auto"/>
              <w:bottom w:val="single" w:sz="4" w:space="0" w:color="auto"/>
              <w:right w:val="single" w:sz="4" w:space="0" w:color="auto"/>
            </w:tcBorders>
          </w:tcPr>
          <w:p w14:paraId="5A4DA444" w14:textId="77777777" w:rsidR="000C7383" w:rsidRPr="008C5F1C" w:rsidRDefault="000C7383" w:rsidP="00531B85">
            <w:pPr>
              <w:rPr>
                <w:rFonts w:ascii="Times New Roman" w:hAnsi="Times New Roman" w:cs="Times New Roman"/>
                <w:b/>
                <w:iCs/>
              </w:rPr>
            </w:pPr>
          </w:p>
        </w:tc>
        <w:tc>
          <w:tcPr>
            <w:tcW w:w="2399" w:type="dxa"/>
            <w:tcBorders>
              <w:top w:val="single" w:sz="4" w:space="0" w:color="auto"/>
              <w:left w:val="single" w:sz="4" w:space="0" w:color="auto"/>
              <w:bottom w:val="single" w:sz="4" w:space="0" w:color="auto"/>
              <w:right w:val="single" w:sz="4" w:space="0" w:color="auto"/>
            </w:tcBorders>
          </w:tcPr>
          <w:p w14:paraId="6FA39CF7" w14:textId="77777777" w:rsidR="000C7383" w:rsidRPr="008C5F1C" w:rsidRDefault="000C7383" w:rsidP="00531B85">
            <w:pPr>
              <w:rPr>
                <w:rFonts w:ascii="Times New Roman" w:hAnsi="Times New Roman" w:cs="Times New Roman"/>
                <w:b/>
                <w:iCs/>
              </w:rPr>
            </w:pPr>
          </w:p>
        </w:tc>
        <w:tc>
          <w:tcPr>
            <w:tcW w:w="1053" w:type="dxa"/>
            <w:tcBorders>
              <w:top w:val="single" w:sz="4" w:space="0" w:color="auto"/>
              <w:left w:val="single" w:sz="4" w:space="0" w:color="auto"/>
              <w:bottom w:val="single" w:sz="4" w:space="0" w:color="auto"/>
              <w:right w:val="single" w:sz="4" w:space="0" w:color="auto"/>
            </w:tcBorders>
          </w:tcPr>
          <w:p w14:paraId="72C9AEE2" w14:textId="77777777" w:rsidR="000C7383" w:rsidRPr="008C5F1C" w:rsidRDefault="000C7383" w:rsidP="00531B85">
            <w:pPr>
              <w:rPr>
                <w:rFonts w:ascii="Times New Roman" w:hAnsi="Times New Roman" w:cs="Times New Roman"/>
                <w:b/>
                <w:iCs/>
              </w:rPr>
            </w:pPr>
          </w:p>
        </w:tc>
        <w:tc>
          <w:tcPr>
            <w:tcW w:w="3058" w:type="dxa"/>
            <w:tcBorders>
              <w:top w:val="single" w:sz="4" w:space="0" w:color="auto"/>
              <w:left w:val="single" w:sz="4" w:space="0" w:color="auto"/>
              <w:bottom w:val="single" w:sz="4" w:space="0" w:color="auto"/>
              <w:right w:val="single" w:sz="4" w:space="0" w:color="auto"/>
            </w:tcBorders>
          </w:tcPr>
          <w:p w14:paraId="3E46F762" w14:textId="77777777" w:rsidR="000C7383" w:rsidRPr="008C5F1C" w:rsidRDefault="000C7383" w:rsidP="00531B85">
            <w:pPr>
              <w:jc w:val="right"/>
              <w:rPr>
                <w:rFonts w:ascii="Times New Roman" w:hAnsi="Times New Roman" w:cs="Times New Roman"/>
                <w:b/>
                <w:iCs/>
              </w:rPr>
            </w:pPr>
          </w:p>
        </w:tc>
      </w:tr>
    </w:tbl>
    <w:p w14:paraId="1BAA4A31" w14:textId="77777777" w:rsidR="000C7383" w:rsidRPr="008C5F1C" w:rsidRDefault="000C7383" w:rsidP="000C7383">
      <w:pPr>
        <w:rPr>
          <w:rFonts w:ascii="Times New Roman" w:hAnsi="Times New Roman" w:cs="Times New Roman"/>
        </w:rPr>
      </w:pPr>
    </w:p>
    <w:p w14:paraId="1A0D7C22" w14:textId="77777777" w:rsidR="000C7383" w:rsidRPr="008C5F1C" w:rsidRDefault="000C7383" w:rsidP="00653571">
      <w:pPr>
        <w:rPr>
          <w:rFonts w:ascii="Times New Roman" w:hAnsi="Times New Roman" w:cs="Times New Roman"/>
        </w:rPr>
      </w:pPr>
    </w:p>
    <w:p w14:paraId="799C35DC" w14:textId="77777777" w:rsidR="00653571" w:rsidRPr="008C5F1C" w:rsidRDefault="00653571" w:rsidP="00653571">
      <w:pPr>
        <w:pStyle w:val="Heading3"/>
        <w:numPr>
          <w:ilvl w:val="0"/>
          <w:numId w:val="0"/>
        </w:numPr>
        <w:shd w:val="clear" w:color="auto" w:fill="B4C6E7" w:themeFill="accent1" w:themeFillTint="66"/>
        <w:rPr>
          <w:rFonts w:cs="Times New Roman"/>
          <w:noProof/>
          <w:lang w:val="ro-RO"/>
        </w:rPr>
      </w:pPr>
      <w:bookmarkStart w:id="119" w:name="_Toc39840938"/>
      <w:r w:rsidRPr="008C5F1C">
        <w:rPr>
          <w:rFonts w:cs="Times New Roman"/>
          <w:noProof/>
          <w:lang w:val="ro-RO"/>
        </w:rPr>
        <w:t>2.A.3 OS b (vii) Îmbun</w:t>
      </w:r>
      <w:r w:rsidR="00BA7827" w:rsidRPr="008C5F1C">
        <w:rPr>
          <w:rFonts w:cs="Times New Roman"/>
          <w:noProof/>
          <w:lang w:val="ro-RO"/>
        </w:rPr>
        <w:t>ă</w:t>
      </w:r>
      <w:r w:rsidRPr="008C5F1C">
        <w:rPr>
          <w:rFonts w:cs="Times New Roman"/>
          <w:noProof/>
          <w:lang w:val="ro-RO"/>
        </w:rPr>
        <w:t>t</w:t>
      </w:r>
      <w:r w:rsidR="00BA7827" w:rsidRPr="008C5F1C">
        <w:rPr>
          <w:rFonts w:cs="Times New Roman"/>
          <w:noProof/>
          <w:lang w:val="ro-RO"/>
        </w:rPr>
        <w:t>ă</w:t>
      </w:r>
      <w:r w:rsidR="00E22FF2" w:rsidRPr="008C5F1C">
        <w:rPr>
          <w:rFonts w:cs="Times New Roman"/>
          <w:noProof/>
          <w:lang w:val="ro-RO"/>
        </w:rPr>
        <w:t>ț</w:t>
      </w:r>
      <w:r w:rsidRPr="008C5F1C">
        <w:rPr>
          <w:rFonts w:cs="Times New Roman"/>
          <w:noProof/>
          <w:lang w:val="ro-RO"/>
        </w:rPr>
        <w:t>irea protec</w:t>
      </w:r>
      <w:r w:rsidR="00E22FF2" w:rsidRPr="008C5F1C">
        <w:rPr>
          <w:rFonts w:cs="Times New Roman"/>
          <w:noProof/>
          <w:lang w:val="ro-RO"/>
        </w:rPr>
        <w:t>ț</w:t>
      </w:r>
      <w:r w:rsidRPr="008C5F1C">
        <w:rPr>
          <w:rFonts w:cs="Times New Roman"/>
          <w:noProof/>
          <w:lang w:val="ro-RO"/>
        </w:rPr>
        <w:t xml:space="preserve">iei naturii </w:t>
      </w:r>
      <w:r w:rsidR="00106240" w:rsidRPr="008C5F1C">
        <w:rPr>
          <w:rFonts w:cs="Times New Roman"/>
          <w:noProof/>
          <w:lang w:val="ro-RO"/>
        </w:rPr>
        <w:t>ș</w:t>
      </w:r>
      <w:r w:rsidRPr="008C5F1C">
        <w:rPr>
          <w:rFonts w:cs="Times New Roman"/>
          <w:noProof/>
          <w:lang w:val="ro-RO"/>
        </w:rPr>
        <w:t>i a biodiversit</w:t>
      </w:r>
      <w:r w:rsidR="00BA7827" w:rsidRPr="008C5F1C">
        <w:rPr>
          <w:rFonts w:cs="Times New Roman"/>
          <w:noProof/>
          <w:lang w:val="ro-RO"/>
        </w:rPr>
        <w:t>ă</w:t>
      </w:r>
      <w:r w:rsidR="00E22FF2" w:rsidRPr="008C5F1C">
        <w:rPr>
          <w:rFonts w:cs="Times New Roman"/>
          <w:noProof/>
          <w:lang w:val="ro-RO"/>
        </w:rPr>
        <w:t>ț</w:t>
      </w:r>
      <w:r w:rsidRPr="008C5F1C">
        <w:rPr>
          <w:rFonts w:cs="Times New Roman"/>
          <w:noProof/>
          <w:lang w:val="ro-RO"/>
        </w:rPr>
        <w:t xml:space="preserve">ii, a infrastructurii verzi în special în mediul urban </w:t>
      </w:r>
      <w:r w:rsidR="00106240" w:rsidRPr="008C5F1C">
        <w:rPr>
          <w:rFonts w:cs="Times New Roman"/>
          <w:noProof/>
          <w:lang w:val="ro-RO"/>
        </w:rPr>
        <w:t>ș</w:t>
      </w:r>
      <w:r w:rsidRPr="008C5F1C">
        <w:rPr>
          <w:rFonts w:cs="Times New Roman"/>
          <w:noProof/>
          <w:lang w:val="ro-RO"/>
        </w:rPr>
        <w:t>i reducerea polu</w:t>
      </w:r>
      <w:r w:rsidR="00BA7827" w:rsidRPr="008C5F1C">
        <w:rPr>
          <w:rFonts w:cs="Times New Roman"/>
          <w:noProof/>
          <w:lang w:val="ro-RO"/>
        </w:rPr>
        <w:t>ă</w:t>
      </w:r>
      <w:r w:rsidRPr="008C5F1C">
        <w:rPr>
          <w:rFonts w:cs="Times New Roman"/>
          <w:noProof/>
          <w:lang w:val="ro-RO"/>
        </w:rPr>
        <w:t>rii</w:t>
      </w:r>
      <w:bookmarkEnd w:id="119"/>
    </w:p>
    <w:p w14:paraId="78CB2EA2" w14:textId="77777777" w:rsidR="00653571" w:rsidRPr="008C5F1C" w:rsidRDefault="00653571" w:rsidP="00653571">
      <w:pPr>
        <w:pStyle w:val="Heading4"/>
        <w:numPr>
          <w:ilvl w:val="0"/>
          <w:numId w:val="0"/>
        </w:numPr>
        <w:ind w:left="851" w:hanging="851"/>
        <w:rPr>
          <w:rFonts w:cs="Times New Roman"/>
          <w:b/>
          <w:bCs/>
          <w:lang w:val="ro-RO"/>
        </w:rPr>
      </w:pPr>
      <w:r w:rsidRPr="008C5F1C">
        <w:rPr>
          <w:rFonts w:cs="Times New Roman"/>
          <w:b/>
          <w:bCs/>
          <w:lang w:val="ro-RO"/>
        </w:rPr>
        <w:t xml:space="preserve">2.A.3.1 </w:t>
      </w:r>
      <w:proofErr w:type="spellStart"/>
      <w:r w:rsidRPr="008C5F1C">
        <w:rPr>
          <w:rFonts w:cs="Times New Roman"/>
          <w:b/>
          <w:bCs/>
          <w:lang w:val="ro-RO"/>
        </w:rPr>
        <w:t>Interventions</w:t>
      </w:r>
      <w:proofErr w:type="spellEnd"/>
      <w:r w:rsidRPr="008C5F1C">
        <w:rPr>
          <w:rFonts w:cs="Times New Roman"/>
          <w:b/>
          <w:bCs/>
          <w:lang w:val="ro-RO"/>
        </w:rPr>
        <w:t xml:space="preserve"> of </w:t>
      </w:r>
      <w:proofErr w:type="spellStart"/>
      <w:r w:rsidRPr="008C5F1C">
        <w:rPr>
          <w:rFonts w:cs="Times New Roman"/>
          <w:b/>
          <w:bCs/>
          <w:lang w:val="ro-RO"/>
        </w:rPr>
        <w:t>the</w:t>
      </w:r>
      <w:proofErr w:type="spellEnd"/>
      <w:r w:rsidRPr="008C5F1C">
        <w:rPr>
          <w:rFonts w:cs="Times New Roman"/>
          <w:b/>
          <w:bCs/>
          <w:lang w:val="ro-RO"/>
        </w:rPr>
        <w:t xml:space="preserve"> </w:t>
      </w:r>
      <w:proofErr w:type="spellStart"/>
      <w:r w:rsidRPr="008C5F1C">
        <w:rPr>
          <w:rFonts w:cs="Times New Roman"/>
          <w:b/>
          <w:bCs/>
          <w:lang w:val="ro-RO"/>
        </w:rPr>
        <w:t>Funds</w:t>
      </w:r>
      <w:proofErr w:type="spellEnd"/>
    </w:p>
    <w:p w14:paraId="25C8E47B" w14:textId="77777777" w:rsidR="00653571" w:rsidRPr="008C5F1C" w:rsidRDefault="00653571" w:rsidP="00653571">
      <w:pPr>
        <w:spacing w:before="120" w:after="120" w:line="360" w:lineRule="auto"/>
        <w:rPr>
          <w:rFonts w:ascii="Times New Roman" w:eastAsia="Times New Roman" w:hAnsi="Times New Roman" w:cs="Times New Roman"/>
          <w:i/>
          <w:noProof/>
          <w:sz w:val="24"/>
          <w:szCs w:val="24"/>
        </w:rPr>
      </w:pPr>
      <w:r w:rsidRPr="008C5F1C">
        <w:rPr>
          <w:rFonts w:ascii="Times New Roman" w:eastAsia="Times New Roman" w:hAnsi="Times New Roman" w:cs="Times New Roman"/>
          <w:i/>
          <w:noProof/>
          <w:sz w:val="24"/>
          <w:szCs w:val="24"/>
        </w:rPr>
        <w:t>Reference: Article 17(3)(d)(i),(iii),(iv),(v),(vi);</w:t>
      </w:r>
    </w:p>
    <w:p w14:paraId="26F1FE41" w14:textId="77777777" w:rsidR="00653571" w:rsidRPr="008C5F1C" w:rsidRDefault="00653571" w:rsidP="00653571">
      <w:pPr>
        <w:bidi/>
        <w:spacing w:before="120" w:after="120" w:line="360" w:lineRule="auto"/>
        <w:jc w:val="right"/>
        <w:rPr>
          <w:rFonts w:ascii="Times New Roman" w:eastAsia="Times New Roman" w:hAnsi="Times New Roman" w:cs="Times New Roman"/>
          <w:b/>
          <w:bCs/>
          <w:i/>
          <w:iCs/>
          <w:noProof/>
          <w:sz w:val="24"/>
          <w:szCs w:val="24"/>
          <w:u w:val="single"/>
        </w:rPr>
      </w:pPr>
      <w:r w:rsidRPr="008C5F1C">
        <w:rPr>
          <w:rFonts w:ascii="Times New Roman" w:eastAsia="Times New Roman" w:hAnsi="Times New Roman" w:cs="Times New Roman"/>
          <w:i/>
          <w:noProof/>
          <w:sz w:val="24"/>
          <w:szCs w:val="24"/>
        </w:rPr>
        <w:t>The related types of actions – Article 17(3)(d)(i) CPR; Article 6(2) ESF+</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653571" w:rsidRPr="008C5F1C" w14:paraId="01E45ABB" w14:textId="77777777" w:rsidTr="00534127">
        <w:tc>
          <w:tcPr>
            <w:tcW w:w="9288" w:type="dxa"/>
            <w:tcBorders>
              <w:top w:val="single" w:sz="4" w:space="0" w:color="auto"/>
              <w:left w:val="single" w:sz="4" w:space="0" w:color="auto"/>
              <w:bottom w:val="single" w:sz="4" w:space="0" w:color="auto"/>
              <w:right w:val="single" w:sz="4" w:space="0" w:color="auto"/>
            </w:tcBorders>
          </w:tcPr>
          <w:p w14:paraId="66A59852" w14:textId="75DC4432" w:rsidR="00662410" w:rsidRPr="008C5F1C" w:rsidRDefault="00662410" w:rsidP="008131FB">
            <w:pPr>
              <w:spacing w:after="120" w:line="240" w:lineRule="auto"/>
              <w:jc w:val="both"/>
              <w:rPr>
                <w:rFonts w:ascii="Times New Roman" w:hAnsi="Times New Roman" w:cs="Times New Roman"/>
              </w:rPr>
            </w:pPr>
            <w:r w:rsidRPr="008C5F1C">
              <w:rPr>
                <w:rFonts w:ascii="Times New Roman" w:hAnsi="Times New Roman" w:cs="Times New Roman"/>
              </w:rPr>
              <w:lastRenderedPageBreak/>
              <w:t>În context urban, spațiul public are un rol esențial în transformarea orașelor și în definirea modului în care acesta este perceput de locuitori/vizitatori/utilizatori. Spațiul public este greu de definit și are caracteristici și elemente diferite în funcție condiționările geografice și culturale. Pe măsură ce orașele și populația urbană continuă să se transforme rapid, este necesară regândirea modului în care se folosește spațiul, cu precădere cel cu funcțiune publică, căci acesta este spațiul interacțiunii sociale, creativității, activităților economice și divertismentului, aspecte care contribuie la sporirea atractivității unui oraș.</w:t>
            </w:r>
          </w:p>
          <w:p w14:paraId="07D6C443" w14:textId="77777777" w:rsidR="00653571" w:rsidRPr="008C5F1C" w:rsidRDefault="00653571" w:rsidP="008131FB">
            <w:pPr>
              <w:spacing w:after="120" w:line="240" w:lineRule="auto"/>
              <w:jc w:val="both"/>
              <w:rPr>
                <w:rFonts w:ascii="Times New Roman" w:hAnsi="Times New Roman" w:cs="Times New Roman"/>
              </w:rPr>
            </w:pPr>
            <w:r w:rsidRPr="008C5F1C">
              <w:rPr>
                <w:rFonts w:ascii="Times New Roman" w:hAnsi="Times New Roman" w:cs="Times New Roman"/>
              </w:rPr>
              <w:t>Aceste spa</w:t>
            </w:r>
            <w:r w:rsidR="00E22FF2" w:rsidRPr="008C5F1C">
              <w:rPr>
                <w:rFonts w:ascii="Times New Roman" w:hAnsi="Times New Roman" w:cs="Times New Roman"/>
              </w:rPr>
              <w:t>ț</w:t>
            </w:r>
            <w:r w:rsidRPr="008C5F1C">
              <w:rPr>
                <w:rFonts w:ascii="Times New Roman" w:hAnsi="Times New Roman" w:cs="Times New Roman"/>
              </w:rPr>
              <w:t>ii au un poten</w:t>
            </w:r>
            <w:r w:rsidR="00E22FF2" w:rsidRPr="008C5F1C">
              <w:rPr>
                <w:rFonts w:ascii="Times New Roman" w:hAnsi="Times New Roman" w:cs="Times New Roman"/>
              </w:rPr>
              <w:t>ț</w:t>
            </w:r>
            <w:r w:rsidRPr="008C5F1C">
              <w:rPr>
                <w:rFonts w:ascii="Times New Roman" w:hAnsi="Times New Roman" w:cs="Times New Roman"/>
              </w:rPr>
              <w:t>ial ridicat de reconstruc</w:t>
            </w:r>
            <w:r w:rsidR="00E22FF2" w:rsidRPr="008C5F1C">
              <w:rPr>
                <w:rFonts w:ascii="Times New Roman" w:hAnsi="Times New Roman" w:cs="Times New Roman"/>
              </w:rPr>
              <w:t>ț</w:t>
            </w:r>
            <w:r w:rsidRPr="008C5F1C">
              <w:rPr>
                <w:rFonts w:ascii="Times New Roman" w:hAnsi="Times New Roman" w:cs="Times New Roman"/>
              </w:rPr>
              <w:t xml:space="preserve">ie </w:t>
            </w:r>
            <w:r w:rsidR="00106240" w:rsidRPr="008C5F1C">
              <w:rPr>
                <w:rFonts w:ascii="Times New Roman" w:hAnsi="Times New Roman" w:cs="Times New Roman"/>
              </w:rPr>
              <w:t>ș</w:t>
            </w:r>
            <w:r w:rsidRPr="008C5F1C">
              <w:rPr>
                <w:rFonts w:ascii="Times New Roman" w:hAnsi="Times New Roman" w:cs="Times New Roman"/>
              </w:rPr>
              <w:t xml:space="preserve">i repunere prin integrarea lor în comunitate </w:t>
            </w:r>
            <w:r w:rsidR="00106240" w:rsidRPr="008C5F1C">
              <w:rPr>
                <w:rFonts w:ascii="Times New Roman" w:hAnsi="Times New Roman" w:cs="Times New Roman"/>
              </w:rPr>
              <w:t>ș</w:t>
            </w:r>
            <w:r w:rsidRPr="008C5F1C">
              <w:rPr>
                <w:rFonts w:ascii="Times New Roman" w:hAnsi="Times New Roman" w:cs="Times New Roman"/>
              </w:rPr>
              <w:t>i pentru crearea de spa</w:t>
            </w:r>
            <w:r w:rsidR="00E22FF2" w:rsidRPr="008C5F1C">
              <w:rPr>
                <w:rFonts w:ascii="Times New Roman" w:hAnsi="Times New Roman" w:cs="Times New Roman"/>
              </w:rPr>
              <w:t>ț</w:t>
            </w:r>
            <w:r w:rsidRPr="008C5F1C">
              <w:rPr>
                <w:rFonts w:ascii="Times New Roman" w:hAnsi="Times New Roman" w:cs="Times New Roman"/>
              </w:rPr>
              <w:t>ii inovative, care pot fi transformate în diferite facilit</w:t>
            </w:r>
            <w:r w:rsidR="00BA7827" w:rsidRPr="008C5F1C">
              <w:rPr>
                <w:rFonts w:ascii="Times New Roman" w:hAnsi="Times New Roman" w:cs="Times New Roman"/>
              </w:rPr>
              <w:t>ă</w:t>
            </w:r>
            <w:r w:rsidR="00E22FF2" w:rsidRPr="008C5F1C">
              <w:rPr>
                <w:rFonts w:ascii="Times New Roman" w:hAnsi="Times New Roman" w:cs="Times New Roman"/>
              </w:rPr>
              <w:t>ț</w:t>
            </w:r>
            <w:r w:rsidRPr="008C5F1C">
              <w:rPr>
                <w:rFonts w:ascii="Times New Roman" w:hAnsi="Times New Roman" w:cs="Times New Roman"/>
              </w:rPr>
              <w:t xml:space="preserve">i </w:t>
            </w:r>
            <w:r w:rsidR="00106240" w:rsidRPr="008C5F1C">
              <w:rPr>
                <w:rFonts w:ascii="Times New Roman" w:hAnsi="Times New Roman" w:cs="Times New Roman"/>
              </w:rPr>
              <w:t>ș</w:t>
            </w:r>
            <w:r w:rsidRPr="008C5F1C">
              <w:rPr>
                <w:rFonts w:ascii="Times New Roman" w:hAnsi="Times New Roman" w:cs="Times New Roman"/>
              </w:rPr>
              <w:t>i pot contribui semnificativ la cre</w:t>
            </w:r>
            <w:r w:rsidR="00106240" w:rsidRPr="008C5F1C">
              <w:rPr>
                <w:rFonts w:ascii="Times New Roman" w:hAnsi="Times New Roman" w:cs="Times New Roman"/>
              </w:rPr>
              <w:t>ș</w:t>
            </w:r>
            <w:r w:rsidRPr="008C5F1C">
              <w:rPr>
                <w:rFonts w:ascii="Times New Roman" w:hAnsi="Times New Roman" w:cs="Times New Roman"/>
              </w:rPr>
              <w:t>terea calit</w:t>
            </w:r>
            <w:r w:rsidR="00BA7827" w:rsidRPr="008C5F1C">
              <w:rPr>
                <w:rFonts w:ascii="Times New Roman" w:hAnsi="Times New Roman" w:cs="Times New Roman"/>
              </w:rPr>
              <w:t>ă</w:t>
            </w:r>
            <w:r w:rsidR="00E22FF2" w:rsidRPr="008C5F1C">
              <w:rPr>
                <w:rFonts w:ascii="Times New Roman" w:hAnsi="Times New Roman" w:cs="Times New Roman"/>
              </w:rPr>
              <w:t>ț</w:t>
            </w:r>
            <w:r w:rsidRPr="008C5F1C">
              <w:rPr>
                <w:rFonts w:ascii="Times New Roman" w:hAnsi="Times New Roman" w:cs="Times New Roman"/>
              </w:rPr>
              <w:t>ii vie</w:t>
            </w:r>
            <w:r w:rsidR="00E22FF2" w:rsidRPr="008C5F1C">
              <w:rPr>
                <w:rFonts w:ascii="Times New Roman" w:hAnsi="Times New Roman" w:cs="Times New Roman"/>
              </w:rPr>
              <w:t>ț</w:t>
            </w:r>
            <w:r w:rsidRPr="008C5F1C">
              <w:rPr>
                <w:rFonts w:ascii="Times New Roman" w:hAnsi="Times New Roman" w:cs="Times New Roman"/>
              </w:rPr>
              <w:t>ii cet</w:t>
            </w:r>
            <w:r w:rsidR="00BA7827" w:rsidRPr="008C5F1C">
              <w:rPr>
                <w:rFonts w:ascii="Times New Roman" w:hAnsi="Times New Roman" w:cs="Times New Roman"/>
              </w:rPr>
              <w:t>ă</w:t>
            </w:r>
            <w:r w:rsidR="00E22FF2" w:rsidRPr="008C5F1C">
              <w:rPr>
                <w:rFonts w:ascii="Times New Roman" w:hAnsi="Times New Roman" w:cs="Times New Roman"/>
              </w:rPr>
              <w:t>ț</w:t>
            </w:r>
            <w:r w:rsidRPr="008C5F1C">
              <w:rPr>
                <w:rFonts w:ascii="Times New Roman" w:hAnsi="Times New Roman" w:cs="Times New Roman"/>
              </w:rPr>
              <w:t xml:space="preserve">enilor la atractivitatea zonei pentru locuire </w:t>
            </w:r>
            <w:r w:rsidR="00106240" w:rsidRPr="008C5F1C">
              <w:rPr>
                <w:rFonts w:ascii="Times New Roman" w:hAnsi="Times New Roman" w:cs="Times New Roman"/>
              </w:rPr>
              <w:t>ș</w:t>
            </w:r>
            <w:r w:rsidRPr="008C5F1C">
              <w:rPr>
                <w:rFonts w:ascii="Times New Roman" w:hAnsi="Times New Roman" w:cs="Times New Roman"/>
              </w:rPr>
              <w:t>i pentru investi</w:t>
            </w:r>
            <w:r w:rsidR="00E22FF2" w:rsidRPr="008C5F1C">
              <w:rPr>
                <w:rFonts w:ascii="Times New Roman" w:hAnsi="Times New Roman" w:cs="Times New Roman"/>
              </w:rPr>
              <w:t>ț</w:t>
            </w:r>
            <w:r w:rsidRPr="008C5F1C">
              <w:rPr>
                <w:rFonts w:ascii="Times New Roman" w:hAnsi="Times New Roman" w:cs="Times New Roman"/>
              </w:rPr>
              <w:t>ii sau la valoarea comercial</w:t>
            </w:r>
            <w:r w:rsidR="00BA7827" w:rsidRPr="008C5F1C">
              <w:rPr>
                <w:rFonts w:ascii="Times New Roman" w:hAnsi="Times New Roman" w:cs="Times New Roman"/>
              </w:rPr>
              <w:t>ă</w:t>
            </w:r>
            <w:r w:rsidRPr="008C5F1C">
              <w:rPr>
                <w:rFonts w:ascii="Times New Roman" w:hAnsi="Times New Roman" w:cs="Times New Roman"/>
              </w:rPr>
              <w:t xml:space="preserve"> a imobilelor.</w:t>
            </w:r>
          </w:p>
          <w:p w14:paraId="5533E84C" w14:textId="356EBAF8" w:rsidR="00653571" w:rsidRPr="008C5F1C" w:rsidRDefault="00653571" w:rsidP="008131FB">
            <w:pPr>
              <w:spacing w:after="120" w:line="240" w:lineRule="auto"/>
              <w:jc w:val="both"/>
              <w:rPr>
                <w:rFonts w:ascii="Times New Roman" w:hAnsi="Times New Roman" w:cs="Times New Roman"/>
              </w:rPr>
            </w:pPr>
            <w:r w:rsidRPr="008C5F1C">
              <w:rPr>
                <w:rFonts w:ascii="Times New Roman" w:hAnsi="Times New Roman" w:cs="Times New Roman"/>
              </w:rPr>
              <w:t>Toate ora</w:t>
            </w:r>
            <w:r w:rsidR="00106240" w:rsidRPr="008C5F1C">
              <w:rPr>
                <w:rFonts w:ascii="Times New Roman" w:hAnsi="Times New Roman" w:cs="Times New Roman"/>
              </w:rPr>
              <w:t>ș</w:t>
            </w:r>
            <w:r w:rsidRPr="008C5F1C">
              <w:rPr>
                <w:rFonts w:ascii="Times New Roman" w:hAnsi="Times New Roman" w:cs="Times New Roman"/>
              </w:rPr>
              <w:t>ele se afl</w:t>
            </w:r>
            <w:r w:rsidR="00BA7827" w:rsidRPr="008C5F1C">
              <w:rPr>
                <w:rFonts w:ascii="Times New Roman" w:hAnsi="Times New Roman" w:cs="Times New Roman"/>
              </w:rPr>
              <w:t>ă</w:t>
            </w:r>
            <w:r w:rsidRPr="008C5F1C">
              <w:rPr>
                <w:rFonts w:ascii="Times New Roman" w:hAnsi="Times New Roman" w:cs="Times New Roman"/>
              </w:rPr>
              <w:t xml:space="preserve"> într-un proces constant de transformare, iar spa</w:t>
            </w:r>
            <w:r w:rsidR="00E22FF2" w:rsidRPr="008C5F1C">
              <w:rPr>
                <w:rFonts w:ascii="Times New Roman" w:hAnsi="Times New Roman" w:cs="Times New Roman"/>
              </w:rPr>
              <w:t>ț</w:t>
            </w:r>
            <w:r w:rsidRPr="008C5F1C">
              <w:rPr>
                <w:rFonts w:ascii="Times New Roman" w:hAnsi="Times New Roman" w:cs="Times New Roman"/>
              </w:rPr>
              <w:t>ii anterior utilizate î</w:t>
            </w:r>
            <w:r w:rsidR="00106240" w:rsidRPr="008C5F1C">
              <w:rPr>
                <w:rFonts w:ascii="Times New Roman" w:hAnsi="Times New Roman" w:cs="Times New Roman"/>
              </w:rPr>
              <w:t>ș</w:t>
            </w:r>
            <w:r w:rsidRPr="008C5F1C">
              <w:rPr>
                <w:rFonts w:ascii="Times New Roman" w:hAnsi="Times New Roman" w:cs="Times New Roman"/>
              </w:rPr>
              <w:t>i pierd sau î</w:t>
            </w:r>
            <w:r w:rsidR="00106240" w:rsidRPr="008C5F1C">
              <w:rPr>
                <w:rFonts w:ascii="Times New Roman" w:hAnsi="Times New Roman" w:cs="Times New Roman"/>
              </w:rPr>
              <w:t>ș</w:t>
            </w:r>
            <w:r w:rsidRPr="008C5F1C">
              <w:rPr>
                <w:rFonts w:ascii="Times New Roman" w:hAnsi="Times New Roman" w:cs="Times New Roman"/>
              </w:rPr>
              <w:t>i schimb</w:t>
            </w:r>
            <w:r w:rsidR="00BA7827" w:rsidRPr="008C5F1C">
              <w:rPr>
                <w:rFonts w:ascii="Times New Roman" w:hAnsi="Times New Roman" w:cs="Times New Roman"/>
              </w:rPr>
              <w:t>ă</w:t>
            </w:r>
            <w:r w:rsidRPr="008C5F1C">
              <w:rPr>
                <w:rFonts w:ascii="Times New Roman" w:hAnsi="Times New Roman" w:cs="Times New Roman"/>
              </w:rPr>
              <w:t xml:space="preserve"> func</w:t>
            </w:r>
            <w:r w:rsidR="00E22FF2" w:rsidRPr="008C5F1C">
              <w:rPr>
                <w:rFonts w:ascii="Times New Roman" w:hAnsi="Times New Roman" w:cs="Times New Roman"/>
              </w:rPr>
              <w:t>ț</w:t>
            </w:r>
            <w:r w:rsidRPr="008C5F1C">
              <w:rPr>
                <w:rFonts w:ascii="Times New Roman" w:hAnsi="Times New Roman" w:cs="Times New Roman"/>
              </w:rPr>
              <w:t>ionalitatea, creând noi oportunit</w:t>
            </w:r>
            <w:r w:rsidR="00BA7827" w:rsidRPr="008C5F1C">
              <w:rPr>
                <w:rFonts w:ascii="Times New Roman" w:hAnsi="Times New Roman" w:cs="Times New Roman"/>
              </w:rPr>
              <w:t>ă</w:t>
            </w:r>
            <w:r w:rsidR="00E22FF2" w:rsidRPr="008C5F1C">
              <w:rPr>
                <w:rFonts w:ascii="Times New Roman" w:hAnsi="Times New Roman" w:cs="Times New Roman"/>
              </w:rPr>
              <w:t>ț</w:t>
            </w:r>
            <w:r w:rsidRPr="008C5F1C">
              <w:rPr>
                <w:rFonts w:ascii="Times New Roman" w:hAnsi="Times New Roman" w:cs="Times New Roman"/>
              </w:rPr>
              <w:t>i. Astfel, nevoile de finan</w:t>
            </w:r>
            <w:r w:rsidR="00E22FF2" w:rsidRPr="008C5F1C">
              <w:rPr>
                <w:rFonts w:ascii="Times New Roman" w:hAnsi="Times New Roman" w:cs="Times New Roman"/>
              </w:rPr>
              <w:t>ț</w:t>
            </w:r>
            <w:r w:rsidRPr="008C5F1C">
              <w:rPr>
                <w:rFonts w:ascii="Times New Roman" w:hAnsi="Times New Roman" w:cs="Times New Roman"/>
              </w:rPr>
              <w:t>are în ceea ce prive</w:t>
            </w:r>
            <w:r w:rsidR="00106240" w:rsidRPr="008C5F1C">
              <w:rPr>
                <w:rFonts w:ascii="Times New Roman" w:hAnsi="Times New Roman" w:cs="Times New Roman"/>
              </w:rPr>
              <w:t>ș</w:t>
            </w:r>
            <w:r w:rsidRPr="008C5F1C">
              <w:rPr>
                <w:rFonts w:ascii="Times New Roman" w:hAnsi="Times New Roman" w:cs="Times New Roman"/>
              </w:rPr>
              <w:t>te reconversia func</w:t>
            </w:r>
            <w:r w:rsidR="00E22FF2" w:rsidRPr="008C5F1C">
              <w:rPr>
                <w:rFonts w:ascii="Times New Roman" w:hAnsi="Times New Roman" w:cs="Times New Roman"/>
              </w:rPr>
              <w:t>ț</w:t>
            </w:r>
            <w:r w:rsidRPr="008C5F1C">
              <w:rPr>
                <w:rFonts w:ascii="Times New Roman" w:hAnsi="Times New Roman" w:cs="Times New Roman"/>
              </w:rPr>
              <w:t>ional</w:t>
            </w:r>
            <w:r w:rsidR="00BA7827" w:rsidRPr="008C5F1C">
              <w:rPr>
                <w:rFonts w:ascii="Times New Roman" w:hAnsi="Times New Roman" w:cs="Times New Roman"/>
              </w:rPr>
              <w:t>ă</w:t>
            </w:r>
            <w:r w:rsidRPr="008C5F1C">
              <w:rPr>
                <w:rFonts w:ascii="Times New Roman" w:hAnsi="Times New Roman" w:cs="Times New Roman"/>
              </w:rPr>
              <w:t xml:space="preserve"> </w:t>
            </w:r>
            <w:r w:rsidR="00106240" w:rsidRPr="008C5F1C">
              <w:rPr>
                <w:rFonts w:ascii="Times New Roman" w:hAnsi="Times New Roman" w:cs="Times New Roman"/>
              </w:rPr>
              <w:t>ș</w:t>
            </w:r>
            <w:r w:rsidRPr="008C5F1C">
              <w:rPr>
                <w:rFonts w:ascii="Times New Roman" w:hAnsi="Times New Roman" w:cs="Times New Roman"/>
              </w:rPr>
              <w:t xml:space="preserve">i/sau reutilizarea unor terenuri </w:t>
            </w:r>
            <w:r w:rsidR="00106240" w:rsidRPr="008C5F1C">
              <w:rPr>
                <w:rFonts w:ascii="Times New Roman" w:hAnsi="Times New Roman" w:cs="Times New Roman"/>
              </w:rPr>
              <w:t>ș</w:t>
            </w:r>
            <w:r w:rsidRPr="008C5F1C">
              <w:rPr>
                <w:rFonts w:ascii="Times New Roman" w:hAnsi="Times New Roman" w:cs="Times New Roman"/>
              </w:rPr>
              <w:t>i suprafe</w:t>
            </w:r>
            <w:r w:rsidR="00E22FF2" w:rsidRPr="008C5F1C">
              <w:rPr>
                <w:rFonts w:ascii="Times New Roman" w:hAnsi="Times New Roman" w:cs="Times New Roman"/>
              </w:rPr>
              <w:t>ț</w:t>
            </w:r>
            <w:r w:rsidRPr="008C5F1C">
              <w:rPr>
                <w:rFonts w:ascii="Times New Roman" w:hAnsi="Times New Roman" w:cs="Times New Roman"/>
              </w:rPr>
              <w:t xml:space="preserve">e abandonate </w:t>
            </w:r>
            <w:r w:rsidR="00106240" w:rsidRPr="008C5F1C">
              <w:rPr>
                <w:rFonts w:ascii="Times New Roman" w:hAnsi="Times New Roman" w:cs="Times New Roman"/>
              </w:rPr>
              <w:t>ș</w:t>
            </w:r>
            <w:r w:rsidRPr="008C5F1C">
              <w:rPr>
                <w:rFonts w:ascii="Times New Roman" w:hAnsi="Times New Roman" w:cs="Times New Roman"/>
              </w:rPr>
              <w:t>i neutilizate din interiorul ora</w:t>
            </w:r>
            <w:r w:rsidR="00106240" w:rsidRPr="008C5F1C">
              <w:rPr>
                <w:rFonts w:ascii="Times New Roman" w:hAnsi="Times New Roman" w:cs="Times New Roman"/>
              </w:rPr>
              <w:t>ș</w:t>
            </w:r>
            <w:r w:rsidRPr="008C5F1C">
              <w:rPr>
                <w:rFonts w:ascii="Times New Roman" w:hAnsi="Times New Roman" w:cs="Times New Roman"/>
              </w:rPr>
              <w:t>elor este în continuare ridicat</w:t>
            </w:r>
            <w:r w:rsidR="00BA7827" w:rsidRPr="008C5F1C">
              <w:rPr>
                <w:rFonts w:ascii="Times New Roman" w:hAnsi="Times New Roman" w:cs="Times New Roman"/>
              </w:rPr>
              <w:t>ă</w:t>
            </w:r>
            <w:r w:rsidRPr="008C5F1C">
              <w:rPr>
                <w:rFonts w:ascii="Times New Roman" w:hAnsi="Times New Roman" w:cs="Times New Roman"/>
              </w:rPr>
              <w:t xml:space="preserve">. </w:t>
            </w:r>
          </w:p>
          <w:p w14:paraId="4363A106" w14:textId="77777777" w:rsidR="00653571" w:rsidRPr="008C5F1C" w:rsidRDefault="00653571" w:rsidP="008131FB">
            <w:pPr>
              <w:spacing w:after="120" w:line="240" w:lineRule="auto"/>
              <w:jc w:val="both"/>
              <w:rPr>
                <w:rFonts w:ascii="Times New Roman" w:hAnsi="Times New Roman" w:cs="Times New Roman"/>
              </w:rPr>
            </w:pPr>
            <w:r w:rsidRPr="008C5F1C">
              <w:rPr>
                <w:rFonts w:ascii="Times New Roman" w:hAnsi="Times New Roman" w:cs="Times New Roman"/>
              </w:rPr>
              <w:t>Totodat</w:t>
            </w:r>
            <w:r w:rsidR="00BA7827" w:rsidRPr="008C5F1C">
              <w:rPr>
                <w:rFonts w:ascii="Times New Roman" w:hAnsi="Times New Roman" w:cs="Times New Roman"/>
              </w:rPr>
              <w:t>ă</w:t>
            </w:r>
            <w:r w:rsidRPr="008C5F1C">
              <w:rPr>
                <w:rFonts w:ascii="Times New Roman" w:hAnsi="Times New Roman" w:cs="Times New Roman"/>
              </w:rPr>
              <w:t>, pe fondul intensific</w:t>
            </w:r>
            <w:r w:rsidR="00BA7827" w:rsidRPr="008C5F1C">
              <w:rPr>
                <w:rFonts w:ascii="Times New Roman" w:hAnsi="Times New Roman" w:cs="Times New Roman"/>
              </w:rPr>
              <w:t>ă</w:t>
            </w:r>
            <w:r w:rsidRPr="008C5F1C">
              <w:rPr>
                <w:rFonts w:ascii="Times New Roman" w:hAnsi="Times New Roman" w:cs="Times New Roman"/>
              </w:rPr>
              <w:t xml:space="preserve">rii traficului </w:t>
            </w:r>
            <w:r w:rsidR="00106240" w:rsidRPr="008C5F1C">
              <w:rPr>
                <w:rFonts w:ascii="Times New Roman" w:hAnsi="Times New Roman" w:cs="Times New Roman"/>
              </w:rPr>
              <w:t>ș</w:t>
            </w:r>
            <w:r w:rsidRPr="008C5F1C">
              <w:rPr>
                <w:rFonts w:ascii="Times New Roman" w:hAnsi="Times New Roman" w:cs="Times New Roman"/>
              </w:rPr>
              <w:t>i a cre</w:t>
            </w:r>
            <w:r w:rsidR="00106240" w:rsidRPr="008C5F1C">
              <w:rPr>
                <w:rFonts w:ascii="Times New Roman" w:hAnsi="Times New Roman" w:cs="Times New Roman"/>
              </w:rPr>
              <w:t>ș</w:t>
            </w:r>
            <w:r w:rsidRPr="008C5F1C">
              <w:rPr>
                <w:rFonts w:ascii="Times New Roman" w:hAnsi="Times New Roman" w:cs="Times New Roman"/>
              </w:rPr>
              <w:t>terii alarmante a polu</w:t>
            </w:r>
            <w:r w:rsidR="00BA7827" w:rsidRPr="008C5F1C">
              <w:rPr>
                <w:rFonts w:ascii="Times New Roman" w:hAnsi="Times New Roman" w:cs="Times New Roman"/>
              </w:rPr>
              <w:t>ă</w:t>
            </w:r>
            <w:r w:rsidRPr="008C5F1C">
              <w:rPr>
                <w:rFonts w:ascii="Times New Roman" w:hAnsi="Times New Roman" w:cs="Times New Roman"/>
              </w:rPr>
              <w:t>rii în mediul urban, sunt necesare m</w:t>
            </w:r>
            <w:r w:rsidR="00BA7827" w:rsidRPr="008C5F1C">
              <w:rPr>
                <w:rFonts w:ascii="Times New Roman" w:hAnsi="Times New Roman" w:cs="Times New Roman"/>
              </w:rPr>
              <w:t>ă</w:t>
            </w:r>
            <w:r w:rsidRPr="008C5F1C">
              <w:rPr>
                <w:rFonts w:ascii="Times New Roman" w:hAnsi="Times New Roman" w:cs="Times New Roman"/>
              </w:rPr>
              <w:t xml:space="preserve">suri urgente </w:t>
            </w:r>
            <w:r w:rsidR="00106240" w:rsidRPr="008C5F1C">
              <w:rPr>
                <w:rFonts w:ascii="Times New Roman" w:hAnsi="Times New Roman" w:cs="Times New Roman"/>
              </w:rPr>
              <w:t>ș</w:t>
            </w:r>
            <w:r w:rsidRPr="008C5F1C">
              <w:rPr>
                <w:rFonts w:ascii="Times New Roman" w:hAnsi="Times New Roman" w:cs="Times New Roman"/>
              </w:rPr>
              <w:t>i consistente de atenuare a acestor efecte negative asupra s</w:t>
            </w:r>
            <w:r w:rsidR="00BA7827" w:rsidRPr="008C5F1C">
              <w:rPr>
                <w:rFonts w:ascii="Times New Roman" w:hAnsi="Times New Roman" w:cs="Times New Roman"/>
              </w:rPr>
              <w:t>ă</w:t>
            </w:r>
            <w:r w:rsidRPr="008C5F1C">
              <w:rPr>
                <w:rFonts w:ascii="Times New Roman" w:hAnsi="Times New Roman" w:cs="Times New Roman"/>
              </w:rPr>
              <w:t>n</w:t>
            </w:r>
            <w:r w:rsidR="00BA7827" w:rsidRPr="008C5F1C">
              <w:rPr>
                <w:rFonts w:ascii="Times New Roman" w:hAnsi="Times New Roman" w:cs="Times New Roman"/>
              </w:rPr>
              <w:t>ă</w:t>
            </w:r>
            <w:r w:rsidRPr="008C5F1C">
              <w:rPr>
                <w:rFonts w:ascii="Times New Roman" w:hAnsi="Times New Roman" w:cs="Times New Roman"/>
              </w:rPr>
              <w:t>t</w:t>
            </w:r>
            <w:r w:rsidR="00BA7827" w:rsidRPr="008C5F1C">
              <w:rPr>
                <w:rFonts w:ascii="Times New Roman" w:hAnsi="Times New Roman" w:cs="Times New Roman"/>
              </w:rPr>
              <w:t>ă</w:t>
            </w:r>
            <w:r w:rsidR="00E22FF2" w:rsidRPr="008C5F1C">
              <w:rPr>
                <w:rFonts w:ascii="Times New Roman" w:hAnsi="Times New Roman" w:cs="Times New Roman"/>
              </w:rPr>
              <w:t>ț</w:t>
            </w:r>
            <w:r w:rsidRPr="008C5F1C">
              <w:rPr>
                <w:rFonts w:ascii="Times New Roman" w:hAnsi="Times New Roman" w:cs="Times New Roman"/>
              </w:rPr>
              <w:t xml:space="preserve">ii </w:t>
            </w:r>
            <w:r w:rsidR="00106240" w:rsidRPr="008C5F1C">
              <w:rPr>
                <w:rFonts w:ascii="Times New Roman" w:hAnsi="Times New Roman" w:cs="Times New Roman"/>
              </w:rPr>
              <w:t>ș</w:t>
            </w:r>
            <w:r w:rsidRPr="008C5F1C">
              <w:rPr>
                <w:rFonts w:ascii="Times New Roman" w:hAnsi="Times New Roman" w:cs="Times New Roman"/>
              </w:rPr>
              <w:t>i calit</w:t>
            </w:r>
            <w:r w:rsidR="00BA7827" w:rsidRPr="008C5F1C">
              <w:rPr>
                <w:rFonts w:ascii="Times New Roman" w:hAnsi="Times New Roman" w:cs="Times New Roman"/>
              </w:rPr>
              <w:t>ă</w:t>
            </w:r>
            <w:r w:rsidR="00E22FF2" w:rsidRPr="008C5F1C">
              <w:rPr>
                <w:rFonts w:ascii="Times New Roman" w:hAnsi="Times New Roman" w:cs="Times New Roman"/>
              </w:rPr>
              <w:t>ț</w:t>
            </w:r>
            <w:r w:rsidRPr="008C5F1C">
              <w:rPr>
                <w:rFonts w:ascii="Times New Roman" w:hAnsi="Times New Roman" w:cs="Times New Roman"/>
              </w:rPr>
              <w:t>ii vie</w:t>
            </w:r>
            <w:r w:rsidR="00E22FF2" w:rsidRPr="008C5F1C">
              <w:rPr>
                <w:rFonts w:ascii="Times New Roman" w:hAnsi="Times New Roman" w:cs="Times New Roman"/>
              </w:rPr>
              <w:t>ț</w:t>
            </w:r>
            <w:r w:rsidRPr="008C5F1C">
              <w:rPr>
                <w:rFonts w:ascii="Times New Roman" w:hAnsi="Times New Roman" w:cs="Times New Roman"/>
              </w:rPr>
              <w:t>ii locuitorilor, iar spa</w:t>
            </w:r>
            <w:r w:rsidR="00E22FF2" w:rsidRPr="008C5F1C">
              <w:rPr>
                <w:rFonts w:ascii="Times New Roman" w:hAnsi="Times New Roman" w:cs="Times New Roman"/>
              </w:rPr>
              <w:t>ț</w:t>
            </w:r>
            <w:r w:rsidRPr="008C5F1C">
              <w:rPr>
                <w:rFonts w:ascii="Times New Roman" w:hAnsi="Times New Roman" w:cs="Times New Roman"/>
              </w:rPr>
              <w:t>iul verde are un rol esen</w:t>
            </w:r>
            <w:r w:rsidR="00E22FF2" w:rsidRPr="008C5F1C">
              <w:rPr>
                <w:rFonts w:ascii="Times New Roman" w:hAnsi="Times New Roman" w:cs="Times New Roman"/>
              </w:rPr>
              <w:t>ț</w:t>
            </w:r>
            <w:r w:rsidRPr="008C5F1C">
              <w:rPr>
                <w:rFonts w:ascii="Times New Roman" w:hAnsi="Times New Roman" w:cs="Times New Roman"/>
              </w:rPr>
              <w:t>ial în aceast</w:t>
            </w:r>
            <w:r w:rsidR="00BA7827" w:rsidRPr="008C5F1C">
              <w:rPr>
                <w:rFonts w:ascii="Times New Roman" w:hAnsi="Times New Roman" w:cs="Times New Roman"/>
              </w:rPr>
              <w:t>ă</w:t>
            </w:r>
            <w:r w:rsidRPr="008C5F1C">
              <w:rPr>
                <w:rFonts w:ascii="Times New Roman" w:hAnsi="Times New Roman" w:cs="Times New Roman"/>
              </w:rPr>
              <w:t xml:space="preserve"> privin</w:t>
            </w:r>
            <w:r w:rsidR="00E22FF2" w:rsidRPr="008C5F1C">
              <w:rPr>
                <w:rFonts w:ascii="Times New Roman" w:hAnsi="Times New Roman" w:cs="Times New Roman"/>
              </w:rPr>
              <w:t>ț</w:t>
            </w:r>
            <w:r w:rsidR="00BA7827" w:rsidRPr="008C5F1C">
              <w:rPr>
                <w:rFonts w:ascii="Times New Roman" w:hAnsi="Times New Roman" w:cs="Times New Roman"/>
              </w:rPr>
              <w:t>ă</w:t>
            </w:r>
            <w:r w:rsidRPr="008C5F1C">
              <w:rPr>
                <w:rFonts w:ascii="Times New Roman" w:hAnsi="Times New Roman" w:cs="Times New Roman"/>
              </w:rPr>
              <w:t>. La nivelul regiunii, exist</w:t>
            </w:r>
            <w:r w:rsidR="00BA7827" w:rsidRPr="008C5F1C">
              <w:rPr>
                <w:rFonts w:ascii="Times New Roman" w:hAnsi="Times New Roman" w:cs="Times New Roman"/>
              </w:rPr>
              <w:t>ă</w:t>
            </w:r>
            <w:r w:rsidRPr="008C5F1C">
              <w:rPr>
                <w:rFonts w:ascii="Times New Roman" w:hAnsi="Times New Roman" w:cs="Times New Roman"/>
              </w:rPr>
              <w:t xml:space="preserve"> disparit</w:t>
            </w:r>
            <w:r w:rsidR="00BA7827" w:rsidRPr="008C5F1C">
              <w:rPr>
                <w:rFonts w:ascii="Times New Roman" w:hAnsi="Times New Roman" w:cs="Times New Roman"/>
              </w:rPr>
              <w:t>ă</w:t>
            </w:r>
            <w:r w:rsidR="00E22FF2" w:rsidRPr="008C5F1C">
              <w:rPr>
                <w:rFonts w:ascii="Times New Roman" w:hAnsi="Times New Roman" w:cs="Times New Roman"/>
              </w:rPr>
              <w:t>ț</w:t>
            </w:r>
            <w:r w:rsidRPr="008C5F1C">
              <w:rPr>
                <w:rFonts w:ascii="Times New Roman" w:hAnsi="Times New Roman" w:cs="Times New Roman"/>
              </w:rPr>
              <w:t>i însemnate în ceea ce prive</w:t>
            </w:r>
            <w:r w:rsidR="00106240" w:rsidRPr="008C5F1C">
              <w:rPr>
                <w:rFonts w:ascii="Times New Roman" w:hAnsi="Times New Roman" w:cs="Times New Roman"/>
              </w:rPr>
              <w:t>ș</w:t>
            </w:r>
            <w:r w:rsidRPr="008C5F1C">
              <w:rPr>
                <w:rFonts w:ascii="Times New Roman" w:hAnsi="Times New Roman" w:cs="Times New Roman"/>
              </w:rPr>
              <w:t xml:space="preserve">te dimensiunea </w:t>
            </w:r>
            <w:r w:rsidR="00106240" w:rsidRPr="008C5F1C">
              <w:rPr>
                <w:rFonts w:ascii="Times New Roman" w:hAnsi="Times New Roman" w:cs="Times New Roman"/>
              </w:rPr>
              <w:t>ș</w:t>
            </w:r>
            <w:r w:rsidRPr="008C5F1C">
              <w:rPr>
                <w:rFonts w:ascii="Times New Roman" w:hAnsi="Times New Roman" w:cs="Times New Roman"/>
              </w:rPr>
              <w:t>i calitatea spa</w:t>
            </w:r>
            <w:r w:rsidR="00E22FF2" w:rsidRPr="008C5F1C">
              <w:rPr>
                <w:rFonts w:ascii="Times New Roman" w:hAnsi="Times New Roman" w:cs="Times New Roman"/>
              </w:rPr>
              <w:t>ț</w:t>
            </w:r>
            <w:r w:rsidRPr="008C5F1C">
              <w:rPr>
                <w:rFonts w:ascii="Times New Roman" w:hAnsi="Times New Roman" w:cs="Times New Roman"/>
              </w:rPr>
              <w:t>iilor verzi, toate zonele urbane având îns</w:t>
            </w:r>
            <w:r w:rsidR="00BA7827" w:rsidRPr="008C5F1C">
              <w:rPr>
                <w:rFonts w:ascii="Times New Roman" w:hAnsi="Times New Roman" w:cs="Times New Roman"/>
              </w:rPr>
              <w:t>ă</w:t>
            </w:r>
            <w:r w:rsidRPr="008C5F1C">
              <w:rPr>
                <w:rFonts w:ascii="Times New Roman" w:hAnsi="Times New Roman" w:cs="Times New Roman"/>
              </w:rPr>
              <w:t xml:space="preserve"> nevoie de investi</w:t>
            </w:r>
            <w:r w:rsidR="00E22FF2" w:rsidRPr="008C5F1C">
              <w:rPr>
                <w:rFonts w:ascii="Times New Roman" w:hAnsi="Times New Roman" w:cs="Times New Roman"/>
              </w:rPr>
              <w:t>ț</w:t>
            </w:r>
            <w:r w:rsidRPr="008C5F1C">
              <w:rPr>
                <w:rFonts w:ascii="Times New Roman" w:hAnsi="Times New Roman" w:cs="Times New Roman"/>
              </w:rPr>
              <w:t>ii în domeniu.</w:t>
            </w:r>
          </w:p>
          <w:p w14:paraId="60252EDB" w14:textId="77777777" w:rsidR="004D6B2B" w:rsidRPr="008C5F1C" w:rsidRDefault="004D6B2B" w:rsidP="008131FB">
            <w:pPr>
              <w:spacing w:after="120" w:line="240" w:lineRule="auto"/>
              <w:jc w:val="both"/>
              <w:rPr>
                <w:rFonts w:ascii="Times New Roman" w:hAnsi="Times New Roman" w:cs="Times New Roman"/>
              </w:rPr>
            </w:pPr>
            <w:r w:rsidRPr="008C5F1C">
              <w:rPr>
                <w:rFonts w:ascii="Times New Roman" w:hAnsi="Times New Roman" w:cs="Times New Roman"/>
              </w:rPr>
              <w:t>Proiectele finan</w:t>
            </w:r>
            <w:r w:rsidR="00E22FF2" w:rsidRPr="008C5F1C">
              <w:rPr>
                <w:rFonts w:ascii="Times New Roman" w:hAnsi="Times New Roman" w:cs="Times New Roman"/>
              </w:rPr>
              <w:t>ț</w:t>
            </w:r>
            <w:r w:rsidRPr="008C5F1C">
              <w:rPr>
                <w:rFonts w:ascii="Times New Roman" w:hAnsi="Times New Roman" w:cs="Times New Roman"/>
              </w:rPr>
              <w:t>ate prin POR au poten</w:t>
            </w:r>
            <w:r w:rsidR="00E22FF2" w:rsidRPr="008C5F1C">
              <w:rPr>
                <w:rFonts w:ascii="Times New Roman" w:hAnsi="Times New Roman" w:cs="Times New Roman"/>
              </w:rPr>
              <w:t>ț</w:t>
            </w:r>
            <w:r w:rsidRPr="008C5F1C">
              <w:rPr>
                <w:rFonts w:ascii="Times New Roman" w:hAnsi="Times New Roman" w:cs="Times New Roman"/>
              </w:rPr>
              <w:t>ialul de a contribui la îmbun</w:t>
            </w:r>
            <w:r w:rsidR="00BA7827" w:rsidRPr="008C5F1C">
              <w:rPr>
                <w:rFonts w:ascii="Times New Roman" w:hAnsi="Times New Roman" w:cs="Times New Roman"/>
              </w:rPr>
              <w:t>ă</w:t>
            </w:r>
            <w:r w:rsidRPr="008C5F1C">
              <w:rPr>
                <w:rFonts w:ascii="Times New Roman" w:hAnsi="Times New Roman" w:cs="Times New Roman"/>
              </w:rPr>
              <w:t>t</w:t>
            </w:r>
            <w:r w:rsidR="00BA7827" w:rsidRPr="008C5F1C">
              <w:rPr>
                <w:rFonts w:ascii="Times New Roman" w:hAnsi="Times New Roman" w:cs="Times New Roman"/>
              </w:rPr>
              <w:t>ă</w:t>
            </w:r>
            <w:r w:rsidR="00E22FF2" w:rsidRPr="008C5F1C">
              <w:rPr>
                <w:rFonts w:ascii="Times New Roman" w:hAnsi="Times New Roman" w:cs="Times New Roman"/>
              </w:rPr>
              <w:t>ț</w:t>
            </w:r>
            <w:r w:rsidRPr="008C5F1C">
              <w:rPr>
                <w:rFonts w:ascii="Times New Roman" w:hAnsi="Times New Roman" w:cs="Times New Roman"/>
              </w:rPr>
              <w:t>irea infrastructurii verzi, prin adoptarea unor solu</w:t>
            </w:r>
            <w:r w:rsidR="00E22FF2" w:rsidRPr="008C5F1C">
              <w:rPr>
                <w:rFonts w:ascii="Times New Roman" w:hAnsi="Times New Roman" w:cs="Times New Roman"/>
              </w:rPr>
              <w:t>ț</w:t>
            </w:r>
            <w:r w:rsidRPr="008C5F1C">
              <w:rPr>
                <w:rFonts w:ascii="Times New Roman" w:hAnsi="Times New Roman" w:cs="Times New Roman"/>
              </w:rPr>
              <w:t>ii care s</w:t>
            </w:r>
            <w:r w:rsidR="00BA7827" w:rsidRPr="008C5F1C">
              <w:rPr>
                <w:rFonts w:ascii="Times New Roman" w:hAnsi="Times New Roman" w:cs="Times New Roman"/>
              </w:rPr>
              <w:t>ă</w:t>
            </w:r>
            <w:r w:rsidRPr="008C5F1C">
              <w:rPr>
                <w:rFonts w:ascii="Times New Roman" w:hAnsi="Times New Roman" w:cs="Times New Roman"/>
              </w:rPr>
              <w:t xml:space="preserve"> permit</w:t>
            </w:r>
            <w:r w:rsidR="00BA7827" w:rsidRPr="008C5F1C">
              <w:rPr>
                <w:rFonts w:ascii="Times New Roman" w:hAnsi="Times New Roman" w:cs="Times New Roman"/>
              </w:rPr>
              <w:t>ă</w:t>
            </w:r>
            <w:r w:rsidRPr="008C5F1C">
              <w:rPr>
                <w:rFonts w:ascii="Times New Roman" w:hAnsi="Times New Roman" w:cs="Times New Roman"/>
              </w:rPr>
              <w:t xml:space="preserve"> reducerea amprentei ecologice a componentei antropice.  Adoptarea unor solu</w:t>
            </w:r>
            <w:r w:rsidR="00E22FF2" w:rsidRPr="008C5F1C">
              <w:rPr>
                <w:rFonts w:ascii="Times New Roman" w:hAnsi="Times New Roman" w:cs="Times New Roman"/>
              </w:rPr>
              <w:t>ț</w:t>
            </w:r>
            <w:r w:rsidRPr="008C5F1C">
              <w:rPr>
                <w:rFonts w:ascii="Times New Roman" w:hAnsi="Times New Roman" w:cs="Times New Roman"/>
              </w:rPr>
              <w:t>ii compatibile cu principiile infrastructurii verzi contribuie totodat</w:t>
            </w:r>
            <w:r w:rsidR="00BA7827" w:rsidRPr="008C5F1C">
              <w:rPr>
                <w:rFonts w:ascii="Times New Roman" w:hAnsi="Times New Roman" w:cs="Times New Roman"/>
              </w:rPr>
              <w:t>ă</w:t>
            </w:r>
            <w:r w:rsidRPr="008C5F1C">
              <w:rPr>
                <w:rFonts w:ascii="Times New Roman" w:hAnsi="Times New Roman" w:cs="Times New Roman"/>
              </w:rPr>
              <w:t xml:space="preserve"> la îmbun</w:t>
            </w:r>
            <w:r w:rsidR="00BA7827" w:rsidRPr="008C5F1C">
              <w:rPr>
                <w:rFonts w:ascii="Times New Roman" w:hAnsi="Times New Roman" w:cs="Times New Roman"/>
              </w:rPr>
              <w:t>ă</w:t>
            </w:r>
            <w:r w:rsidRPr="008C5F1C">
              <w:rPr>
                <w:rFonts w:ascii="Times New Roman" w:hAnsi="Times New Roman" w:cs="Times New Roman"/>
              </w:rPr>
              <w:t>t</w:t>
            </w:r>
            <w:r w:rsidR="00BA7827" w:rsidRPr="008C5F1C">
              <w:rPr>
                <w:rFonts w:ascii="Times New Roman" w:hAnsi="Times New Roman" w:cs="Times New Roman"/>
              </w:rPr>
              <w:t>ă</w:t>
            </w:r>
            <w:r w:rsidR="00E22FF2" w:rsidRPr="008C5F1C">
              <w:rPr>
                <w:rFonts w:ascii="Times New Roman" w:hAnsi="Times New Roman" w:cs="Times New Roman"/>
              </w:rPr>
              <w:t>ț</w:t>
            </w:r>
            <w:r w:rsidRPr="008C5F1C">
              <w:rPr>
                <w:rFonts w:ascii="Times New Roman" w:hAnsi="Times New Roman" w:cs="Times New Roman"/>
              </w:rPr>
              <w:t>irea condi</w:t>
            </w:r>
            <w:r w:rsidR="00E22FF2" w:rsidRPr="008C5F1C">
              <w:rPr>
                <w:rFonts w:ascii="Times New Roman" w:hAnsi="Times New Roman" w:cs="Times New Roman"/>
              </w:rPr>
              <w:t>ț</w:t>
            </w:r>
            <w:r w:rsidRPr="008C5F1C">
              <w:rPr>
                <w:rFonts w:ascii="Times New Roman" w:hAnsi="Times New Roman" w:cs="Times New Roman"/>
              </w:rPr>
              <w:t>iilor de via</w:t>
            </w:r>
            <w:r w:rsidR="00E22FF2" w:rsidRPr="008C5F1C">
              <w:rPr>
                <w:rFonts w:ascii="Times New Roman" w:hAnsi="Times New Roman" w:cs="Times New Roman"/>
              </w:rPr>
              <w:t>ț</w:t>
            </w:r>
            <w:r w:rsidR="00BA7827" w:rsidRPr="008C5F1C">
              <w:rPr>
                <w:rFonts w:ascii="Times New Roman" w:hAnsi="Times New Roman" w:cs="Times New Roman"/>
              </w:rPr>
              <w:t>ă</w:t>
            </w:r>
            <w:r w:rsidRPr="008C5F1C">
              <w:rPr>
                <w:rFonts w:ascii="Times New Roman" w:hAnsi="Times New Roman" w:cs="Times New Roman"/>
              </w:rPr>
              <w:t xml:space="preserve"> ale </w:t>
            </w:r>
            <w:r w:rsidR="00BA7827" w:rsidRPr="008C5F1C">
              <w:rPr>
                <w:rFonts w:ascii="Times New Roman" w:hAnsi="Times New Roman" w:cs="Times New Roman"/>
              </w:rPr>
              <w:t>comunită</w:t>
            </w:r>
            <w:r w:rsidR="00E22FF2" w:rsidRPr="008C5F1C">
              <w:rPr>
                <w:rFonts w:ascii="Times New Roman" w:hAnsi="Times New Roman" w:cs="Times New Roman"/>
              </w:rPr>
              <w:t>ț</w:t>
            </w:r>
            <w:r w:rsidR="00BA7827" w:rsidRPr="008C5F1C">
              <w:rPr>
                <w:rFonts w:ascii="Times New Roman" w:hAnsi="Times New Roman" w:cs="Times New Roman"/>
              </w:rPr>
              <w:t>ilor</w:t>
            </w:r>
            <w:r w:rsidRPr="008C5F1C">
              <w:rPr>
                <w:rFonts w:ascii="Times New Roman" w:hAnsi="Times New Roman" w:cs="Times New Roman"/>
              </w:rPr>
              <w:t xml:space="preserve"> locale, prin asigurarea men</w:t>
            </w:r>
            <w:r w:rsidR="00E22FF2" w:rsidRPr="008C5F1C">
              <w:rPr>
                <w:rFonts w:ascii="Times New Roman" w:hAnsi="Times New Roman" w:cs="Times New Roman"/>
              </w:rPr>
              <w:t>ț</w:t>
            </w:r>
            <w:r w:rsidRPr="008C5F1C">
              <w:rPr>
                <w:rFonts w:ascii="Times New Roman" w:hAnsi="Times New Roman" w:cs="Times New Roman"/>
              </w:rPr>
              <w:t>inerii condi</w:t>
            </w:r>
            <w:r w:rsidR="00E22FF2" w:rsidRPr="008C5F1C">
              <w:rPr>
                <w:rFonts w:ascii="Times New Roman" w:hAnsi="Times New Roman" w:cs="Times New Roman"/>
              </w:rPr>
              <w:t>ț</w:t>
            </w:r>
            <w:r w:rsidRPr="008C5F1C">
              <w:rPr>
                <w:rFonts w:ascii="Times New Roman" w:hAnsi="Times New Roman" w:cs="Times New Roman"/>
              </w:rPr>
              <w:t>iilor ecologice optime. Aceste solu</w:t>
            </w:r>
            <w:r w:rsidR="00E22FF2" w:rsidRPr="008C5F1C">
              <w:rPr>
                <w:rFonts w:ascii="Times New Roman" w:hAnsi="Times New Roman" w:cs="Times New Roman"/>
              </w:rPr>
              <w:t>ț</w:t>
            </w:r>
            <w:r w:rsidRPr="008C5F1C">
              <w:rPr>
                <w:rFonts w:ascii="Times New Roman" w:hAnsi="Times New Roman" w:cs="Times New Roman"/>
              </w:rPr>
              <w:t>ii includ:</w:t>
            </w:r>
          </w:p>
          <w:p w14:paraId="0D8372EF" w14:textId="740D387F" w:rsidR="004D6B2B" w:rsidRPr="008C5F1C" w:rsidRDefault="00886A18" w:rsidP="008131FB">
            <w:pPr>
              <w:pStyle w:val="ListParagraph"/>
              <w:numPr>
                <w:ilvl w:val="0"/>
                <w:numId w:val="62"/>
              </w:numPr>
              <w:spacing w:before="0" w:line="240" w:lineRule="auto"/>
              <w:jc w:val="both"/>
              <w:rPr>
                <w:sz w:val="22"/>
                <w:lang w:val="ro-RO"/>
              </w:rPr>
            </w:pPr>
            <w:r w:rsidRPr="008C5F1C">
              <w:rPr>
                <w:sz w:val="22"/>
                <w:lang w:val="ro-RO"/>
              </w:rPr>
              <w:t>M</w:t>
            </w:r>
            <w:r w:rsidR="004D6B2B" w:rsidRPr="008C5F1C">
              <w:rPr>
                <w:sz w:val="22"/>
                <w:lang w:val="ro-RO"/>
              </w:rPr>
              <w:t>en</w:t>
            </w:r>
            <w:r w:rsidR="00E22FF2" w:rsidRPr="008C5F1C">
              <w:rPr>
                <w:sz w:val="22"/>
                <w:lang w:val="ro-RO"/>
              </w:rPr>
              <w:t>ț</w:t>
            </w:r>
            <w:r w:rsidR="004D6B2B" w:rsidRPr="008C5F1C">
              <w:rPr>
                <w:sz w:val="22"/>
                <w:lang w:val="ro-RO"/>
              </w:rPr>
              <w:t>inerea / refacerea conectivit</w:t>
            </w:r>
            <w:r w:rsidR="00BA7827" w:rsidRPr="008C5F1C">
              <w:rPr>
                <w:sz w:val="22"/>
                <w:lang w:val="ro-RO"/>
              </w:rPr>
              <w:t>ă</w:t>
            </w:r>
            <w:r w:rsidR="00E22FF2" w:rsidRPr="008C5F1C">
              <w:rPr>
                <w:sz w:val="22"/>
                <w:lang w:val="ro-RO"/>
              </w:rPr>
              <w:t>ț</w:t>
            </w:r>
            <w:r w:rsidR="004D6B2B" w:rsidRPr="008C5F1C">
              <w:rPr>
                <w:sz w:val="22"/>
                <w:lang w:val="ro-RO"/>
              </w:rPr>
              <w:t>ii coridoarelor ecologice;</w:t>
            </w:r>
          </w:p>
          <w:p w14:paraId="06DCF978" w14:textId="77777777" w:rsidR="004D6B2B" w:rsidRPr="008C5F1C" w:rsidRDefault="004D6B2B" w:rsidP="008131FB">
            <w:pPr>
              <w:pStyle w:val="ListParagraph"/>
              <w:numPr>
                <w:ilvl w:val="0"/>
                <w:numId w:val="62"/>
              </w:numPr>
              <w:spacing w:before="0" w:line="240" w:lineRule="auto"/>
              <w:jc w:val="both"/>
              <w:rPr>
                <w:sz w:val="22"/>
                <w:lang w:val="ro-RO"/>
              </w:rPr>
            </w:pPr>
            <w:r w:rsidRPr="008C5F1C">
              <w:rPr>
                <w:sz w:val="22"/>
                <w:lang w:val="ro-RO"/>
              </w:rPr>
              <w:t>Extinderea coridoarelor ecologice în mediul urban;</w:t>
            </w:r>
          </w:p>
          <w:p w14:paraId="50A9220A" w14:textId="77777777" w:rsidR="004D6B2B" w:rsidRPr="008C5F1C" w:rsidRDefault="004D6B2B" w:rsidP="008131FB">
            <w:pPr>
              <w:pStyle w:val="ListParagraph"/>
              <w:numPr>
                <w:ilvl w:val="0"/>
                <w:numId w:val="62"/>
              </w:numPr>
              <w:spacing w:before="0" w:line="240" w:lineRule="auto"/>
              <w:jc w:val="both"/>
              <w:rPr>
                <w:sz w:val="22"/>
                <w:lang w:val="ro-RO"/>
              </w:rPr>
            </w:pPr>
            <w:r w:rsidRPr="008C5F1C">
              <w:rPr>
                <w:sz w:val="22"/>
                <w:lang w:val="ro-RO"/>
              </w:rPr>
              <w:t>Implementarea în mediul urban de solu</w:t>
            </w:r>
            <w:r w:rsidR="00E22FF2" w:rsidRPr="008C5F1C">
              <w:rPr>
                <w:sz w:val="22"/>
                <w:lang w:val="ro-RO"/>
              </w:rPr>
              <w:t>ț</w:t>
            </w:r>
            <w:r w:rsidRPr="008C5F1C">
              <w:rPr>
                <w:sz w:val="22"/>
                <w:lang w:val="ro-RO"/>
              </w:rPr>
              <w:t>ii tip acoperi</w:t>
            </w:r>
            <w:r w:rsidR="00106240" w:rsidRPr="008C5F1C">
              <w:rPr>
                <w:sz w:val="22"/>
                <w:lang w:val="ro-RO"/>
              </w:rPr>
              <w:t>ș</w:t>
            </w:r>
            <w:r w:rsidRPr="008C5F1C">
              <w:rPr>
                <w:sz w:val="22"/>
                <w:lang w:val="ro-RO"/>
              </w:rPr>
              <w:t xml:space="preserve"> verde, pere</w:t>
            </w:r>
            <w:r w:rsidR="00E22FF2" w:rsidRPr="008C5F1C">
              <w:rPr>
                <w:sz w:val="22"/>
                <w:lang w:val="ro-RO"/>
              </w:rPr>
              <w:t>ț</w:t>
            </w:r>
            <w:r w:rsidRPr="008C5F1C">
              <w:rPr>
                <w:sz w:val="22"/>
                <w:lang w:val="ro-RO"/>
              </w:rPr>
              <w:t>i verzi sau gr</w:t>
            </w:r>
            <w:r w:rsidR="00BA7827" w:rsidRPr="008C5F1C">
              <w:rPr>
                <w:sz w:val="22"/>
                <w:lang w:val="ro-RO"/>
              </w:rPr>
              <w:t>ă</w:t>
            </w:r>
            <w:r w:rsidRPr="008C5F1C">
              <w:rPr>
                <w:sz w:val="22"/>
                <w:lang w:val="ro-RO"/>
              </w:rPr>
              <w:t>dini urbane;</w:t>
            </w:r>
          </w:p>
          <w:p w14:paraId="038BB952" w14:textId="77777777" w:rsidR="004D6B2B" w:rsidRPr="008C5F1C" w:rsidRDefault="004D6B2B" w:rsidP="008131FB">
            <w:pPr>
              <w:spacing w:after="120" w:line="240" w:lineRule="auto"/>
              <w:jc w:val="both"/>
              <w:rPr>
                <w:rFonts w:ascii="Times New Roman" w:hAnsi="Times New Roman" w:cs="Times New Roman"/>
              </w:rPr>
            </w:pPr>
            <w:r w:rsidRPr="008C5F1C">
              <w:rPr>
                <w:rFonts w:ascii="Times New Roman" w:hAnsi="Times New Roman" w:cs="Times New Roman"/>
              </w:rPr>
              <w:t>Proiectele de reabilitare / modernizare / extindere a infrastructurilor de transport finan</w:t>
            </w:r>
            <w:r w:rsidR="00E22FF2" w:rsidRPr="008C5F1C">
              <w:rPr>
                <w:rFonts w:ascii="Times New Roman" w:hAnsi="Times New Roman" w:cs="Times New Roman"/>
              </w:rPr>
              <w:t>ț</w:t>
            </w:r>
            <w:r w:rsidRPr="008C5F1C">
              <w:rPr>
                <w:rFonts w:ascii="Times New Roman" w:hAnsi="Times New Roman" w:cs="Times New Roman"/>
              </w:rPr>
              <w:t xml:space="preserve">ate prin POR vor identifica toate presiunile existente </w:t>
            </w:r>
            <w:r w:rsidR="00106240" w:rsidRPr="008C5F1C">
              <w:rPr>
                <w:rFonts w:ascii="Times New Roman" w:hAnsi="Times New Roman" w:cs="Times New Roman"/>
              </w:rPr>
              <w:t>ș</w:t>
            </w:r>
            <w:r w:rsidRPr="008C5F1C">
              <w:rPr>
                <w:rFonts w:ascii="Times New Roman" w:hAnsi="Times New Roman" w:cs="Times New Roman"/>
              </w:rPr>
              <w:t>i poten</w:t>
            </w:r>
            <w:r w:rsidR="00E22FF2" w:rsidRPr="008C5F1C">
              <w:rPr>
                <w:rFonts w:ascii="Times New Roman" w:hAnsi="Times New Roman" w:cs="Times New Roman"/>
              </w:rPr>
              <w:t>ț</w:t>
            </w:r>
            <w:r w:rsidRPr="008C5F1C">
              <w:rPr>
                <w:rFonts w:ascii="Times New Roman" w:hAnsi="Times New Roman" w:cs="Times New Roman"/>
              </w:rPr>
              <w:t>ialele amenin</w:t>
            </w:r>
            <w:r w:rsidR="00E22FF2" w:rsidRPr="008C5F1C">
              <w:rPr>
                <w:rFonts w:ascii="Times New Roman" w:hAnsi="Times New Roman" w:cs="Times New Roman"/>
              </w:rPr>
              <w:t>ț</w:t>
            </w:r>
            <w:r w:rsidR="00BA7827" w:rsidRPr="008C5F1C">
              <w:rPr>
                <w:rFonts w:ascii="Times New Roman" w:hAnsi="Times New Roman" w:cs="Times New Roman"/>
              </w:rPr>
              <w:t>ă</w:t>
            </w:r>
            <w:r w:rsidRPr="008C5F1C">
              <w:rPr>
                <w:rFonts w:ascii="Times New Roman" w:hAnsi="Times New Roman" w:cs="Times New Roman"/>
              </w:rPr>
              <w:t xml:space="preserve">ri asupra infrastructurii verzi </w:t>
            </w:r>
            <w:r w:rsidR="00106240" w:rsidRPr="008C5F1C">
              <w:rPr>
                <w:rFonts w:ascii="Times New Roman" w:hAnsi="Times New Roman" w:cs="Times New Roman"/>
              </w:rPr>
              <w:t>ș</w:t>
            </w:r>
            <w:r w:rsidRPr="008C5F1C">
              <w:rPr>
                <w:rFonts w:ascii="Times New Roman" w:hAnsi="Times New Roman" w:cs="Times New Roman"/>
              </w:rPr>
              <w:t>i vor include m</w:t>
            </w:r>
            <w:r w:rsidR="00BA7827" w:rsidRPr="008C5F1C">
              <w:rPr>
                <w:rFonts w:ascii="Times New Roman" w:hAnsi="Times New Roman" w:cs="Times New Roman"/>
              </w:rPr>
              <w:t>ă</w:t>
            </w:r>
            <w:r w:rsidRPr="008C5F1C">
              <w:rPr>
                <w:rFonts w:ascii="Times New Roman" w:hAnsi="Times New Roman" w:cs="Times New Roman"/>
              </w:rPr>
              <w:t>suri pentru reducerea / evitarea impacturilor semnificative. O aten</w:t>
            </w:r>
            <w:r w:rsidR="00E22FF2" w:rsidRPr="008C5F1C">
              <w:rPr>
                <w:rFonts w:ascii="Times New Roman" w:hAnsi="Times New Roman" w:cs="Times New Roman"/>
              </w:rPr>
              <w:t>ț</w:t>
            </w:r>
            <w:r w:rsidRPr="008C5F1C">
              <w:rPr>
                <w:rFonts w:ascii="Times New Roman" w:hAnsi="Times New Roman" w:cs="Times New Roman"/>
              </w:rPr>
              <w:t>ie important</w:t>
            </w:r>
            <w:r w:rsidR="00BA7827" w:rsidRPr="008C5F1C">
              <w:rPr>
                <w:rFonts w:ascii="Times New Roman" w:hAnsi="Times New Roman" w:cs="Times New Roman"/>
              </w:rPr>
              <w:t>ă</w:t>
            </w:r>
            <w:r w:rsidRPr="008C5F1C">
              <w:rPr>
                <w:rFonts w:ascii="Times New Roman" w:hAnsi="Times New Roman" w:cs="Times New Roman"/>
              </w:rPr>
              <w:t xml:space="preserve"> va fi acordat</w:t>
            </w:r>
            <w:r w:rsidR="00BA7827" w:rsidRPr="008C5F1C">
              <w:rPr>
                <w:rFonts w:ascii="Times New Roman" w:hAnsi="Times New Roman" w:cs="Times New Roman"/>
              </w:rPr>
              <w:t>ă</w:t>
            </w:r>
            <w:r w:rsidRPr="008C5F1C">
              <w:rPr>
                <w:rFonts w:ascii="Times New Roman" w:hAnsi="Times New Roman" w:cs="Times New Roman"/>
              </w:rPr>
              <w:t xml:space="preserve"> refacerii conectivit</w:t>
            </w:r>
            <w:r w:rsidR="00BA7827" w:rsidRPr="008C5F1C">
              <w:rPr>
                <w:rFonts w:ascii="Times New Roman" w:hAnsi="Times New Roman" w:cs="Times New Roman"/>
              </w:rPr>
              <w:t>ă</w:t>
            </w:r>
            <w:r w:rsidR="00E22FF2" w:rsidRPr="008C5F1C">
              <w:rPr>
                <w:rFonts w:ascii="Times New Roman" w:hAnsi="Times New Roman" w:cs="Times New Roman"/>
              </w:rPr>
              <w:t>ț</w:t>
            </w:r>
            <w:r w:rsidRPr="008C5F1C">
              <w:rPr>
                <w:rFonts w:ascii="Times New Roman" w:hAnsi="Times New Roman" w:cs="Times New Roman"/>
              </w:rPr>
              <w:t>ii ecologice în zona coridoarelor ecologice. Proiectarea m</w:t>
            </w:r>
            <w:r w:rsidR="00BA7827" w:rsidRPr="008C5F1C">
              <w:rPr>
                <w:rFonts w:ascii="Times New Roman" w:hAnsi="Times New Roman" w:cs="Times New Roman"/>
              </w:rPr>
              <w:t>ă</w:t>
            </w:r>
            <w:r w:rsidRPr="008C5F1C">
              <w:rPr>
                <w:rFonts w:ascii="Times New Roman" w:hAnsi="Times New Roman" w:cs="Times New Roman"/>
              </w:rPr>
              <w:t>surilor de men</w:t>
            </w:r>
            <w:r w:rsidR="00E22FF2" w:rsidRPr="008C5F1C">
              <w:rPr>
                <w:rFonts w:ascii="Times New Roman" w:hAnsi="Times New Roman" w:cs="Times New Roman"/>
              </w:rPr>
              <w:t>ț</w:t>
            </w:r>
            <w:r w:rsidRPr="008C5F1C">
              <w:rPr>
                <w:rFonts w:ascii="Times New Roman" w:hAnsi="Times New Roman" w:cs="Times New Roman"/>
              </w:rPr>
              <w:t>inere / refacere a conectivit</w:t>
            </w:r>
            <w:r w:rsidR="00BA7827" w:rsidRPr="008C5F1C">
              <w:rPr>
                <w:rFonts w:ascii="Times New Roman" w:hAnsi="Times New Roman" w:cs="Times New Roman"/>
              </w:rPr>
              <w:t>ă</w:t>
            </w:r>
            <w:r w:rsidR="00E22FF2" w:rsidRPr="008C5F1C">
              <w:rPr>
                <w:rFonts w:ascii="Times New Roman" w:hAnsi="Times New Roman" w:cs="Times New Roman"/>
              </w:rPr>
              <w:t>ț</w:t>
            </w:r>
            <w:r w:rsidRPr="008C5F1C">
              <w:rPr>
                <w:rFonts w:ascii="Times New Roman" w:hAnsi="Times New Roman" w:cs="Times New Roman"/>
              </w:rPr>
              <w:t>ii ecologice, pentru fiecare proiect finan</w:t>
            </w:r>
            <w:r w:rsidR="00E22FF2" w:rsidRPr="008C5F1C">
              <w:rPr>
                <w:rFonts w:ascii="Times New Roman" w:hAnsi="Times New Roman" w:cs="Times New Roman"/>
              </w:rPr>
              <w:t>ț</w:t>
            </w:r>
            <w:r w:rsidRPr="008C5F1C">
              <w:rPr>
                <w:rFonts w:ascii="Times New Roman" w:hAnsi="Times New Roman" w:cs="Times New Roman"/>
              </w:rPr>
              <w:t>at prin POR, se va realiza într-o maniera integrat</w:t>
            </w:r>
            <w:r w:rsidR="00BA7827" w:rsidRPr="008C5F1C">
              <w:rPr>
                <w:rFonts w:ascii="Times New Roman" w:hAnsi="Times New Roman" w:cs="Times New Roman"/>
              </w:rPr>
              <w:t>ă</w:t>
            </w:r>
            <w:r w:rsidRPr="008C5F1C">
              <w:rPr>
                <w:rFonts w:ascii="Times New Roman" w:hAnsi="Times New Roman" w:cs="Times New Roman"/>
              </w:rPr>
              <w:t xml:space="preserve"> </w:t>
            </w:r>
            <w:r w:rsidR="00E22FF2" w:rsidRPr="008C5F1C">
              <w:rPr>
                <w:rFonts w:ascii="Times New Roman" w:hAnsi="Times New Roman" w:cs="Times New Roman"/>
              </w:rPr>
              <w:t>ț</w:t>
            </w:r>
            <w:r w:rsidRPr="008C5F1C">
              <w:rPr>
                <w:rFonts w:ascii="Times New Roman" w:hAnsi="Times New Roman" w:cs="Times New Roman"/>
              </w:rPr>
              <w:t xml:space="preserve">inând cont de impactul cumulat cu alte presiuni </w:t>
            </w:r>
            <w:r w:rsidR="00106240" w:rsidRPr="008C5F1C">
              <w:rPr>
                <w:rFonts w:ascii="Times New Roman" w:hAnsi="Times New Roman" w:cs="Times New Roman"/>
              </w:rPr>
              <w:t>ș</w:t>
            </w:r>
            <w:r w:rsidRPr="008C5F1C">
              <w:rPr>
                <w:rFonts w:ascii="Times New Roman" w:hAnsi="Times New Roman" w:cs="Times New Roman"/>
              </w:rPr>
              <w:t>i amenin</w:t>
            </w:r>
            <w:r w:rsidR="00E22FF2" w:rsidRPr="008C5F1C">
              <w:rPr>
                <w:rFonts w:ascii="Times New Roman" w:hAnsi="Times New Roman" w:cs="Times New Roman"/>
              </w:rPr>
              <w:t>ț</w:t>
            </w:r>
            <w:r w:rsidR="00BA7827" w:rsidRPr="008C5F1C">
              <w:rPr>
                <w:rFonts w:ascii="Times New Roman" w:hAnsi="Times New Roman" w:cs="Times New Roman"/>
              </w:rPr>
              <w:t>ă</w:t>
            </w:r>
            <w:r w:rsidRPr="008C5F1C">
              <w:rPr>
                <w:rFonts w:ascii="Times New Roman" w:hAnsi="Times New Roman" w:cs="Times New Roman"/>
              </w:rPr>
              <w:t xml:space="preserve">ri din zona de implementare a proiectelor, precum </w:t>
            </w:r>
            <w:r w:rsidR="00106240" w:rsidRPr="008C5F1C">
              <w:rPr>
                <w:rFonts w:ascii="Times New Roman" w:hAnsi="Times New Roman" w:cs="Times New Roman"/>
              </w:rPr>
              <w:t>ș</w:t>
            </w:r>
            <w:r w:rsidRPr="008C5F1C">
              <w:rPr>
                <w:rFonts w:ascii="Times New Roman" w:hAnsi="Times New Roman" w:cs="Times New Roman"/>
              </w:rPr>
              <w:t>i de contribu</w:t>
            </w:r>
            <w:r w:rsidR="00E22FF2" w:rsidRPr="008C5F1C">
              <w:rPr>
                <w:rFonts w:ascii="Times New Roman" w:hAnsi="Times New Roman" w:cs="Times New Roman"/>
              </w:rPr>
              <w:t>ț</w:t>
            </w:r>
            <w:r w:rsidRPr="008C5F1C">
              <w:rPr>
                <w:rFonts w:ascii="Times New Roman" w:hAnsi="Times New Roman" w:cs="Times New Roman"/>
              </w:rPr>
              <w:t>ia schimb</w:t>
            </w:r>
            <w:r w:rsidR="00BA7827" w:rsidRPr="008C5F1C">
              <w:rPr>
                <w:rFonts w:ascii="Times New Roman" w:hAnsi="Times New Roman" w:cs="Times New Roman"/>
              </w:rPr>
              <w:t>ă</w:t>
            </w:r>
            <w:r w:rsidRPr="008C5F1C">
              <w:rPr>
                <w:rFonts w:ascii="Times New Roman" w:hAnsi="Times New Roman" w:cs="Times New Roman"/>
              </w:rPr>
              <w:t>rilor climatice. M</w:t>
            </w:r>
            <w:r w:rsidR="00BA7827" w:rsidRPr="008C5F1C">
              <w:rPr>
                <w:rFonts w:ascii="Times New Roman" w:hAnsi="Times New Roman" w:cs="Times New Roman"/>
              </w:rPr>
              <w:t>ă</w:t>
            </w:r>
            <w:r w:rsidRPr="008C5F1C">
              <w:rPr>
                <w:rFonts w:ascii="Times New Roman" w:hAnsi="Times New Roman" w:cs="Times New Roman"/>
              </w:rPr>
              <w:t>surile de evitare a fragment</w:t>
            </w:r>
            <w:r w:rsidR="00BA7827" w:rsidRPr="008C5F1C">
              <w:rPr>
                <w:rFonts w:ascii="Times New Roman" w:hAnsi="Times New Roman" w:cs="Times New Roman"/>
              </w:rPr>
              <w:t>ă</w:t>
            </w:r>
            <w:r w:rsidRPr="008C5F1C">
              <w:rPr>
                <w:rFonts w:ascii="Times New Roman" w:hAnsi="Times New Roman" w:cs="Times New Roman"/>
              </w:rPr>
              <w:t xml:space="preserve">rii </w:t>
            </w:r>
            <w:r w:rsidR="00106240" w:rsidRPr="008C5F1C">
              <w:rPr>
                <w:rFonts w:ascii="Times New Roman" w:hAnsi="Times New Roman" w:cs="Times New Roman"/>
              </w:rPr>
              <w:t>ș</w:t>
            </w:r>
            <w:r w:rsidRPr="008C5F1C">
              <w:rPr>
                <w:rFonts w:ascii="Times New Roman" w:hAnsi="Times New Roman" w:cs="Times New Roman"/>
              </w:rPr>
              <w:t>i/sau de defragmentare trebuie s</w:t>
            </w:r>
            <w:r w:rsidR="00BA7827" w:rsidRPr="008C5F1C">
              <w:rPr>
                <w:rFonts w:ascii="Times New Roman" w:hAnsi="Times New Roman" w:cs="Times New Roman"/>
              </w:rPr>
              <w:t>ă</w:t>
            </w:r>
            <w:r w:rsidRPr="008C5F1C">
              <w:rPr>
                <w:rFonts w:ascii="Times New Roman" w:hAnsi="Times New Roman" w:cs="Times New Roman"/>
              </w:rPr>
              <w:t xml:space="preserve"> fie eficiente la nivelul coridorului ecologic </w:t>
            </w:r>
            <w:r w:rsidR="00106240" w:rsidRPr="008C5F1C">
              <w:rPr>
                <w:rFonts w:ascii="Times New Roman" w:hAnsi="Times New Roman" w:cs="Times New Roman"/>
              </w:rPr>
              <w:t>ș</w:t>
            </w:r>
            <w:r w:rsidRPr="008C5F1C">
              <w:rPr>
                <w:rFonts w:ascii="Times New Roman" w:hAnsi="Times New Roman" w:cs="Times New Roman"/>
              </w:rPr>
              <w:t xml:space="preserve">i nu doar la nivelul zonei de proiect. </w:t>
            </w:r>
          </w:p>
          <w:p w14:paraId="2251308B" w14:textId="77777777" w:rsidR="00653571" w:rsidRPr="008C5F1C" w:rsidRDefault="00653571" w:rsidP="008131FB">
            <w:pPr>
              <w:spacing w:after="120" w:line="240" w:lineRule="auto"/>
              <w:jc w:val="both"/>
              <w:rPr>
                <w:rFonts w:ascii="Times New Roman" w:hAnsi="Times New Roman" w:cs="Times New Roman"/>
              </w:rPr>
            </w:pPr>
            <w:r w:rsidRPr="008C5F1C">
              <w:rPr>
                <w:rFonts w:ascii="Times New Roman" w:hAnsi="Times New Roman" w:cs="Times New Roman"/>
              </w:rPr>
              <w:t>Ac</w:t>
            </w:r>
            <w:r w:rsidR="00E22FF2" w:rsidRPr="008C5F1C">
              <w:rPr>
                <w:rFonts w:ascii="Times New Roman" w:hAnsi="Times New Roman" w:cs="Times New Roman"/>
              </w:rPr>
              <w:t>ț</w:t>
            </w:r>
            <w:r w:rsidRPr="008C5F1C">
              <w:rPr>
                <w:rFonts w:ascii="Times New Roman" w:hAnsi="Times New Roman" w:cs="Times New Roman"/>
              </w:rPr>
              <w:t>iunile finan</w:t>
            </w:r>
            <w:r w:rsidR="00E22FF2" w:rsidRPr="008C5F1C">
              <w:rPr>
                <w:rFonts w:ascii="Times New Roman" w:hAnsi="Times New Roman" w:cs="Times New Roman"/>
              </w:rPr>
              <w:t>ț</w:t>
            </w:r>
            <w:r w:rsidRPr="008C5F1C">
              <w:rPr>
                <w:rFonts w:ascii="Times New Roman" w:hAnsi="Times New Roman" w:cs="Times New Roman"/>
              </w:rPr>
              <w:t>ate în cadrul acestui obiectiv specific continu</w:t>
            </w:r>
            <w:r w:rsidR="00BA7827" w:rsidRPr="008C5F1C">
              <w:rPr>
                <w:rFonts w:ascii="Times New Roman" w:hAnsi="Times New Roman" w:cs="Times New Roman"/>
              </w:rPr>
              <w:t>ă</w:t>
            </w:r>
            <w:r w:rsidRPr="008C5F1C">
              <w:rPr>
                <w:rFonts w:ascii="Times New Roman" w:hAnsi="Times New Roman" w:cs="Times New Roman"/>
              </w:rPr>
              <w:t xml:space="preserve"> eforturile investi</w:t>
            </w:r>
            <w:r w:rsidR="00E22FF2" w:rsidRPr="008C5F1C">
              <w:rPr>
                <w:rFonts w:ascii="Times New Roman" w:hAnsi="Times New Roman" w:cs="Times New Roman"/>
              </w:rPr>
              <w:t>ț</w:t>
            </w:r>
            <w:r w:rsidRPr="008C5F1C">
              <w:rPr>
                <w:rFonts w:ascii="Times New Roman" w:hAnsi="Times New Roman" w:cs="Times New Roman"/>
              </w:rPr>
              <w:t>ionale desf</w:t>
            </w:r>
            <w:r w:rsidR="00BA7827" w:rsidRPr="008C5F1C">
              <w:rPr>
                <w:rFonts w:ascii="Times New Roman" w:hAnsi="Times New Roman" w:cs="Times New Roman"/>
              </w:rPr>
              <w:t>ă</w:t>
            </w:r>
            <w:r w:rsidR="00106240" w:rsidRPr="008C5F1C">
              <w:rPr>
                <w:rFonts w:ascii="Times New Roman" w:hAnsi="Times New Roman" w:cs="Times New Roman"/>
              </w:rPr>
              <w:t>ș</w:t>
            </w:r>
            <w:r w:rsidRPr="008C5F1C">
              <w:rPr>
                <w:rFonts w:ascii="Times New Roman" w:hAnsi="Times New Roman" w:cs="Times New Roman"/>
              </w:rPr>
              <w:t>urate în perioada anterioar</w:t>
            </w:r>
            <w:r w:rsidR="00BA7827" w:rsidRPr="008C5F1C">
              <w:rPr>
                <w:rFonts w:ascii="Times New Roman" w:hAnsi="Times New Roman" w:cs="Times New Roman"/>
              </w:rPr>
              <w:t>ă</w:t>
            </w:r>
            <w:r w:rsidRPr="008C5F1C">
              <w:rPr>
                <w:rFonts w:ascii="Times New Roman" w:hAnsi="Times New Roman" w:cs="Times New Roman"/>
              </w:rPr>
              <w:t xml:space="preserve"> de programare prin POR 2014-2020 </w:t>
            </w:r>
            <w:r w:rsidR="00106240" w:rsidRPr="008C5F1C">
              <w:rPr>
                <w:rFonts w:ascii="Times New Roman" w:hAnsi="Times New Roman" w:cs="Times New Roman"/>
              </w:rPr>
              <w:t>ș</w:t>
            </w:r>
            <w:r w:rsidRPr="008C5F1C">
              <w:rPr>
                <w:rFonts w:ascii="Times New Roman" w:hAnsi="Times New Roman" w:cs="Times New Roman"/>
              </w:rPr>
              <w:t>i vizeaz</w:t>
            </w:r>
            <w:r w:rsidR="00BA7827" w:rsidRPr="008C5F1C">
              <w:rPr>
                <w:rFonts w:ascii="Times New Roman" w:hAnsi="Times New Roman" w:cs="Times New Roman"/>
              </w:rPr>
              <w:t>ă</w:t>
            </w:r>
            <w:r w:rsidRPr="008C5F1C">
              <w:rPr>
                <w:rFonts w:ascii="Times New Roman" w:hAnsi="Times New Roman" w:cs="Times New Roman"/>
              </w:rPr>
              <w:t xml:space="preserve"> urm</w:t>
            </w:r>
            <w:r w:rsidR="00BA7827" w:rsidRPr="008C5F1C">
              <w:rPr>
                <w:rFonts w:ascii="Times New Roman" w:hAnsi="Times New Roman" w:cs="Times New Roman"/>
              </w:rPr>
              <w:t>ă</w:t>
            </w:r>
            <w:r w:rsidRPr="008C5F1C">
              <w:rPr>
                <w:rFonts w:ascii="Times New Roman" w:hAnsi="Times New Roman" w:cs="Times New Roman"/>
              </w:rPr>
              <w:t>toarele paliere:</w:t>
            </w:r>
          </w:p>
          <w:p w14:paraId="1FC00F5A" w14:textId="1545318E" w:rsidR="00653571" w:rsidRPr="008C5F1C" w:rsidRDefault="00653571" w:rsidP="008131FB">
            <w:pPr>
              <w:spacing w:after="120" w:line="240" w:lineRule="auto"/>
              <w:jc w:val="both"/>
              <w:rPr>
                <w:rFonts w:ascii="Times New Roman" w:hAnsi="Times New Roman" w:cs="Times New Roman"/>
              </w:rPr>
            </w:pPr>
            <w:r w:rsidRPr="008C5F1C">
              <w:rPr>
                <w:rFonts w:ascii="Times New Roman" w:hAnsi="Times New Roman" w:cs="Times New Roman"/>
                <w:b/>
                <w:bCs/>
              </w:rPr>
              <w:t>a) Regenerarea spa</w:t>
            </w:r>
            <w:r w:rsidR="00E22FF2" w:rsidRPr="008C5F1C">
              <w:rPr>
                <w:rFonts w:ascii="Times New Roman" w:hAnsi="Times New Roman" w:cs="Times New Roman"/>
                <w:b/>
                <w:bCs/>
              </w:rPr>
              <w:t>ț</w:t>
            </w:r>
            <w:r w:rsidRPr="008C5F1C">
              <w:rPr>
                <w:rFonts w:ascii="Times New Roman" w:hAnsi="Times New Roman" w:cs="Times New Roman"/>
                <w:b/>
                <w:bCs/>
              </w:rPr>
              <w:t>iilor urbane degradate</w:t>
            </w:r>
            <w:r w:rsidRPr="008C5F1C">
              <w:rPr>
                <w:rFonts w:ascii="Times New Roman" w:hAnsi="Times New Roman" w:cs="Times New Roman"/>
              </w:rPr>
              <w:t>, inclusiv prin investi</w:t>
            </w:r>
            <w:r w:rsidR="00E22FF2" w:rsidRPr="008C5F1C">
              <w:rPr>
                <w:rFonts w:ascii="Times New Roman" w:hAnsi="Times New Roman" w:cs="Times New Roman"/>
              </w:rPr>
              <w:t>ț</w:t>
            </w:r>
            <w:r w:rsidRPr="008C5F1C">
              <w:rPr>
                <w:rFonts w:ascii="Times New Roman" w:hAnsi="Times New Roman" w:cs="Times New Roman"/>
              </w:rPr>
              <w:t>ii ce promoveaz</w:t>
            </w:r>
            <w:r w:rsidR="00BA7827" w:rsidRPr="008C5F1C">
              <w:rPr>
                <w:rFonts w:ascii="Times New Roman" w:hAnsi="Times New Roman" w:cs="Times New Roman"/>
              </w:rPr>
              <w:t>ă</w:t>
            </w:r>
            <w:r w:rsidRPr="008C5F1C">
              <w:rPr>
                <w:rFonts w:ascii="Times New Roman" w:hAnsi="Times New Roman" w:cs="Times New Roman"/>
              </w:rPr>
              <w:t xml:space="preserve"> infrastructura verde în zonele urbane. </w:t>
            </w:r>
          </w:p>
          <w:p w14:paraId="2619B4C8" w14:textId="77777777" w:rsidR="00653571" w:rsidRPr="008C5F1C" w:rsidRDefault="00653571" w:rsidP="008131FB">
            <w:pPr>
              <w:spacing w:after="120" w:line="240" w:lineRule="auto"/>
              <w:jc w:val="both"/>
              <w:rPr>
                <w:rFonts w:ascii="Times New Roman" w:hAnsi="Times New Roman" w:cs="Times New Roman"/>
                <w:b/>
                <w:bCs/>
              </w:rPr>
            </w:pPr>
            <w:r w:rsidRPr="008C5F1C">
              <w:rPr>
                <w:rFonts w:ascii="Times New Roman" w:hAnsi="Times New Roman" w:cs="Times New Roman"/>
                <w:b/>
                <w:bCs/>
              </w:rPr>
              <w:t>b) Conversia func</w:t>
            </w:r>
            <w:r w:rsidR="00E22FF2" w:rsidRPr="008C5F1C">
              <w:rPr>
                <w:rFonts w:ascii="Times New Roman" w:hAnsi="Times New Roman" w:cs="Times New Roman"/>
                <w:b/>
                <w:bCs/>
              </w:rPr>
              <w:t>ț</w:t>
            </w:r>
            <w:r w:rsidRPr="008C5F1C">
              <w:rPr>
                <w:rFonts w:ascii="Times New Roman" w:hAnsi="Times New Roman" w:cs="Times New Roman"/>
                <w:b/>
                <w:bCs/>
              </w:rPr>
              <w:t>ional</w:t>
            </w:r>
            <w:r w:rsidR="00BA7827" w:rsidRPr="008C5F1C">
              <w:rPr>
                <w:rFonts w:ascii="Times New Roman" w:hAnsi="Times New Roman" w:cs="Times New Roman"/>
                <w:b/>
                <w:bCs/>
              </w:rPr>
              <w:t>ă</w:t>
            </w:r>
            <w:r w:rsidRPr="008C5F1C">
              <w:rPr>
                <w:rFonts w:ascii="Times New Roman" w:hAnsi="Times New Roman" w:cs="Times New Roman"/>
                <w:b/>
                <w:bCs/>
              </w:rPr>
              <w:t xml:space="preserve"> a terenurilor virane degradate/ neutilizate/ abandonate. </w:t>
            </w:r>
          </w:p>
          <w:p w14:paraId="43392244" w14:textId="56463366" w:rsidR="00DF12B3" w:rsidRPr="008C5F1C" w:rsidRDefault="00653571" w:rsidP="008131FB">
            <w:pPr>
              <w:spacing w:after="120" w:line="240" w:lineRule="auto"/>
              <w:rPr>
                <w:rFonts w:ascii="Times New Roman" w:hAnsi="Times New Roman" w:cs="Times New Roman"/>
              </w:rPr>
            </w:pPr>
            <w:r w:rsidRPr="008C5F1C">
              <w:rPr>
                <w:rFonts w:ascii="Times New Roman" w:hAnsi="Times New Roman" w:cs="Times New Roman"/>
                <w:b/>
                <w:bCs/>
              </w:rPr>
              <w:t>c) Modernizarea/ extinderea spa</w:t>
            </w:r>
            <w:r w:rsidR="00E22FF2" w:rsidRPr="008C5F1C">
              <w:rPr>
                <w:rFonts w:ascii="Times New Roman" w:hAnsi="Times New Roman" w:cs="Times New Roman"/>
                <w:b/>
                <w:bCs/>
              </w:rPr>
              <w:t>ț</w:t>
            </w:r>
            <w:r w:rsidRPr="008C5F1C">
              <w:rPr>
                <w:rFonts w:ascii="Times New Roman" w:hAnsi="Times New Roman" w:cs="Times New Roman"/>
                <w:b/>
                <w:bCs/>
              </w:rPr>
              <w:t xml:space="preserve">iilor verzi existente, </w:t>
            </w:r>
            <w:r w:rsidRPr="008C5F1C">
              <w:rPr>
                <w:rFonts w:ascii="Times New Roman" w:hAnsi="Times New Roman" w:cs="Times New Roman"/>
              </w:rPr>
              <w:t xml:space="preserve">inclusiv parcuri </w:t>
            </w:r>
            <w:r w:rsidR="005F400E">
              <w:rPr>
                <w:rFonts w:ascii="Times New Roman" w:hAnsi="Times New Roman" w:cs="Times New Roman"/>
              </w:rPr>
              <w:t xml:space="preserve">/ păduri </w:t>
            </w:r>
            <w:r w:rsidRPr="008C5F1C">
              <w:rPr>
                <w:rFonts w:ascii="Times New Roman" w:hAnsi="Times New Roman" w:cs="Times New Roman"/>
              </w:rPr>
              <w:t>urbane</w:t>
            </w:r>
            <w:r w:rsidR="00417EA3" w:rsidRPr="008C5F1C">
              <w:rPr>
                <w:rFonts w:ascii="Times New Roman" w:hAnsi="Times New Roman" w:cs="Times New Roman"/>
              </w:rPr>
              <w:t xml:space="preserve">, </w:t>
            </w:r>
            <w:r w:rsidR="00FD525F" w:rsidRPr="008C5F1C">
              <w:rPr>
                <w:rFonts w:ascii="Times New Roman" w:hAnsi="Times New Roman" w:cs="Times New Roman"/>
              </w:rPr>
              <w:t>acoperi</w:t>
            </w:r>
            <w:r w:rsidR="00106240" w:rsidRPr="008C5F1C">
              <w:rPr>
                <w:rFonts w:ascii="Times New Roman" w:hAnsi="Times New Roman" w:cs="Times New Roman"/>
              </w:rPr>
              <w:t>ș</w:t>
            </w:r>
            <w:r w:rsidR="00FD525F" w:rsidRPr="008C5F1C">
              <w:rPr>
                <w:rFonts w:ascii="Times New Roman" w:hAnsi="Times New Roman" w:cs="Times New Roman"/>
              </w:rPr>
              <w:t>uri</w:t>
            </w:r>
            <w:r w:rsidR="00417EA3" w:rsidRPr="008C5F1C">
              <w:rPr>
                <w:rFonts w:ascii="Times New Roman" w:hAnsi="Times New Roman" w:cs="Times New Roman"/>
              </w:rPr>
              <w:t xml:space="preserve"> verzi, gr</w:t>
            </w:r>
            <w:r w:rsidR="00BA7827" w:rsidRPr="008C5F1C">
              <w:rPr>
                <w:rFonts w:ascii="Times New Roman" w:hAnsi="Times New Roman" w:cs="Times New Roman"/>
              </w:rPr>
              <w:t>ă</w:t>
            </w:r>
            <w:r w:rsidR="00417EA3" w:rsidRPr="008C5F1C">
              <w:rPr>
                <w:rFonts w:ascii="Times New Roman" w:hAnsi="Times New Roman" w:cs="Times New Roman"/>
              </w:rPr>
              <w:t xml:space="preserve">dini urbane, </w:t>
            </w:r>
            <w:r w:rsidR="00F664A9" w:rsidRPr="008C5F1C">
              <w:rPr>
                <w:rFonts w:ascii="Times New Roman" w:hAnsi="Times New Roman" w:cs="Times New Roman"/>
              </w:rPr>
              <w:t xml:space="preserve">conectivitate ecologica, </w:t>
            </w:r>
            <w:r w:rsidR="00417EA3" w:rsidRPr="008C5F1C">
              <w:rPr>
                <w:rFonts w:ascii="Times New Roman" w:hAnsi="Times New Roman" w:cs="Times New Roman"/>
              </w:rPr>
              <w:t>etc</w:t>
            </w:r>
          </w:p>
        </w:tc>
      </w:tr>
    </w:tbl>
    <w:p w14:paraId="30796B1C" w14:textId="77777777" w:rsidR="00653571" w:rsidRPr="008C5F1C" w:rsidRDefault="00653571" w:rsidP="00653571">
      <w:pPr>
        <w:spacing w:before="120" w:after="120" w:line="360" w:lineRule="auto"/>
        <w:rPr>
          <w:rFonts w:ascii="Times New Roman" w:eastAsia="Times New Roman" w:hAnsi="Times New Roman" w:cs="Times New Roman"/>
          <w:b/>
          <w:i/>
          <w:iCs/>
          <w:noProof/>
          <w:sz w:val="24"/>
          <w:szCs w:val="24"/>
        </w:rPr>
      </w:pPr>
      <w:r w:rsidRPr="008C5F1C">
        <w:rPr>
          <w:rFonts w:ascii="Times New Roman" w:eastAsia="Times New Roman" w:hAnsi="Times New Roman" w:cs="Times New Roman"/>
          <w:i/>
          <w:noProof/>
          <w:sz w:val="24"/>
          <w:szCs w:val="24"/>
        </w:rPr>
        <w:t>The main target groups - Article 17(3)(d)(iii):</w:t>
      </w:r>
    </w:p>
    <w:p w14:paraId="3D0EED56" w14:textId="77777777" w:rsidR="006D2B12" w:rsidRPr="008C5F1C" w:rsidRDefault="00582EDB" w:rsidP="005A1F66">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iCs/>
          <w:noProof/>
          <w:sz w:val="24"/>
          <w:szCs w:val="24"/>
        </w:rPr>
      </w:pPr>
      <w:r w:rsidRPr="008C5F1C">
        <w:rPr>
          <w:rFonts w:ascii="Times New Roman" w:eastAsia="Times New Roman" w:hAnsi="Times New Roman" w:cs="Times New Roman"/>
          <w:i/>
          <w:iCs/>
          <w:noProof/>
          <w:sz w:val="24"/>
          <w:szCs w:val="24"/>
        </w:rPr>
        <w:t>Popula</w:t>
      </w:r>
      <w:r w:rsidR="00E22FF2" w:rsidRPr="008C5F1C">
        <w:rPr>
          <w:rFonts w:ascii="Times New Roman" w:eastAsia="Times New Roman" w:hAnsi="Times New Roman" w:cs="Times New Roman"/>
          <w:i/>
          <w:iCs/>
          <w:noProof/>
          <w:sz w:val="24"/>
          <w:szCs w:val="24"/>
        </w:rPr>
        <w:t>ț</w:t>
      </w:r>
      <w:r w:rsidRPr="008C5F1C">
        <w:rPr>
          <w:rFonts w:ascii="Times New Roman" w:eastAsia="Times New Roman" w:hAnsi="Times New Roman" w:cs="Times New Roman"/>
          <w:i/>
          <w:iCs/>
          <w:noProof/>
          <w:sz w:val="24"/>
          <w:szCs w:val="24"/>
        </w:rPr>
        <w:t>ia din zonele urbane beneficiare</w:t>
      </w:r>
    </w:p>
    <w:p w14:paraId="00B3D6C2" w14:textId="77777777" w:rsidR="005A1F66" w:rsidRPr="008C5F1C" w:rsidRDefault="006D2B12" w:rsidP="005A1F66">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iCs/>
          <w:noProof/>
          <w:sz w:val="24"/>
          <w:szCs w:val="24"/>
        </w:rPr>
      </w:pPr>
      <w:r w:rsidRPr="008C5F1C">
        <w:rPr>
          <w:rFonts w:ascii="Times New Roman" w:eastAsia="Times New Roman" w:hAnsi="Times New Roman" w:cs="Times New Roman"/>
          <w:i/>
          <w:iCs/>
          <w:noProof/>
          <w:sz w:val="24"/>
          <w:szCs w:val="24"/>
        </w:rPr>
        <w:t>Popula</w:t>
      </w:r>
      <w:r w:rsidR="00E22FF2" w:rsidRPr="008C5F1C">
        <w:rPr>
          <w:rFonts w:ascii="Times New Roman" w:eastAsia="Times New Roman" w:hAnsi="Times New Roman" w:cs="Times New Roman"/>
          <w:i/>
          <w:iCs/>
          <w:noProof/>
          <w:sz w:val="24"/>
          <w:szCs w:val="24"/>
        </w:rPr>
        <w:t>ț</w:t>
      </w:r>
      <w:r w:rsidRPr="008C5F1C">
        <w:rPr>
          <w:rFonts w:ascii="Times New Roman" w:eastAsia="Times New Roman" w:hAnsi="Times New Roman" w:cs="Times New Roman"/>
          <w:i/>
          <w:iCs/>
          <w:noProof/>
          <w:sz w:val="24"/>
          <w:szCs w:val="24"/>
        </w:rPr>
        <w:t>ia din localită</w:t>
      </w:r>
      <w:r w:rsidR="00E22FF2" w:rsidRPr="008C5F1C">
        <w:rPr>
          <w:rFonts w:ascii="Times New Roman" w:eastAsia="Times New Roman" w:hAnsi="Times New Roman" w:cs="Times New Roman"/>
          <w:i/>
          <w:iCs/>
          <w:noProof/>
          <w:sz w:val="24"/>
          <w:szCs w:val="24"/>
        </w:rPr>
        <w:t>ț</w:t>
      </w:r>
      <w:r w:rsidRPr="008C5F1C">
        <w:rPr>
          <w:rFonts w:ascii="Times New Roman" w:eastAsia="Times New Roman" w:hAnsi="Times New Roman" w:cs="Times New Roman"/>
          <w:i/>
          <w:iCs/>
          <w:noProof/>
          <w:sz w:val="24"/>
          <w:szCs w:val="24"/>
        </w:rPr>
        <w:t>ile deservite de infrastructura îmbunătă</w:t>
      </w:r>
      <w:r w:rsidR="00E22FF2" w:rsidRPr="008C5F1C">
        <w:rPr>
          <w:rFonts w:ascii="Times New Roman" w:eastAsia="Times New Roman" w:hAnsi="Times New Roman" w:cs="Times New Roman"/>
          <w:i/>
          <w:iCs/>
          <w:noProof/>
          <w:sz w:val="24"/>
          <w:szCs w:val="24"/>
        </w:rPr>
        <w:t>ț</w:t>
      </w:r>
      <w:r w:rsidRPr="008C5F1C">
        <w:rPr>
          <w:rFonts w:ascii="Times New Roman" w:eastAsia="Times New Roman" w:hAnsi="Times New Roman" w:cs="Times New Roman"/>
          <w:i/>
          <w:iCs/>
          <w:noProof/>
          <w:sz w:val="24"/>
          <w:szCs w:val="24"/>
        </w:rPr>
        <w:t>ită</w:t>
      </w:r>
    </w:p>
    <w:p w14:paraId="0E429424" w14:textId="77777777" w:rsidR="00653571" w:rsidRPr="008C5F1C" w:rsidRDefault="00653571" w:rsidP="00653571">
      <w:pPr>
        <w:spacing w:before="120" w:after="120" w:line="360" w:lineRule="auto"/>
        <w:rPr>
          <w:rFonts w:ascii="Times New Roman" w:eastAsia="Times New Roman" w:hAnsi="Times New Roman" w:cs="Times New Roman"/>
          <w:i/>
          <w:noProof/>
          <w:sz w:val="24"/>
          <w:szCs w:val="24"/>
        </w:rPr>
      </w:pPr>
      <w:r w:rsidRPr="008C5F1C">
        <w:rPr>
          <w:rFonts w:ascii="Times New Roman" w:eastAsia="Times New Roman" w:hAnsi="Times New Roman" w:cs="Times New Roman"/>
          <w:i/>
          <w:noProof/>
          <w:sz w:val="24"/>
          <w:szCs w:val="24"/>
        </w:rPr>
        <w:lastRenderedPageBreak/>
        <w:t>Specific territories tageted, including the planned use of territorial tools – Article 17(3)(d)(iv)</w:t>
      </w:r>
    </w:p>
    <w:p w14:paraId="2B39DD61" w14:textId="77777777" w:rsidR="00653571" w:rsidRPr="008C5F1C" w:rsidRDefault="00653571" w:rsidP="0065357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rPr>
      </w:pPr>
      <w:r w:rsidRPr="008C5F1C">
        <w:rPr>
          <w:rFonts w:ascii="Times New Roman" w:eastAsia="Times New Roman" w:hAnsi="Times New Roman" w:cs="Times New Roman"/>
          <w:i/>
          <w:iCs/>
          <w:noProof/>
          <w:sz w:val="24"/>
          <w:szCs w:val="24"/>
        </w:rPr>
        <w:t>Nu este cazul</w:t>
      </w:r>
    </w:p>
    <w:p w14:paraId="65EEAF56" w14:textId="77777777" w:rsidR="00653571" w:rsidRPr="008C5F1C" w:rsidRDefault="00653571" w:rsidP="00653571">
      <w:pPr>
        <w:spacing w:before="120" w:after="120" w:line="360" w:lineRule="auto"/>
        <w:rPr>
          <w:rFonts w:ascii="Times New Roman" w:eastAsia="Times New Roman" w:hAnsi="Times New Roman" w:cs="Times New Roman"/>
          <w:b/>
          <w:i/>
          <w:iCs/>
          <w:noProof/>
          <w:sz w:val="24"/>
          <w:szCs w:val="24"/>
        </w:rPr>
      </w:pPr>
      <w:r w:rsidRPr="008C5F1C">
        <w:rPr>
          <w:rFonts w:ascii="Times New Roman" w:eastAsia="Times New Roman" w:hAnsi="Times New Roman" w:cs="Times New Roman"/>
          <w:i/>
          <w:noProof/>
          <w:sz w:val="24"/>
          <w:szCs w:val="24"/>
        </w:rPr>
        <w:t>The interregional and transnational actions  –Article – 17(3)(d)(v)</w:t>
      </w:r>
    </w:p>
    <w:p w14:paraId="10C95751" w14:textId="77777777" w:rsidR="00653571" w:rsidRPr="008C5F1C" w:rsidRDefault="00653571" w:rsidP="0065357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rPr>
      </w:pPr>
      <w:r w:rsidRPr="008C5F1C">
        <w:rPr>
          <w:rFonts w:ascii="Times New Roman" w:eastAsia="Times New Roman" w:hAnsi="Times New Roman" w:cs="Times New Roman"/>
          <w:i/>
          <w:iCs/>
          <w:noProof/>
          <w:sz w:val="24"/>
          <w:szCs w:val="24"/>
        </w:rPr>
        <w:t>Nu este cazul</w:t>
      </w:r>
    </w:p>
    <w:p w14:paraId="17276AC9" w14:textId="77777777" w:rsidR="00653571" w:rsidRPr="008C5F1C" w:rsidRDefault="00653571" w:rsidP="00653571">
      <w:pPr>
        <w:spacing w:before="120" w:after="120" w:line="360" w:lineRule="auto"/>
        <w:rPr>
          <w:rFonts w:ascii="Times New Roman" w:eastAsia="Times New Roman" w:hAnsi="Times New Roman" w:cs="Times New Roman"/>
          <w:b/>
          <w:i/>
          <w:iCs/>
          <w:noProof/>
          <w:sz w:val="24"/>
          <w:szCs w:val="24"/>
        </w:rPr>
      </w:pPr>
      <w:r w:rsidRPr="008C5F1C">
        <w:rPr>
          <w:rFonts w:ascii="Times New Roman" w:eastAsia="Times New Roman" w:hAnsi="Times New Roman" w:cs="Times New Roman"/>
          <w:i/>
          <w:noProof/>
          <w:sz w:val="24"/>
          <w:szCs w:val="24"/>
        </w:rPr>
        <w:t>The planned use of financial instruments – Article – 17(3)(d)(vi)</w:t>
      </w:r>
    </w:p>
    <w:p w14:paraId="5E3868E0" w14:textId="77777777" w:rsidR="00653571" w:rsidRPr="008C5F1C" w:rsidRDefault="00653571" w:rsidP="0065357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rPr>
      </w:pPr>
      <w:r w:rsidRPr="008C5F1C">
        <w:rPr>
          <w:rFonts w:ascii="Times New Roman" w:eastAsia="Times New Roman" w:hAnsi="Times New Roman" w:cs="Times New Roman"/>
          <w:i/>
          <w:iCs/>
          <w:noProof/>
          <w:sz w:val="24"/>
          <w:szCs w:val="24"/>
        </w:rPr>
        <w:t>Nu este cazul</w:t>
      </w:r>
    </w:p>
    <w:p w14:paraId="351C3AA2" w14:textId="77777777" w:rsidR="00653571" w:rsidRPr="008C5F1C" w:rsidRDefault="00653571" w:rsidP="00653571">
      <w:pPr>
        <w:pStyle w:val="Heading4"/>
        <w:numPr>
          <w:ilvl w:val="0"/>
          <w:numId w:val="0"/>
        </w:numPr>
        <w:ind w:left="851" w:hanging="851"/>
        <w:rPr>
          <w:rFonts w:cs="Times New Roman"/>
          <w:b/>
          <w:bCs/>
          <w:lang w:val="ro-RO"/>
        </w:rPr>
      </w:pPr>
      <w:r w:rsidRPr="008C5F1C">
        <w:rPr>
          <w:rFonts w:cs="Times New Roman"/>
          <w:b/>
          <w:bCs/>
          <w:lang w:val="ro-RO"/>
        </w:rPr>
        <w:t xml:space="preserve">2.A.3.2 </w:t>
      </w:r>
      <w:proofErr w:type="spellStart"/>
      <w:r w:rsidRPr="008C5F1C">
        <w:rPr>
          <w:rFonts w:cs="Times New Roman"/>
          <w:b/>
          <w:bCs/>
          <w:lang w:val="ro-RO"/>
        </w:rPr>
        <w:t>Indicators</w:t>
      </w:r>
      <w:proofErr w:type="spellEnd"/>
    </w:p>
    <w:p w14:paraId="170229DA" w14:textId="77777777" w:rsidR="00653571" w:rsidRPr="008C5F1C" w:rsidRDefault="00653571" w:rsidP="00653571">
      <w:pPr>
        <w:rPr>
          <w:rFonts w:ascii="Times New Roman" w:hAnsi="Times New Roman" w:cs="Times New Roman"/>
          <w:b/>
          <w:bCs/>
          <w:i/>
          <w:u w:val="single"/>
        </w:rPr>
      </w:pPr>
      <w:proofErr w:type="spellStart"/>
      <w:r w:rsidRPr="008C5F1C">
        <w:rPr>
          <w:rFonts w:ascii="Times New Roman" w:hAnsi="Times New Roman" w:cs="Times New Roman"/>
          <w:i/>
        </w:rPr>
        <w:t>Reference</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Article</w:t>
      </w:r>
      <w:proofErr w:type="spellEnd"/>
      <w:r w:rsidRPr="008C5F1C">
        <w:rPr>
          <w:rFonts w:ascii="Times New Roman" w:hAnsi="Times New Roman" w:cs="Times New Roman"/>
          <w:i/>
        </w:rPr>
        <w:t xml:space="preserve"> 17(3)(d)(ii) CPR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8"/>
        <w:gridCol w:w="1190"/>
        <w:gridCol w:w="626"/>
        <w:gridCol w:w="874"/>
        <w:gridCol w:w="545"/>
        <w:gridCol w:w="2155"/>
        <w:gridCol w:w="1158"/>
        <w:gridCol w:w="1040"/>
        <w:gridCol w:w="1282"/>
      </w:tblGrid>
      <w:tr w:rsidR="00653571" w:rsidRPr="008C5F1C" w14:paraId="789537BF" w14:textId="77777777" w:rsidTr="00534127">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490C513C" w14:textId="77777777" w:rsidR="00653571" w:rsidRPr="008C5F1C" w:rsidRDefault="00653571" w:rsidP="00534127">
            <w:pPr>
              <w:rPr>
                <w:rFonts w:ascii="Times New Roman" w:hAnsi="Times New Roman" w:cs="Times New Roman"/>
                <w:b/>
              </w:rPr>
            </w:pPr>
            <w:r w:rsidRPr="008C5F1C">
              <w:rPr>
                <w:rFonts w:ascii="Times New Roman" w:hAnsi="Times New Roman" w:cs="Times New Roman"/>
                <w:b/>
                <w:iCs/>
              </w:rPr>
              <w:t xml:space="preserve">Table 2: Output </w:t>
            </w:r>
            <w:proofErr w:type="spellStart"/>
            <w:r w:rsidRPr="008C5F1C">
              <w:rPr>
                <w:rFonts w:ascii="Times New Roman" w:hAnsi="Times New Roman" w:cs="Times New Roman"/>
                <w:b/>
                <w:iCs/>
              </w:rPr>
              <w:t>indicators</w:t>
            </w:r>
            <w:proofErr w:type="spellEnd"/>
          </w:p>
        </w:tc>
      </w:tr>
      <w:tr w:rsidR="00653571" w:rsidRPr="008C5F1C" w14:paraId="47C45F43" w14:textId="77777777" w:rsidTr="00534127">
        <w:trPr>
          <w:trHeight w:val="1647"/>
        </w:trPr>
        <w:tc>
          <w:tcPr>
            <w:tcW w:w="394" w:type="pct"/>
            <w:tcBorders>
              <w:top w:val="single" w:sz="4" w:space="0" w:color="auto"/>
              <w:left w:val="single" w:sz="4" w:space="0" w:color="auto"/>
              <w:bottom w:val="single" w:sz="4" w:space="0" w:color="auto"/>
              <w:right w:val="single" w:sz="4" w:space="0" w:color="auto"/>
            </w:tcBorders>
            <w:hideMark/>
          </w:tcPr>
          <w:p w14:paraId="0F888922"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Priority</w:t>
            </w:r>
            <w:proofErr w:type="spellEnd"/>
            <w:r w:rsidRPr="008C5F1C">
              <w:rPr>
                <w:rFonts w:ascii="Times New Roman" w:hAnsi="Times New Roman" w:cs="Times New Roman"/>
                <w:b/>
                <w:sz w:val="16"/>
                <w:szCs w:val="16"/>
              </w:rPr>
              <w:t xml:space="preserve"> </w:t>
            </w:r>
          </w:p>
        </w:tc>
        <w:tc>
          <w:tcPr>
            <w:tcW w:w="618" w:type="pct"/>
            <w:tcBorders>
              <w:top w:val="single" w:sz="4" w:space="0" w:color="auto"/>
              <w:left w:val="single" w:sz="4" w:space="0" w:color="auto"/>
              <w:bottom w:val="single" w:sz="4" w:space="0" w:color="auto"/>
              <w:right w:val="single" w:sz="4" w:space="0" w:color="auto"/>
            </w:tcBorders>
            <w:hideMark/>
          </w:tcPr>
          <w:p w14:paraId="0401A2D0"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 xml:space="preserve">Specific </w:t>
            </w:r>
            <w:proofErr w:type="spellStart"/>
            <w:r w:rsidRPr="008C5F1C">
              <w:rPr>
                <w:rFonts w:ascii="Times New Roman" w:hAnsi="Times New Roman" w:cs="Times New Roman"/>
                <w:b/>
                <w:sz w:val="16"/>
                <w:szCs w:val="16"/>
              </w:rPr>
              <w:t>objective</w:t>
            </w:r>
            <w:proofErr w:type="spellEnd"/>
            <w:r w:rsidRPr="008C5F1C">
              <w:rPr>
                <w:rFonts w:ascii="Times New Roman" w:hAnsi="Times New Roman" w:cs="Times New Roman"/>
                <w:b/>
                <w:sz w:val="16"/>
                <w:szCs w:val="16"/>
              </w:rPr>
              <w:t xml:space="preserve"> (Investment for </w:t>
            </w:r>
            <w:proofErr w:type="spellStart"/>
            <w:r w:rsidRPr="008C5F1C">
              <w:rPr>
                <w:rFonts w:ascii="Times New Roman" w:hAnsi="Times New Roman" w:cs="Times New Roman"/>
                <w:b/>
                <w:sz w:val="16"/>
                <w:szCs w:val="16"/>
              </w:rPr>
              <w:t>Jobs</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and</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Growth</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goal</w:t>
            </w:r>
            <w:proofErr w:type="spellEnd"/>
            <w:r w:rsidRPr="008C5F1C">
              <w:rPr>
                <w:rFonts w:ascii="Times New Roman" w:hAnsi="Times New Roman" w:cs="Times New Roman"/>
                <w:b/>
                <w:sz w:val="16"/>
                <w:szCs w:val="16"/>
              </w:rPr>
              <w:t xml:space="preserve"> or EMFF)</w:t>
            </w:r>
          </w:p>
        </w:tc>
        <w:tc>
          <w:tcPr>
            <w:tcW w:w="325" w:type="pct"/>
            <w:tcBorders>
              <w:top w:val="single" w:sz="4" w:space="0" w:color="auto"/>
              <w:left w:val="single" w:sz="4" w:space="0" w:color="auto"/>
              <w:bottom w:val="single" w:sz="4" w:space="0" w:color="auto"/>
              <w:right w:val="single" w:sz="4" w:space="0" w:color="auto"/>
            </w:tcBorders>
            <w:hideMark/>
          </w:tcPr>
          <w:p w14:paraId="4DCFC7A6"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Fund</w:t>
            </w:r>
          </w:p>
        </w:tc>
        <w:tc>
          <w:tcPr>
            <w:tcW w:w="454" w:type="pct"/>
            <w:tcBorders>
              <w:top w:val="single" w:sz="4" w:space="0" w:color="auto"/>
              <w:left w:val="single" w:sz="4" w:space="0" w:color="auto"/>
              <w:bottom w:val="single" w:sz="4" w:space="0" w:color="auto"/>
              <w:right w:val="single" w:sz="4" w:space="0" w:color="auto"/>
            </w:tcBorders>
            <w:hideMark/>
          </w:tcPr>
          <w:p w14:paraId="372B0D16"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Category</w:t>
            </w:r>
            <w:proofErr w:type="spellEnd"/>
            <w:r w:rsidRPr="008C5F1C">
              <w:rPr>
                <w:rFonts w:ascii="Times New Roman" w:hAnsi="Times New Roman" w:cs="Times New Roman"/>
                <w:b/>
                <w:sz w:val="16"/>
                <w:szCs w:val="16"/>
              </w:rPr>
              <w:t xml:space="preserve"> of </w:t>
            </w:r>
            <w:proofErr w:type="spellStart"/>
            <w:r w:rsidRPr="008C5F1C">
              <w:rPr>
                <w:rFonts w:ascii="Times New Roman" w:hAnsi="Times New Roman" w:cs="Times New Roman"/>
                <w:b/>
                <w:sz w:val="16"/>
                <w:szCs w:val="16"/>
              </w:rPr>
              <w:t>region</w:t>
            </w:r>
            <w:proofErr w:type="spellEnd"/>
          </w:p>
        </w:tc>
        <w:tc>
          <w:tcPr>
            <w:tcW w:w="283" w:type="pct"/>
            <w:tcBorders>
              <w:top w:val="single" w:sz="4" w:space="0" w:color="auto"/>
              <w:left w:val="single" w:sz="4" w:space="0" w:color="auto"/>
              <w:bottom w:val="single" w:sz="4" w:space="0" w:color="auto"/>
              <w:right w:val="single" w:sz="4" w:space="0" w:color="auto"/>
            </w:tcBorders>
            <w:hideMark/>
          </w:tcPr>
          <w:p w14:paraId="09A1E069"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ID [5]</w:t>
            </w:r>
          </w:p>
        </w:tc>
        <w:tc>
          <w:tcPr>
            <w:tcW w:w="1119" w:type="pct"/>
            <w:tcBorders>
              <w:top w:val="single" w:sz="4" w:space="0" w:color="auto"/>
              <w:left w:val="single" w:sz="4" w:space="0" w:color="auto"/>
              <w:bottom w:val="single" w:sz="4" w:space="0" w:color="auto"/>
              <w:right w:val="single" w:sz="4" w:space="0" w:color="auto"/>
            </w:tcBorders>
            <w:hideMark/>
          </w:tcPr>
          <w:p w14:paraId="222AC056"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 xml:space="preserve">Indicator [255] </w:t>
            </w:r>
          </w:p>
        </w:tc>
        <w:tc>
          <w:tcPr>
            <w:tcW w:w="601" w:type="pct"/>
            <w:tcBorders>
              <w:top w:val="single" w:sz="4" w:space="0" w:color="auto"/>
              <w:left w:val="single" w:sz="4" w:space="0" w:color="auto"/>
              <w:bottom w:val="single" w:sz="4" w:space="0" w:color="auto"/>
              <w:right w:val="single" w:sz="4" w:space="0" w:color="auto"/>
            </w:tcBorders>
            <w:hideMark/>
          </w:tcPr>
          <w:p w14:paraId="5D2172D1"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Measurement</w:t>
            </w:r>
            <w:proofErr w:type="spellEnd"/>
            <w:r w:rsidRPr="008C5F1C">
              <w:rPr>
                <w:rFonts w:ascii="Times New Roman" w:hAnsi="Times New Roman" w:cs="Times New Roman"/>
                <w:b/>
                <w:sz w:val="16"/>
                <w:szCs w:val="16"/>
              </w:rPr>
              <w:t xml:space="preserve"> unit</w:t>
            </w:r>
          </w:p>
        </w:tc>
        <w:tc>
          <w:tcPr>
            <w:tcW w:w="540" w:type="pct"/>
            <w:tcBorders>
              <w:top w:val="single" w:sz="4" w:space="0" w:color="auto"/>
              <w:left w:val="single" w:sz="4" w:space="0" w:color="auto"/>
              <w:bottom w:val="single" w:sz="4" w:space="0" w:color="auto"/>
              <w:right w:val="single" w:sz="4" w:space="0" w:color="auto"/>
            </w:tcBorders>
          </w:tcPr>
          <w:p w14:paraId="673E9204"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Milestone</w:t>
            </w:r>
            <w:proofErr w:type="spellEnd"/>
            <w:r w:rsidRPr="008C5F1C">
              <w:rPr>
                <w:rFonts w:ascii="Times New Roman" w:hAnsi="Times New Roman" w:cs="Times New Roman"/>
                <w:b/>
                <w:sz w:val="16"/>
                <w:szCs w:val="16"/>
              </w:rPr>
              <w:t xml:space="preserve"> (2024)</w:t>
            </w:r>
          </w:p>
          <w:p w14:paraId="66749857" w14:textId="77777777" w:rsidR="00653571" w:rsidRPr="008C5F1C" w:rsidRDefault="00653571" w:rsidP="00534127">
            <w:pPr>
              <w:rPr>
                <w:rFonts w:ascii="Times New Roman" w:hAnsi="Times New Roman" w:cs="Times New Roman"/>
                <w:b/>
                <w:sz w:val="16"/>
                <w:szCs w:val="16"/>
              </w:rPr>
            </w:pPr>
          </w:p>
        </w:tc>
        <w:tc>
          <w:tcPr>
            <w:tcW w:w="666" w:type="pct"/>
            <w:tcBorders>
              <w:top w:val="single" w:sz="4" w:space="0" w:color="auto"/>
              <w:left w:val="single" w:sz="4" w:space="0" w:color="auto"/>
              <w:bottom w:val="single" w:sz="4" w:space="0" w:color="auto"/>
              <w:right w:val="single" w:sz="4" w:space="0" w:color="auto"/>
            </w:tcBorders>
          </w:tcPr>
          <w:p w14:paraId="2205293C"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Target (2029)</w:t>
            </w:r>
          </w:p>
          <w:p w14:paraId="3B0B9E4A" w14:textId="77777777" w:rsidR="00653571" w:rsidRPr="008C5F1C" w:rsidRDefault="00653571" w:rsidP="00534127">
            <w:pPr>
              <w:rPr>
                <w:rFonts w:ascii="Times New Roman" w:hAnsi="Times New Roman" w:cs="Times New Roman"/>
                <w:b/>
                <w:sz w:val="16"/>
                <w:szCs w:val="16"/>
              </w:rPr>
            </w:pPr>
          </w:p>
        </w:tc>
      </w:tr>
      <w:tr w:rsidR="00653571" w:rsidRPr="008C5F1C" w14:paraId="0FC4DDAB" w14:textId="77777777" w:rsidTr="00534127">
        <w:trPr>
          <w:trHeight w:val="340"/>
        </w:trPr>
        <w:tc>
          <w:tcPr>
            <w:tcW w:w="394" w:type="pct"/>
            <w:tcBorders>
              <w:top w:val="single" w:sz="4" w:space="0" w:color="auto"/>
              <w:left w:val="single" w:sz="4" w:space="0" w:color="auto"/>
              <w:bottom w:val="single" w:sz="4" w:space="0" w:color="auto"/>
              <w:right w:val="single" w:sz="4" w:space="0" w:color="auto"/>
            </w:tcBorders>
          </w:tcPr>
          <w:p w14:paraId="53877A23" w14:textId="77777777" w:rsidR="00653571" w:rsidRPr="008C5F1C" w:rsidRDefault="00904C61" w:rsidP="00534127">
            <w:pPr>
              <w:rPr>
                <w:rFonts w:ascii="Times New Roman" w:hAnsi="Times New Roman" w:cs="Times New Roman"/>
                <w:bCs/>
                <w:iCs/>
                <w:sz w:val="16"/>
                <w:szCs w:val="16"/>
              </w:rPr>
            </w:pPr>
            <w:r w:rsidRPr="008C5F1C">
              <w:rPr>
                <w:rFonts w:ascii="Times New Roman" w:hAnsi="Times New Roman" w:cs="Times New Roman"/>
                <w:bCs/>
                <w:iCs/>
                <w:sz w:val="16"/>
                <w:szCs w:val="16"/>
              </w:rPr>
              <w:t>3</w:t>
            </w:r>
          </w:p>
        </w:tc>
        <w:tc>
          <w:tcPr>
            <w:tcW w:w="618" w:type="pct"/>
            <w:tcBorders>
              <w:top w:val="single" w:sz="4" w:space="0" w:color="auto"/>
              <w:left w:val="single" w:sz="4" w:space="0" w:color="auto"/>
              <w:bottom w:val="single" w:sz="4" w:space="0" w:color="auto"/>
              <w:right w:val="single" w:sz="4" w:space="0" w:color="auto"/>
            </w:tcBorders>
          </w:tcPr>
          <w:p w14:paraId="0F6560AB"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bCs/>
                <w:iCs/>
                <w:sz w:val="16"/>
                <w:szCs w:val="16"/>
              </w:rPr>
              <w:t>b (vii) Îmbun</w:t>
            </w:r>
            <w:r w:rsidR="00BA7827" w:rsidRPr="008C5F1C">
              <w:rPr>
                <w:rFonts w:ascii="Times New Roman" w:hAnsi="Times New Roman" w:cs="Times New Roman"/>
                <w:bCs/>
                <w:iCs/>
                <w:sz w:val="16"/>
                <w:szCs w:val="16"/>
              </w:rPr>
              <w:t>ă</w:t>
            </w:r>
            <w:r w:rsidRPr="008C5F1C">
              <w:rPr>
                <w:rFonts w:ascii="Times New Roman" w:hAnsi="Times New Roman" w:cs="Times New Roman"/>
                <w:bCs/>
                <w:iCs/>
                <w:sz w:val="16"/>
                <w:szCs w:val="16"/>
              </w:rPr>
              <w:t>t</w:t>
            </w:r>
            <w:r w:rsidR="00BA7827" w:rsidRPr="008C5F1C">
              <w:rPr>
                <w:rFonts w:ascii="Times New Roman" w:hAnsi="Times New Roman" w:cs="Times New Roman"/>
                <w:bCs/>
                <w:iCs/>
                <w:sz w:val="16"/>
                <w:szCs w:val="16"/>
              </w:rPr>
              <w:t>ă</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irea protec</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 xml:space="preserve">iei naturii </w:t>
            </w:r>
            <w:r w:rsidR="00106240" w:rsidRPr="008C5F1C">
              <w:rPr>
                <w:rFonts w:ascii="Times New Roman" w:hAnsi="Times New Roman" w:cs="Times New Roman"/>
                <w:bCs/>
                <w:iCs/>
                <w:sz w:val="16"/>
                <w:szCs w:val="16"/>
              </w:rPr>
              <w:t>ș</w:t>
            </w:r>
            <w:r w:rsidRPr="008C5F1C">
              <w:rPr>
                <w:rFonts w:ascii="Times New Roman" w:hAnsi="Times New Roman" w:cs="Times New Roman"/>
                <w:bCs/>
                <w:iCs/>
                <w:sz w:val="16"/>
                <w:szCs w:val="16"/>
              </w:rPr>
              <w:t>i a biodiversit</w:t>
            </w:r>
            <w:r w:rsidR="00BA7827" w:rsidRPr="008C5F1C">
              <w:rPr>
                <w:rFonts w:ascii="Times New Roman" w:hAnsi="Times New Roman" w:cs="Times New Roman"/>
                <w:bCs/>
                <w:iCs/>
                <w:sz w:val="16"/>
                <w:szCs w:val="16"/>
              </w:rPr>
              <w:t>ă</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 xml:space="preserve">ii, a infrastructurii verzi în special în mediul urban </w:t>
            </w:r>
            <w:r w:rsidR="00106240" w:rsidRPr="008C5F1C">
              <w:rPr>
                <w:rFonts w:ascii="Times New Roman" w:hAnsi="Times New Roman" w:cs="Times New Roman"/>
                <w:bCs/>
                <w:iCs/>
                <w:sz w:val="16"/>
                <w:szCs w:val="16"/>
              </w:rPr>
              <w:t>ș</w:t>
            </w:r>
            <w:r w:rsidRPr="008C5F1C">
              <w:rPr>
                <w:rFonts w:ascii="Times New Roman" w:hAnsi="Times New Roman" w:cs="Times New Roman"/>
                <w:bCs/>
                <w:iCs/>
                <w:sz w:val="16"/>
                <w:szCs w:val="16"/>
              </w:rPr>
              <w:t>i reducerea polu</w:t>
            </w:r>
            <w:r w:rsidR="00BA7827" w:rsidRPr="008C5F1C">
              <w:rPr>
                <w:rFonts w:ascii="Times New Roman" w:hAnsi="Times New Roman" w:cs="Times New Roman"/>
                <w:bCs/>
                <w:iCs/>
                <w:sz w:val="16"/>
                <w:szCs w:val="16"/>
              </w:rPr>
              <w:t>ă</w:t>
            </w:r>
            <w:r w:rsidRPr="008C5F1C">
              <w:rPr>
                <w:rFonts w:ascii="Times New Roman" w:hAnsi="Times New Roman" w:cs="Times New Roman"/>
                <w:bCs/>
                <w:iCs/>
                <w:sz w:val="16"/>
                <w:szCs w:val="16"/>
              </w:rPr>
              <w:t>rii</w:t>
            </w:r>
          </w:p>
        </w:tc>
        <w:tc>
          <w:tcPr>
            <w:tcW w:w="325" w:type="pct"/>
            <w:tcBorders>
              <w:top w:val="single" w:sz="4" w:space="0" w:color="auto"/>
              <w:left w:val="single" w:sz="4" w:space="0" w:color="auto"/>
              <w:bottom w:val="single" w:sz="4" w:space="0" w:color="auto"/>
              <w:right w:val="single" w:sz="4" w:space="0" w:color="auto"/>
            </w:tcBorders>
          </w:tcPr>
          <w:p w14:paraId="3F3A2C54"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noProof/>
                <w:sz w:val="16"/>
                <w:szCs w:val="16"/>
              </w:rPr>
              <w:t>FEDR</w:t>
            </w:r>
          </w:p>
        </w:tc>
        <w:tc>
          <w:tcPr>
            <w:tcW w:w="454" w:type="pct"/>
            <w:tcBorders>
              <w:top w:val="single" w:sz="4" w:space="0" w:color="auto"/>
              <w:left w:val="single" w:sz="4" w:space="0" w:color="auto"/>
              <w:bottom w:val="single" w:sz="4" w:space="0" w:color="auto"/>
              <w:right w:val="single" w:sz="4" w:space="0" w:color="auto"/>
            </w:tcBorders>
          </w:tcPr>
          <w:p w14:paraId="35C372CD"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noProof/>
                <w:sz w:val="16"/>
                <w:szCs w:val="16"/>
              </w:rPr>
              <w:t>Mai pu</w:t>
            </w:r>
            <w:r w:rsidR="00E22FF2" w:rsidRPr="008C5F1C">
              <w:rPr>
                <w:rFonts w:ascii="Times New Roman" w:hAnsi="Times New Roman" w:cs="Times New Roman"/>
                <w:noProof/>
                <w:sz w:val="16"/>
                <w:szCs w:val="16"/>
              </w:rPr>
              <w:t>ț</w:t>
            </w:r>
            <w:r w:rsidRPr="008C5F1C">
              <w:rPr>
                <w:rFonts w:ascii="Times New Roman" w:hAnsi="Times New Roman" w:cs="Times New Roman"/>
                <w:noProof/>
                <w:sz w:val="16"/>
                <w:szCs w:val="16"/>
              </w:rPr>
              <w:t>in dezvoltate</w:t>
            </w:r>
          </w:p>
        </w:tc>
        <w:tc>
          <w:tcPr>
            <w:tcW w:w="283" w:type="pct"/>
            <w:tcBorders>
              <w:top w:val="single" w:sz="4" w:space="0" w:color="auto"/>
              <w:left w:val="single" w:sz="4" w:space="0" w:color="auto"/>
              <w:bottom w:val="single" w:sz="4" w:space="0" w:color="auto"/>
              <w:right w:val="single" w:sz="4" w:space="0" w:color="auto"/>
            </w:tcBorders>
          </w:tcPr>
          <w:p w14:paraId="2617E59C"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bCs/>
                <w:iCs/>
                <w:sz w:val="16"/>
                <w:szCs w:val="16"/>
              </w:rPr>
              <w:t xml:space="preserve">RCO 36 </w:t>
            </w:r>
          </w:p>
          <w:p w14:paraId="7DD061EB" w14:textId="77777777" w:rsidR="00653571" w:rsidRPr="008C5F1C" w:rsidRDefault="00653571" w:rsidP="00534127">
            <w:pPr>
              <w:rPr>
                <w:rFonts w:ascii="Times New Roman" w:hAnsi="Times New Roman" w:cs="Times New Roman"/>
                <w:bCs/>
                <w:iCs/>
                <w:sz w:val="16"/>
                <w:szCs w:val="16"/>
              </w:rPr>
            </w:pPr>
          </w:p>
        </w:tc>
        <w:tc>
          <w:tcPr>
            <w:tcW w:w="1119" w:type="pct"/>
            <w:tcBorders>
              <w:top w:val="single" w:sz="4" w:space="0" w:color="auto"/>
              <w:left w:val="single" w:sz="4" w:space="0" w:color="auto"/>
              <w:bottom w:val="single" w:sz="4" w:space="0" w:color="auto"/>
              <w:right w:val="single" w:sz="4" w:space="0" w:color="auto"/>
            </w:tcBorders>
          </w:tcPr>
          <w:p w14:paraId="3E4962D1"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bCs/>
                <w:iCs/>
                <w:sz w:val="16"/>
                <w:szCs w:val="16"/>
              </w:rPr>
              <w:t>RCO 36 –</w:t>
            </w:r>
            <w:r w:rsidR="00697288" w:rsidRPr="008C5F1C">
              <w:rPr>
                <w:rFonts w:ascii="Times New Roman" w:hAnsi="Times New Roman" w:cs="Times New Roman"/>
              </w:rPr>
              <w:t xml:space="preserve"> </w:t>
            </w:r>
            <w:r w:rsidR="00697288" w:rsidRPr="008C5F1C">
              <w:rPr>
                <w:rFonts w:ascii="Times New Roman" w:hAnsi="Times New Roman" w:cs="Times New Roman"/>
                <w:bCs/>
                <w:iCs/>
                <w:sz w:val="16"/>
                <w:szCs w:val="16"/>
              </w:rPr>
              <w:t xml:space="preserve">Green </w:t>
            </w:r>
            <w:proofErr w:type="spellStart"/>
            <w:r w:rsidR="00697288" w:rsidRPr="008C5F1C">
              <w:rPr>
                <w:rFonts w:ascii="Times New Roman" w:hAnsi="Times New Roman" w:cs="Times New Roman"/>
                <w:bCs/>
                <w:iCs/>
                <w:sz w:val="16"/>
                <w:szCs w:val="16"/>
              </w:rPr>
              <w:t>infrastructure</w:t>
            </w:r>
            <w:proofErr w:type="spellEnd"/>
            <w:r w:rsidR="00697288" w:rsidRPr="008C5F1C">
              <w:rPr>
                <w:rFonts w:ascii="Times New Roman" w:hAnsi="Times New Roman" w:cs="Times New Roman"/>
                <w:bCs/>
                <w:iCs/>
                <w:sz w:val="16"/>
                <w:szCs w:val="16"/>
              </w:rPr>
              <w:t xml:space="preserve"> </w:t>
            </w:r>
            <w:proofErr w:type="spellStart"/>
            <w:r w:rsidR="00697288" w:rsidRPr="008C5F1C">
              <w:rPr>
                <w:rFonts w:ascii="Times New Roman" w:hAnsi="Times New Roman" w:cs="Times New Roman"/>
                <w:bCs/>
                <w:iCs/>
                <w:sz w:val="16"/>
                <w:szCs w:val="16"/>
              </w:rPr>
              <w:t>supported</w:t>
            </w:r>
            <w:proofErr w:type="spellEnd"/>
            <w:r w:rsidR="00697288" w:rsidRPr="008C5F1C">
              <w:rPr>
                <w:rFonts w:ascii="Times New Roman" w:hAnsi="Times New Roman" w:cs="Times New Roman"/>
                <w:bCs/>
                <w:iCs/>
                <w:sz w:val="16"/>
                <w:szCs w:val="16"/>
              </w:rPr>
              <w:t xml:space="preserve"> for </w:t>
            </w:r>
            <w:proofErr w:type="spellStart"/>
            <w:r w:rsidR="00697288" w:rsidRPr="008C5F1C">
              <w:rPr>
                <w:rFonts w:ascii="Times New Roman" w:hAnsi="Times New Roman" w:cs="Times New Roman"/>
                <w:bCs/>
                <w:iCs/>
                <w:sz w:val="16"/>
                <w:szCs w:val="16"/>
              </w:rPr>
              <w:t>other</w:t>
            </w:r>
            <w:proofErr w:type="spellEnd"/>
            <w:r w:rsidR="00697288" w:rsidRPr="008C5F1C">
              <w:rPr>
                <w:rFonts w:ascii="Times New Roman" w:hAnsi="Times New Roman" w:cs="Times New Roman"/>
                <w:bCs/>
                <w:iCs/>
                <w:sz w:val="16"/>
                <w:szCs w:val="16"/>
              </w:rPr>
              <w:t xml:space="preserve"> </w:t>
            </w:r>
            <w:proofErr w:type="spellStart"/>
            <w:r w:rsidR="00697288" w:rsidRPr="008C5F1C">
              <w:rPr>
                <w:rFonts w:ascii="Times New Roman" w:hAnsi="Times New Roman" w:cs="Times New Roman"/>
                <w:bCs/>
                <w:iCs/>
                <w:sz w:val="16"/>
                <w:szCs w:val="16"/>
              </w:rPr>
              <w:t>purposes</w:t>
            </w:r>
            <w:proofErr w:type="spellEnd"/>
            <w:r w:rsidR="00697288" w:rsidRPr="008C5F1C">
              <w:rPr>
                <w:rFonts w:ascii="Times New Roman" w:hAnsi="Times New Roman" w:cs="Times New Roman"/>
                <w:bCs/>
                <w:iCs/>
                <w:sz w:val="16"/>
                <w:szCs w:val="16"/>
              </w:rPr>
              <w:t xml:space="preserve"> </w:t>
            </w:r>
            <w:proofErr w:type="spellStart"/>
            <w:r w:rsidR="00697288" w:rsidRPr="008C5F1C">
              <w:rPr>
                <w:rFonts w:ascii="Times New Roman" w:hAnsi="Times New Roman" w:cs="Times New Roman"/>
                <w:bCs/>
                <w:iCs/>
                <w:sz w:val="16"/>
                <w:szCs w:val="16"/>
              </w:rPr>
              <w:t>than</w:t>
            </w:r>
            <w:proofErr w:type="spellEnd"/>
            <w:r w:rsidR="00697288" w:rsidRPr="008C5F1C">
              <w:rPr>
                <w:rFonts w:ascii="Times New Roman" w:hAnsi="Times New Roman" w:cs="Times New Roman"/>
                <w:bCs/>
                <w:iCs/>
                <w:sz w:val="16"/>
                <w:szCs w:val="16"/>
              </w:rPr>
              <w:t xml:space="preserve"> </w:t>
            </w:r>
            <w:proofErr w:type="spellStart"/>
            <w:r w:rsidR="00697288" w:rsidRPr="008C5F1C">
              <w:rPr>
                <w:rFonts w:ascii="Times New Roman" w:hAnsi="Times New Roman" w:cs="Times New Roman"/>
                <w:bCs/>
                <w:iCs/>
                <w:sz w:val="16"/>
                <w:szCs w:val="16"/>
              </w:rPr>
              <w:t>adaptation</w:t>
            </w:r>
            <w:proofErr w:type="spellEnd"/>
            <w:r w:rsidR="00697288" w:rsidRPr="008C5F1C">
              <w:rPr>
                <w:rFonts w:ascii="Times New Roman" w:hAnsi="Times New Roman" w:cs="Times New Roman"/>
                <w:bCs/>
                <w:iCs/>
                <w:sz w:val="16"/>
                <w:szCs w:val="16"/>
              </w:rPr>
              <w:t xml:space="preserve"> </w:t>
            </w:r>
            <w:proofErr w:type="spellStart"/>
            <w:r w:rsidR="00697288" w:rsidRPr="008C5F1C">
              <w:rPr>
                <w:rFonts w:ascii="Times New Roman" w:hAnsi="Times New Roman" w:cs="Times New Roman"/>
                <w:bCs/>
                <w:iCs/>
                <w:sz w:val="16"/>
                <w:szCs w:val="16"/>
              </w:rPr>
              <w:t>to</w:t>
            </w:r>
            <w:proofErr w:type="spellEnd"/>
            <w:r w:rsidR="00697288" w:rsidRPr="008C5F1C">
              <w:rPr>
                <w:rFonts w:ascii="Times New Roman" w:hAnsi="Times New Roman" w:cs="Times New Roman"/>
                <w:bCs/>
                <w:iCs/>
                <w:sz w:val="16"/>
                <w:szCs w:val="16"/>
              </w:rPr>
              <w:t xml:space="preserve"> climate </w:t>
            </w:r>
            <w:proofErr w:type="spellStart"/>
            <w:r w:rsidR="00697288" w:rsidRPr="008C5F1C">
              <w:rPr>
                <w:rFonts w:ascii="Times New Roman" w:hAnsi="Times New Roman" w:cs="Times New Roman"/>
                <w:bCs/>
                <w:iCs/>
                <w:sz w:val="16"/>
                <w:szCs w:val="16"/>
              </w:rPr>
              <w:t>change</w:t>
            </w:r>
            <w:proofErr w:type="spellEnd"/>
          </w:p>
        </w:tc>
        <w:tc>
          <w:tcPr>
            <w:tcW w:w="601" w:type="pct"/>
            <w:tcBorders>
              <w:top w:val="single" w:sz="4" w:space="0" w:color="auto"/>
              <w:left w:val="single" w:sz="4" w:space="0" w:color="auto"/>
              <w:bottom w:val="single" w:sz="4" w:space="0" w:color="auto"/>
              <w:right w:val="single" w:sz="4" w:space="0" w:color="auto"/>
            </w:tcBorders>
          </w:tcPr>
          <w:p w14:paraId="2060BBE0" w14:textId="77777777" w:rsidR="00653571" w:rsidRPr="008C5F1C" w:rsidRDefault="00EC60C8" w:rsidP="00534127">
            <w:pPr>
              <w:rPr>
                <w:rFonts w:ascii="Times New Roman" w:hAnsi="Times New Roman" w:cs="Times New Roman"/>
                <w:bCs/>
                <w:iCs/>
                <w:sz w:val="16"/>
                <w:szCs w:val="16"/>
              </w:rPr>
            </w:pPr>
            <w:r w:rsidRPr="008C5F1C">
              <w:rPr>
                <w:rFonts w:ascii="Times New Roman" w:hAnsi="Times New Roman" w:cs="Times New Roman"/>
                <w:bCs/>
                <w:iCs/>
                <w:sz w:val="16"/>
                <w:szCs w:val="16"/>
              </w:rPr>
              <w:t>hectare</w:t>
            </w:r>
          </w:p>
        </w:tc>
        <w:tc>
          <w:tcPr>
            <w:tcW w:w="540" w:type="pct"/>
            <w:tcBorders>
              <w:top w:val="single" w:sz="4" w:space="0" w:color="auto"/>
              <w:left w:val="single" w:sz="4" w:space="0" w:color="auto"/>
              <w:bottom w:val="single" w:sz="4" w:space="0" w:color="auto"/>
              <w:right w:val="single" w:sz="4" w:space="0" w:color="auto"/>
            </w:tcBorders>
          </w:tcPr>
          <w:p w14:paraId="3A1452F2" w14:textId="77777777" w:rsidR="00653571" w:rsidRPr="008C5F1C" w:rsidRDefault="00FC13F5" w:rsidP="00534127">
            <w:pPr>
              <w:rPr>
                <w:rFonts w:ascii="Times New Roman" w:hAnsi="Times New Roman" w:cs="Times New Roman"/>
                <w:bCs/>
                <w:iCs/>
                <w:sz w:val="16"/>
                <w:szCs w:val="16"/>
              </w:rPr>
            </w:pPr>
            <w:r w:rsidRPr="008C5F1C">
              <w:rPr>
                <w:rFonts w:ascii="Times New Roman" w:hAnsi="Times New Roman" w:cs="Times New Roman"/>
                <w:bCs/>
                <w:iCs/>
                <w:sz w:val="16"/>
                <w:szCs w:val="16"/>
              </w:rPr>
              <w:t>0</w:t>
            </w:r>
          </w:p>
        </w:tc>
        <w:tc>
          <w:tcPr>
            <w:tcW w:w="666" w:type="pct"/>
            <w:tcBorders>
              <w:top w:val="single" w:sz="4" w:space="0" w:color="auto"/>
              <w:left w:val="single" w:sz="4" w:space="0" w:color="auto"/>
              <w:bottom w:val="single" w:sz="4" w:space="0" w:color="auto"/>
              <w:right w:val="single" w:sz="4" w:space="0" w:color="auto"/>
            </w:tcBorders>
          </w:tcPr>
          <w:p w14:paraId="38BEEE33" w14:textId="2F5BAB0E" w:rsidR="00653571" w:rsidRPr="008C5F1C" w:rsidRDefault="00761529" w:rsidP="00534127">
            <w:pPr>
              <w:rPr>
                <w:rFonts w:ascii="Times New Roman" w:hAnsi="Times New Roman" w:cs="Times New Roman"/>
                <w:bCs/>
                <w:iCs/>
                <w:sz w:val="16"/>
                <w:szCs w:val="16"/>
              </w:rPr>
            </w:pPr>
            <w:r w:rsidRPr="008C5F1C">
              <w:rPr>
                <w:rFonts w:ascii="Times New Roman" w:hAnsi="Times New Roman" w:cs="Times New Roman"/>
                <w:bCs/>
                <w:iCs/>
                <w:sz w:val="16"/>
                <w:szCs w:val="16"/>
              </w:rPr>
              <w:t>55</w:t>
            </w:r>
          </w:p>
        </w:tc>
      </w:tr>
      <w:tr w:rsidR="00653571" w:rsidRPr="008C5F1C" w14:paraId="57F0E2DB" w14:textId="77777777" w:rsidTr="00534127">
        <w:trPr>
          <w:trHeight w:val="340"/>
        </w:trPr>
        <w:tc>
          <w:tcPr>
            <w:tcW w:w="394" w:type="pct"/>
            <w:tcBorders>
              <w:top w:val="single" w:sz="4" w:space="0" w:color="auto"/>
              <w:left w:val="single" w:sz="4" w:space="0" w:color="auto"/>
              <w:bottom w:val="single" w:sz="4" w:space="0" w:color="auto"/>
              <w:right w:val="single" w:sz="4" w:space="0" w:color="auto"/>
            </w:tcBorders>
          </w:tcPr>
          <w:p w14:paraId="0E789302" w14:textId="77777777" w:rsidR="00653571" w:rsidRPr="008C5F1C" w:rsidRDefault="00904C61" w:rsidP="00534127">
            <w:pPr>
              <w:rPr>
                <w:rFonts w:ascii="Times New Roman" w:hAnsi="Times New Roman" w:cs="Times New Roman"/>
                <w:bCs/>
                <w:iCs/>
                <w:sz w:val="16"/>
                <w:szCs w:val="16"/>
              </w:rPr>
            </w:pPr>
            <w:r w:rsidRPr="008C5F1C">
              <w:rPr>
                <w:rFonts w:ascii="Times New Roman" w:hAnsi="Times New Roman" w:cs="Times New Roman"/>
                <w:bCs/>
                <w:iCs/>
                <w:sz w:val="16"/>
                <w:szCs w:val="16"/>
              </w:rPr>
              <w:t>3</w:t>
            </w:r>
          </w:p>
        </w:tc>
        <w:tc>
          <w:tcPr>
            <w:tcW w:w="618" w:type="pct"/>
            <w:tcBorders>
              <w:top w:val="single" w:sz="4" w:space="0" w:color="auto"/>
              <w:left w:val="single" w:sz="4" w:space="0" w:color="auto"/>
              <w:bottom w:val="single" w:sz="4" w:space="0" w:color="auto"/>
              <w:right w:val="single" w:sz="4" w:space="0" w:color="auto"/>
            </w:tcBorders>
          </w:tcPr>
          <w:p w14:paraId="42AC7BCF"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bCs/>
                <w:iCs/>
                <w:sz w:val="16"/>
                <w:szCs w:val="16"/>
              </w:rPr>
              <w:t>b (vii) Îmbun</w:t>
            </w:r>
            <w:r w:rsidR="00BA7827" w:rsidRPr="008C5F1C">
              <w:rPr>
                <w:rFonts w:ascii="Times New Roman" w:hAnsi="Times New Roman" w:cs="Times New Roman"/>
                <w:bCs/>
                <w:iCs/>
                <w:sz w:val="16"/>
                <w:szCs w:val="16"/>
              </w:rPr>
              <w:t>ă</w:t>
            </w:r>
            <w:r w:rsidRPr="008C5F1C">
              <w:rPr>
                <w:rFonts w:ascii="Times New Roman" w:hAnsi="Times New Roman" w:cs="Times New Roman"/>
                <w:bCs/>
                <w:iCs/>
                <w:sz w:val="16"/>
                <w:szCs w:val="16"/>
              </w:rPr>
              <w:t>t</w:t>
            </w:r>
            <w:r w:rsidR="00BA7827" w:rsidRPr="008C5F1C">
              <w:rPr>
                <w:rFonts w:ascii="Times New Roman" w:hAnsi="Times New Roman" w:cs="Times New Roman"/>
                <w:bCs/>
                <w:iCs/>
                <w:sz w:val="16"/>
                <w:szCs w:val="16"/>
              </w:rPr>
              <w:t>ă</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irea protec</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 xml:space="preserve">iei naturii </w:t>
            </w:r>
            <w:r w:rsidR="00106240" w:rsidRPr="008C5F1C">
              <w:rPr>
                <w:rFonts w:ascii="Times New Roman" w:hAnsi="Times New Roman" w:cs="Times New Roman"/>
                <w:bCs/>
                <w:iCs/>
                <w:sz w:val="16"/>
                <w:szCs w:val="16"/>
              </w:rPr>
              <w:t>ș</w:t>
            </w:r>
            <w:r w:rsidRPr="008C5F1C">
              <w:rPr>
                <w:rFonts w:ascii="Times New Roman" w:hAnsi="Times New Roman" w:cs="Times New Roman"/>
                <w:bCs/>
                <w:iCs/>
                <w:sz w:val="16"/>
                <w:szCs w:val="16"/>
              </w:rPr>
              <w:t>i a biodiversit</w:t>
            </w:r>
            <w:r w:rsidR="00BA7827" w:rsidRPr="008C5F1C">
              <w:rPr>
                <w:rFonts w:ascii="Times New Roman" w:hAnsi="Times New Roman" w:cs="Times New Roman"/>
                <w:bCs/>
                <w:iCs/>
                <w:sz w:val="16"/>
                <w:szCs w:val="16"/>
              </w:rPr>
              <w:t>ă</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 xml:space="preserve">ii, a infrastructurii verzi în special în mediul urban </w:t>
            </w:r>
            <w:r w:rsidR="00106240" w:rsidRPr="008C5F1C">
              <w:rPr>
                <w:rFonts w:ascii="Times New Roman" w:hAnsi="Times New Roman" w:cs="Times New Roman"/>
                <w:bCs/>
                <w:iCs/>
                <w:sz w:val="16"/>
                <w:szCs w:val="16"/>
              </w:rPr>
              <w:t>ș</w:t>
            </w:r>
            <w:r w:rsidRPr="008C5F1C">
              <w:rPr>
                <w:rFonts w:ascii="Times New Roman" w:hAnsi="Times New Roman" w:cs="Times New Roman"/>
                <w:bCs/>
                <w:iCs/>
                <w:sz w:val="16"/>
                <w:szCs w:val="16"/>
              </w:rPr>
              <w:t>i reducerea polu</w:t>
            </w:r>
            <w:r w:rsidR="00BA7827" w:rsidRPr="008C5F1C">
              <w:rPr>
                <w:rFonts w:ascii="Times New Roman" w:hAnsi="Times New Roman" w:cs="Times New Roman"/>
                <w:bCs/>
                <w:iCs/>
                <w:sz w:val="16"/>
                <w:szCs w:val="16"/>
              </w:rPr>
              <w:t>ă</w:t>
            </w:r>
            <w:r w:rsidRPr="008C5F1C">
              <w:rPr>
                <w:rFonts w:ascii="Times New Roman" w:hAnsi="Times New Roman" w:cs="Times New Roman"/>
                <w:bCs/>
                <w:iCs/>
                <w:sz w:val="16"/>
                <w:szCs w:val="16"/>
              </w:rPr>
              <w:t>rii</w:t>
            </w:r>
          </w:p>
        </w:tc>
        <w:tc>
          <w:tcPr>
            <w:tcW w:w="325" w:type="pct"/>
            <w:tcBorders>
              <w:top w:val="single" w:sz="4" w:space="0" w:color="auto"/>
              <w:left w:val="single" w:sz="4" w:space="0" w:color="auto"/>
              <w:bottom w:val="single" w:sz="4" w:space="0" w:color="auto"/>
              <w:right w:val="single" w:sz="4" w:space="0" w:color="auto"/>
            </w:tcBorders>
          </w:tcPr>
          <w:p w14:paraId="6E1683FF" w14:textId="77777777" w:rsidR="00653571" w:rsidRPr="008C5F1C" w:rsidRDefault="00653571" w:rsidP="00534127">
            <w:pPr>
              <w:rPr>
                <w:rFonts w:ascii="Times New Roman" w:hAnsi="Times New Roman" w:cs="Times New Roman"/>
                <w:noProof/>
                <w:sz w:val="16"/>
                <w:szCs w:val="16"/>
              </w:rPr>
            </w:pPr>
            <w:r w:rsidRPr="008C5F1C">
              <w:rPr>
                <w:rFonts w:ascii="Times New Roman" w:hAnsi="Times New Roman" w:cs="Times New Roman"/>
                <w:noProof/>
                <w:sz w:val="16"/>
                <w:szCs w:val="16"/>
              </w:rPr>
              <w:t>FEDR</w:t>
            </w:r>
          </w:p>
        </w:tc>
        <w:tc>
          <w:tcPr>
            <w:tcW w:w="454" w:type="pct"/>
            <w:tcBorders>
              <w:top w:val="single" w:sz="4" w:space="0" w:color="auto"/>
              <w:left w:val="single" w:sz="4" w:space="0" w:color="auto"/>
              <w:bottom w:val="single" w:sz="4" w:space="0" w:color="auto"/>
              <w:right w:val="single" w:sz="4" w:space="0" w:color="auto"/>
            </w:tcBorders>
          </w:tcPr>
          <w:p w14:paraId="70D2B8A2" w14:textId="77777777" w:rsidR="00653571" w:rsidRPr="008C5F1C" w:rsidRDefault="00653571" w:rsidP="00534127">
            <w:pPr>
              <w:rPr>
                <w:rFonts w:ascii="Times New Roman" w:hAnsi="Times New Roman" w:cs="Times New Roman"/>
                <w:noProof/>
                <w:sz w:val="16"/>
                <w:szCs w:val="16"/>
              </w:rPr>
            </w:pPr>
            <w:r w:rsidRPr="008C5F1C">
              <w:rPr>
                <w:rFonts w:ascii="Times New Roman" w:hAnsi="Times New Roman" w:cs="Times New Roman"/>
                <w:noProof/>
                <w:sz w:val="16"/>
                <w:szCs w:val="16"/>
              </w:rPr>
              <w:t>Mai pu</w:t>
            </w:r>
            <w:r w:rsidR="00E22FF2" w:rsidRPr="008C5F1C">
              <w:rPr>
                <w:rFonts w:ascii="Times New Roman" w:hAnsi="Times New Roman" w:cs="Times New Roman"/>
                <w:noProof/>
                <w:sz w:val="16"/>
                <w:szCs w:val="16"/>
              </w:rPr>
              <w:t>ț</w:t>
            </w:r>
            <w:r w:rsidRPr="008C5F1C">
              <w:rPr>
                <w:rFonts w:ascii="Times New Roman" w:hAnsi="Times New Roman" w:cs="Times New Roman"/>
                <w:noProof/>
                <w:sz w:val="16"/>
                <w:szCs w:val="16"/>
              </w:rPr>
              <w:t>in dezvoltate</w:t>
            </w:r>
          </w:p>
        </w:tc>
        <w:tc>
          <w:tcPr>
            <w:tcW w:w="283" w:type="pct"/>
            <w:tcBorders>
              <w:top w:val="single" w:sz="4" w:space="0" w:color="auto"/>
              <w:left w:val="single" w:sz="4" w:space="0" w:color="auto"/>
              <w:bottom w:val="single" w:sz="4" w:space="0" w:color="auto"/>
              <w:right w:val="single" w:sz="4" w:space="0" w:color="auto"/>
            </w:tcBorders>
          </w:tcPr>
          <w:p w14:paraId="5F020760"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bCs/>
                <w:iCs/>
                <w:sz w:val="16"/>
                <w:szCs w:val="16"/>
              </w:rPr>
              <w:t xml:space="preserve">RCO 38 </w:t>
            </w:r>
          </w:p>
          <w:p w14:paraId="6BE1D6B3" w14:textId="77777777" w:rsidR="00653571" w:rsidRPr="008C5F1C" w:rsidRDefault="00653571" w:rsidP="00534127">
            <w:pPr>
              <w:rPr>
                <w:rFonts w:ascii="Times New Roman" w:hAnsi="Times New Roman" w:cs="Times New Roman"/>
                <w:bCs/>
                <w:iCs/>
                <w:sz w:val="16"/>
                <w:szCs w:val="16"/>
              </w:rPr>
            </w:pPr>
          </w:p>
        </w:tc>
        <w:tc>
          <w:tcPr>
            <w:tcW w:w="1119" w:type="pct"/>
            <w:tcBorders>
              <w:top w:val="single" w:sz="4" w:space="0" w:color="auto"/>
              <w:left w:val="single" w:sz="4" w:space="0" w:color="auto"/>
              <w:bottom w:val="single" w:sz="4" w:space="0" w:color="auto"/>
              <w:right w:val="single" w:sz="4" w:space="0" w:color="auto"/>
            </w:tcBorders>
          </w:tcPr>
          <w:p w14:paraId="51F66F49"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bCs/>
                <w:iCs/>
                <w:sz w:val="16"/>
                <w:szCs w:val="16"/>
              </w:rPr>
              <w:t>RCO 38 – Suprafa</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a de sol reabilitat care beneficiaz</w:t>
            </w:r>
            <w:r w:rsidR="00BA7827" w:rsidRPr="008C5F1C">
              <w:rPr>
                <w:rFonts w:ascii="Times New Roman" w:hAnsi="Times New Roman" w:cs="Times New Roman"/>
                <w:bCs/>
                <w:iCs/>
                <w:sz w:val="16"/>
                <w:szCs w:val="16"/>
              </w:rPr>
              <w:t>ă</w:t>
            </w:r>
            <w:r w:rsidRPr="008C5F1C">
              <w:rPr>
                <w:rFonts w:ascii="Times New Roman" w:hAnsi="Times New Roman" w:cs="Times New Roman"/>
                <w:bCs/>
                <w:iCs/>
                <w:sz w:val="16"/>
                <w:szCs w:val="16"/>
              </w:rPr>
              <w:t xml:space="preserve"> de sprijin</w:t>
            </w:r>
          </w:p>
        </w:tc>
        <w:tc>
          <w:tcPr>
            <w:tcW w:w="601" w:type="pct"/>
            <w:tcBorders>
              <w:top w:val="single" w:sz="4" w:space="0" w:color="auto"/>
              <w:left w:val="single" w:sz="4" w:space="0" w:color="auto"/>
              <w:bottom w:val="single" w:sz="4" w:space="0" w:color="auto"/>
              <w:right w:val="single" w:sz="4" w:space="0" w:color="auto"/>
            </w:tcBorders>
          </w:tcPr>
          <w:p w14:paraId="761830D6" w14:textId="77777777" w:rsidR="00653571" w:rsidRPr="008C5F1C" w:rsidRDefault="00B751A1" w:rsidP="00534127">
            <w:pPr>
              <w:rPr>
                <w:rFonts w:ascii="Times New Roman" w:hAnsi="Times New Roman" w:cs="Times New Roman"/>
                <w:bCs/>
                <w:iCs/>
                <w:sz w:val="16"/>
                <w:szCs w:val="16"/>
              </w:rPr>
            </w:pPr>
            <w:r w:rsidRPr="008C5F1C">
              <w:rPr>
                <w:rFonts w:ascii="Times New Roman" w:hAnsi="Times New Roman" w:cs="Times New Roman"/>
                <w:bCs/>
                <w:iCs/>
                <w:sz w:val="16"/>
                <w:szCs w:val="16"/>
              </w:rPr>
              <w:t>hectare</w:t>
            </w:r>
          </w:p>
        </w:tc>
        <w:tc>
          <w:tcPr>
            <w:tcW w:w="540" w:type="pct"/>
            <w:tcBorders>
              <w:top w:val="single" w:sz="4" w:space="0" w:color="auto"/>
              <w:left w:val="single" w:sz="4" w:space="0" w:color="auto"/>
              <w:bottom w:val="single" w:sz="4" w:space="0" w:color="auto"/>
              <w:right w:val="single" w:sz="4" w:space="0" w:color="auto"/>
            </w:tcBorders>
          </w:tcPr>
          <w:p w14:paraId="19168279" w14:textId="77777777" w:rsidR="00653571" w:rsidRPr="008C5F1C" w:rsidRDefault="00FC13F5" w:rsidP="00534127">
            <w:pPr>
              <w:rPr>
                <w:rFonts w:ascii="Times New Roman" w:hAnsi="Times New Roman" w:cs="Times New Roman"/>
                <w:bCs/>
                <w:iCs/>
                <w:sz w:val="16"/>
                <w:szCs w:val="16"/>
              </w:rPr>
            </w:pPr>
            <w:r w:rsidRPr="008C5F1C">
              <w:rPr>
                <w:rFonts w:ascii="Times New Roman" w:hAnsi="Times New Roman" w:cs="Times New Roman"/>
                <w:bCs/>
                <w:iCs/>
                <w:sz w:val="16"/>
                <w:szCs w:val="16"/>
              </w:rPr>
              <w:t>0</w:t>
            </w:r>
          </w:p>
        </w:tc>
        <w:tc>
          <w:tcPr>
            <w:tcW w:w="666" w:type="pct"/>
            <w:tcBorders>
              <w:top w:val="single" w:sz="4" w:space="0" w:color="auto"/>
              <w:left w:val="single" w:sz="4" w:space="0" w:color="auto"/>
              <w:bottom w:val="single" w:sz="4" w:space="0" w:color="auto"/>
              <w:right w:val="single" w:sz="4" w:space="0" w:color="auto"/>
            </w:tcBorders>
          </w:tcPr>
          <w:p w14:paraId="0F9811D5" w14:textId="196C1B24" w:rsidR="00653571" w:rsidRPr="008C5F1C" w:rsidRDefault="00761529" w:rsidP="00534127">
            <w:pPr>
              <w:rPr>
                <w:rFonts w:ascii="Times New Roman" w:hAnsi="Times New Roman" w:cs="Times New Roman"/>
                <w:bCs/>
                <w:iCs/>
                <w:sz w:val="16"/>
                <w:szCs w:val="16"/>
              </w:rPr>
            </w:pPr>
            <w:r w:rsidRPr="008C5F1C">
              <w:rPr>
                <w:rFonts w:ascii="Times New Roman" w:hAnsi="Times New Roman" w:cs="Times New Roman"/>
                <w:bCs/>
                <w:iCs/>
                <w:sz w:val="16"/>
                <w:szCs w:val="16"/>
              </w:rPr>
              <w:t>46</w:t>
            </w:r>
          </w:p>
        </w:tc>
      </w:tr>
    </w:tbl>
    <w:p w14:paraId="4F3BDA87" w14:textId="77777777" w:rsidR="00653571" w:rsidRPr="008C5F1C" w:rsidRDefault="00653571" w:rsidP="00653571">
      <w:pPr>
        <w:rPr>
          <w:rFonts w:ascii="Times New Roman" w:hAnsi="Times New Roman" w:cs="Times New Roman"/>
        </w:rPr>
      </w:pPr>
    </w:p>
    <w:tbl>
      <w:tblPr>
        <w:tblW w:w="55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7"/>
        <w:gridCol w:w="1146"/>
        <w:gridCol w:w="625"/>
        <w:gridCol w:w="874"/>
        <w:gridCol w:w="536"/>
        <w:gridCol w:w="1159"/>
        <w:gridCol w:w="1159"/>
        <w:gridCol w:w="855"/>
        <w:gridCol w:w="900"/>
        <w:gridCol w:w="1176"/>
        <w:gridCol w:w="812"/>
        <w:gridCol w:w="769"/>
      </w:tblGrid>
      <w:tr w:rsidR="00653571" w:rsidRPr="008C5F1C" w14:paraId="6B297D20" w14:textId="77777777" w:rsidTr="006E0B48">
        <w:trPr>
          <w:trHeight w:val="485"/>
          <w:jc w:val="center"/>
        </w:trPr>
        <w:tc>
          <w:tcPr>
            <w:tcW w:w="5000" w:type="pct"/>
            <w:gridSpan w:val="12"/>
            <w:tcBorders>
              <w:top w:val="single" w:sz="4" w:space="0" w:color="auto"/>
              <w:left w:val="single" w:sz="4" w:space="0" w:color="auto"/>
              <w:bottom w:val="single" w:sz="4" w:space="0" w:color="auto"/>
              <w:right w:val="single" w:sz="4" w:space="0" w:color="auto"/>
            </w:tcBorders>
            <w:hideMark/>
          </w:tcPr>
          <w:p w14:paraId="463B4742" w14:textId="77777777" w:rsidR="00653571" w:rsidRPr="008C5F1C" w:rsidRDefault="00653571" w:rsidP="00534127">
            <w:pPr>
              <w:rPr>
                <w:rFonts w:ascii="Times New Roman" w:hAnsi="Times New Roman" w:cs="Times New Roman"/>
                <w:b/>
              </w:rPr>
            </w:pPr>
            <w:r w:rsidRPr="008C5F1C">
              <w:rPr>
                <w:rFonts w:ascii="Times New Roman" w:hAnsi="Times New Roman" w:cs="Times New Roman"/>
                <w:b/>
                <w:iCs/>
              </w:rPr>
              <w:t xml:space="preserve">Table 3: </w:t>
            </w:r>
            <w:proofErr w:type="spellStart"/>
            <w:r w:rsidRPr="008C5F1C">
              <w:rPr>
                <w:rFonts w:ascii="Times New Roman" w:hAnsi="Times New Roman" w:cs="Times New Roman"/>
                <w:b/>
                <w:iCs/>
              </w:rPr>
              <w:t>Result</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indicators</w:t>
            </w:r>
            <w:proofErr w:type="spellEnd"/>
          </w:p>
        </w:tc>
      </w:tr>
      <w:tr w:rsidR="009B746B" w:rsidRPr="008C5F1C" w14:paraId="113901E8" w14:textId="77777777" w:rsidTr="009B746B">
        <w:trPr>
          <w:trHeight w:val="1789"/>
          <w:jc w:val="center"/>
        </w:trPr>
        <w:tc>
          <w:tcPr>
            <w:tcW w:w="352" w:type="pct"/>
            <w:tcBorders>
              <w:top w:val="single" w:sz="4" w:space="0" w:color="auto"/>
              <w:left w:val="single" w:sz="4" w:space="0" w:color="auto"/>
              <w:bottom w:val="single" w:sz="4" w:space="0" w:color="auto"/>
              <w:right w:val="single" w:sz="4" w:space="0" w:color="auto"/>
            </w:tcBorders>
            <w:hideMark/>
          </w:tcPr>
          <w:p w14:paraId="31B21FC6"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lastRenderedPageBreak/>
              <w:t>Priority</w:t>
            </w:r>
            <w:proofErr w:type="spellEnd"/>
            <w:r w:rsidRPr="008C5F1C">
              <w:rPr>
                <w:rFonts w:ascii="Times New Roman" w:hAnsi="Times New Roman" w:cs="Times New Roman"/>
                <w:b/>
                <w:sz w:val="16"/>
                <w:szCs w:val="16"/>
              </w:rPr>
              <w:t xml:space="preserve"> </w:t>
            </w:r>
          </w:p>
        </w:tc>
        <w:tc>
          <w:tcPr>
            <w:tcW w:w="532" w:type="pct"/>
            <w:tcBorders>
              <w:top w:val="single" w:sz="4" w:space="0" w:color="auto"/>
              <w:left w:val="single" w:sz="4" w:space="0" w:color="auto"/>
              <w:bottom w:val="single" w:sz="4" w:space="0" w:color="auto"/>
              <w:right w:val="single" w:sz="4" w:space="0" w:color="auto"/>
            </w:tcBorders>
            <w:hideMark/>
          </w:tcPr>
          <w:p w14:paraId="1979BF2E"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 xml:space="preserve">Specific </w:t>
            </w:r>
            <w:proofErr w:type="spellStart"/>
            <w:r w:rsidRPr="008C5F1C">
              <w:rPr>
                <w:rFonts w:ascii="Times New Roman" w:hAnsi="Times New Roman" w:cs="Times New Roman"/>
                <w:b/>
                <w:sz w:val="16"/>
                <w:szCs w:val="16"/>
              </w:rPr>
              <w:t>objective</w:t>
            </w:r>
            <w:proofErr w:type="spellEnd"/>
            <w:r w:rsidRPr="008C5F1C">
              <w:rPr>
                <w:rFonts w:ascii="Times New Roman" w:hAnsi="Times New Roman" w:cs="Times New Roman"/>
                <w:b/>
                <w:sz w:val="16"/>
                <w:szCs w:val="16"/>
              </w:rPr>
              <w:t xml:space="preserve"> (Investment for </w:t>
            </w:r>
            <w:proofErr w:type="spellStart"/>
            <w:r w:rsidRPr="008C5F1C">
              <w:rPr>
                <w:rFonts w:ascii="Times New Roman" w:hAnsi="Times New Roman" w:cs="Times New Roman"/>
                <w:b/>
                <w:sz w:val="16"/>
                <w:szCs w:val="16"/>
              </w:rPr>
              <w:t>Jobs</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and</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Growth</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goal</w:t>
            </w:r>
            <w:proofErr w:type="spellEnd"/>
            <w:r w:rsidRPr="008C5F1C">
              <w:rPr>
                <w:rFonts w:ascii="Times New Roman" w:hAnsi="Times New Roman" w:cs="Times New Roman"/>
                <w:b/>
                <w:sz w:val="16"/>
                <w:szCs w:val="16"/>
              </w:rPr>
              <w:t xml:space="preserve"> or EMFF)</w:t>
            </w:r>
          </w:p>
        </w:tc>
        <w:tc>
          <w:tcPr>
            <w:tcW w:w="290" w:type="pct"/>
            <w:tcBorders>
              <w:top w:val="single" w:sz="4" w:space="0" w:color="auto"/>
              <w:left w:val="single" w:sz="4" w:space="0" w:color="auto"/>
              <w:bottom w:val="single" w:sz="4" w:space="0" w:color="auto"/>
              <w:right w:val="single" w:sz="4" w:space="0" w:color="auto"/>
            </w:tcBorders>
            <w:hideMark/>
          </w:tcPr>
          <w:p w14:paraId="6EA80FCA"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Fund</w:t>
            </w:r>
          </w:p>
        </w:tc>
        <w:tc>
          <w:tcPr>
            <w:tcW w:w="406" w:type="pct"/>
            <w:tcBorders>
              <w:top w:val="single" w:sz="4" w:space="0" w:color="auto"/>
              <w:left w:val="single" w:sz="4" w:space="0" w:color="auto"/>
              <w:bottom w:val="single" w:sz="4" w:space="0" w:color="auto"/>
              <w:right w:val="single" w:sz="4" w:space="0" w:color="auto"/>
            </w:tcBorders>
            <w:hideMark/>
          </w:tcPr>
          <w:p w14:paraId="4072AE8C" w14:textId="77777777" w:rsidR="00653571" w:rsidRPr="008C5F1C" w:rsidRDefault="00653571" w:rsidP="001B379F">
            <w:pPr>
              <w:ind w:right="-161"/>
              <w:rPr>
                <w:rFonts w:ascii="Times New Roman" w:hAnsi="Times New Roman" w:cs="Times New Roman"/>
                <w:b/>
                <w:sz w:val="16"/>
                <w:szCs w:val="16"/>
              </w:rPr>
            </w:pPr>
            <w:proofErr w:type="spellStart"/>
            <w:r w:rsidRPr="008C5F1C">
              <w:rPr>
                <w:rFonts w:ascii="Times New Roman" w:hAnsi="Times New Roman" w:cs="Times New Roman"/>
                <w:b/>
                <w:sz w:val="16"/>
                <w:szCs w:val="16"/>
              </w:rPr>
              <w:t>Category</w:t>
            </w:r>
            <w:proofErr w:type="spellEnd"/>
            <w:r w:rsidRPr="008C5F1C">
              <w:rPr>
                <w:rFonts w:ascii="Times New Roman" w:hAnsi="Times New Roman" w:cs="Times New Roman"/>
                <w:b/>
                <w:sz w:val="16"/>
                <w:szCs w:val="16"/>
              </w:rPr>
              <w:t xml:space="preserve"> of </w:t>
            </w:r>
            <w:proofErr w:type="spellStart"/>
            <w:r w:rsidRPr="008C5F1C">
              <w:rPr>
                <w:rFonts w:ascii="Times New Roman" w:hAnsi="Times New Roman" w:cs="Times New Roman"/>
                <w:b/>
                <w:sz w:val="16"/>
                <w:szCs w:val="16"/>
              </w:rPr>
              <w:t>region</w:t>
            </w:r>
            <w:proofErr w:type="spellEnd"/>
            <w:r w:rsidRPr="008C5F1C">
              <w:rPr>
                <w:rFonts w:ascii="Times New Roman" w:hAnsi="Times New Roman" w:cs="Times New Roman"/>
                <w:sz w:val="16"/>
                <w:szCs w:val="16"/>
              </w:rPr>
              <w:t xml:space="preserve"> </w:t>
            </w:r>
          </w:p>
        </w:tc>
        <w:tc>
          <w:tcPr>
            <w:tcW w:w="249" w:type="pct"/>
            <w:tcBorders>
              <w:top w:val="single" w:sz="4" w:space="0" w:color="auto"/>
              <w:left w:val="single" w:sz="4" w:space="0" w:color="auto"/>
              <w:bottom w:val="single" w:sz="4" w:space="0" w:color="auto"/>
              <w:right w:val="single" w:sz="4" w:space="0" w:color="auto"/>
            </w:tcBorders>
            <w:hideMark/>
          </w:tcPr>
          <w:p w14:paraId="0A9EF592"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ID [5]</w:t>
            </w:r>
          </w:p>
        </w:tc>
        <w:tc>
          <w:tcPr>
            <w:tcW w:w="538" w:type="pct"/>
            <w:tcBorders>
              <w:top w:val="single" w:sz="4" w:space="0" w:color="auto"/>
              <w:left w:val="single" w:sz="4" w:space="0" w:color="auto"/>
              <w:bottom w:val="single" w:sz="4" w:space="0" w:color="auto"/>
              <w:right w:val="single" w:sz="4" w:space="0" w:color="auto"/>
            </w:tcBorders>
            <w:hideMark/>
          </w:tcPr>
          <w:p w14:paraId="0F3FAB2C"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Indicator [255]</w:t>
            </w:r>
          </w:p>
        </w:tc>
        <w:tc>
          <w:tcPr>
            <w:tcW w:w="538" w:type="pct"/>
            <w:tcBorders>
              <w:top w:val="single" w:sz="4" w:space="0" w:color="auto"/>
              <w:left w:val="single" w:sz="4" w:space="0" w:color="auto"/>
              <w:bottom w:val="single" w:sz="4" w:space="0" w:color="auto"/>
              <w:right w:val="single" w:sz="4" w:space="0" w:color="auto"/>
            </w:tcBorders>
            <w:hideMark/>
          </w:tcPr>
          <w:p w14:paraId="18967541"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Measurement</w:t>
            </w:r>
            <w:proofErr w:type="spellEnd"/>
            <w:r w:rsidRPr="008C5F1C">
              <w:rPr>
                <w:rFonts w:ascii="Times New Roman" w:hAnsi="Times New Roman" w:cs="Times New Roman"/>
                <w:b/>
                <w:sz w:val="16"/>
                <w:szCs w:val="16"/>
              </w:rPr>
              <w:t xml:space="preserve"> unit</w:t>
            </w:r>
          </w:p>
        </w:tc>
        <w:tc>
          <w:tcPr>
            <w:tcW w:w="397" w:type="pct"/>
            <w:tcBorders>
              <w:top w:val="single" w:sz="4" w:space="0" w:color="auto"/>
              <w:left w:val="single" w:sz="4" w:space="0" w:color="auto"/>
              <w:bottom w:val="single" w:sz="4" w:space="0" w:color="auto"/>
              <w:right w:val="single" w:sz="4" w:space="0" w:color="auto"/>
            </w:tcBorders>
            <w:hideMark/>
          </w:tcPr>
          <w:p w14:paraId="5F1CEFEA"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Baseline</w:t>
            </w:r>
            <w:proofErr w:type="spellEnd"/>
            <w:r w:rsidRPr="008C5F1C">
              <w:rPr>
                <w:rFonts w:ascii="Times New Roman" w:hAnsi="Times New Roman" w:cs="Times New Roman"/>
                <w:b/>
                <w:sz w:val="16"/>
                <w:szCs w:val="16"/>
              </w:rPr>
              <w:t xml:space="preserve"> or </w:t>
            </w:r>
            <w:proofErr w:type="spellStart"/>
            <w:r w:rsidRPr="008C5F1C">
              <w:rPr>
                <w:rFonts w:ascii="Times New Roman" w:hAnsi="Times New Roman" w:cs="Times New Roman"/>
                <w:b/>
                <w:sz w:val="16"/>
                <w:szCs w:val="16"/>
              </w:rPr>
              <w:t>reference</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value</w:t>
            </w:r>
            <w:proofErr w:type="spellEnd"/>
          </w:p>
        </w:tc>
        <w:tc>
          <w:tcPr>
            <w:tcW w:w="418" w:type="pct"/>
            <w:tcBorders>
              <w:top w:val="single" w:sz="4" w:space="0" w:color="auto"/>
              <w:left w:val="single" w:sz="4" w:space="0" w:color="auto"/>
              <w:bottom w:val="single" w:sz="4" w:space="0" w:color="auto"/>
              <w:right w:val="single" w:sz="4" w:space="0" w:color="auto"/>
            </w:tcBorders>
            <w:hideMark/>
          </w:tcPr>
          <w:p w14:paraId="742CD1C6"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Reference</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year</w:t>
            </w:r>
            <w:proofErr w:type="spellEnd"/>
          </w:p>
        </w:tc>
        <w:tc>
          <w:tcPr>
            <w:tcW w:w="546" w:type="pct"/>
            <w:tcBorders>
              <w:top w:val="single" w:sz="4" w:space="0" w:color="auto"/>
              <w:left w:val="single" w:sz="4" w:space="0" w:color="auto"/>
              <w:bottom w:val="single" w:sz="4" w:space="0" w:color="auto"/>
              <w:right w:val="single" w:sz="4" w:space="0" w:color="auto"/>
            </w:tcBorders>
          </w:tcPr>
          <w:p w14:paraId="76789D1A"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Target (2029)</w:t>
            </w:r>
          </w:p>
          <w:p w14:paraId="0C2FD82C" w14:textId="77777777" w:rsidR="00653571" w:rsidRPr="008C5F1C" w:rsidRDefault="00653571" w:rsidP="00534127">
            <w:pPr>
              <w:rPr>
                <w:rFonts w:ascii="Times New Roman" w:hAnsi="Times New Roman" w:cs="Times New Roman"/>
                <w:b/>
                <w:sz w:val="16"/>
                <w:szCs w:val="16"/>
              </w:rPr>
            </w:pPr>
          </w:p>
        </w:tc>
        <w:tc>
          <w:tcPr>
            <w:tcW w:w="377" w:type="pct"/>
            <w:tcBorders>
              <w:top w:val="single" w:sz="4" w:space="0" w:color="auto"/>
              <w:left w:val="single" w:sz="4" w:space="0" w:color="auto"/>
              <w:bottom w:val="single" w:sz="4" w:space="0" w:color="auto"/>
              <w:right w:val="single" w:sz="4" w:space="0" w:color="auto"/>
            </w:tcBorders>
            <w:hideMark/>
          </w:tcPr>
          <w:p w14:paraId="2284CEDA"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Source</w:t>
            </w:r>
            <w:proofErr w:type="spellEnd"/>
            <w:r w:rsidRPr="008C5F1C">
              <w:rPr>
                <w:rFonts w:ascii="Times New Roman" w:hAnsi="Times New Roman" w:cs="Times New Roman"/>
                <w:b/>
                <w:sz w:val="16"/>
                <w:szCs w:val="16"/>
              </w:rPr>
              <w:t xml:space="preserve"> of data [200]</w:t>
            </w:r>
          </w:p>
        </w:tc>
        <w:tc>
          <w:tcPr>
            <w:tcW w:w="357" w:type="pct"/>
            <w:tcBorders>
              <w:top w:val="single" w:sz="4" w:space="0" w:color="auto"/>
              <w:left w:val="single" w:sz="4" w:space="0" w:color="auto"/>
              <w:bottom w:val="single" w:sz="4" w:space="0" w:color="auto"/>
              <w:right w:val="single" w:sz="4" w:space="0" w:color="auto"/>
            </w:tcBorders>
            <w:hideMark/>
          </w:tcPr>
          <w:p w14:paraId="5C0043E1"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Comments</w:t>
            </w:r>
            <w:proofErr w:type="spellEnd"/>
            <w:r w:rsidRPr="008C5F1C">
              <w:rPr>
                <w:rFonts w:ascii="Times New Roman" w:hAnsi="Times New Roman" w:cs="Times New Roman"/>
                <w:b/>
                <w:sz w:val="16"/>
                <w:szCs w:val="16"/>
              </w:rPr>
              <w:t xml:space="preserve"> [200]</w:t>
            </w:r>
          </w:p>
        </w:tc>
      </w:tr>
      <w:tr w:rsidR="009B746B" w:rsidRPr="008C5F1C" w14:paraId="220AADB3" w14:textId="77777777" w:rsidTr="009B746B">
        <w:trPr>
          <w:trHeight w:val="439"/>
          <w:jc w:val="center"/>
        </w:trPr>
        <w:tc>
          <w:tcPr>
            <w:tcW w:w="352" w:type="pct"/>
            <w:tcBorders>
              <w:top w:val="single" w:sz="4" w:space="0" w:color="auto"/>
              <w:left w:val="single" w:sz="4" w:space="0" w:color="auto"/>
              <w:bottom w:val="single" w:sz="4" w:space="0" w:color="auto"/>
              <w:right w:val="single" w:sz="4" w:space="0" w:color="auto"/>
            </w:tcBorders>
          </w:tcPr>
          <w:p w14:paraId="530ADBB9" w14:textId="77777777" w:rsidR="00653571" w:rsidRPr="008C5F1C" w:rsidRDefault="00904C61" w:rsidP="00534127">
            <w:pPr>
              <w:rPr>
                <w:rFonts w:ascii="Times New Roman" w:hAnsi="Times New Roman" w:cs="Times New Roman"/>
                <w:iCs/>
                <w:sz w:val="16"/>
                <w:szCs w:val="16"/>
              </w:rPr>
            </w:pPr>
            <w:r w:rsidRPr="008C5F1C">
              <w:rPr>
                <w:rFonts w:ascii="Times New Roman" w:hAnsi="Times New Roman" w:cs="Times New Roman"/>
                <w:iCs/>
                <w:sz w:val="16"/>
                <w:szCs w:val="16"/>
              </w:rPr>
              <w:t>3</w:t>
            </w:r>
          </w:p>
        </w:tc>
        <w:tc>
          <w:tcPr>
            <w:tcW w:w="532" w:type="pct"/>
            <w:tcBorders>
              <w:top w:val="single" w:sz="4" w:space="0" w:color="auto"/>
              <w:left w:val="single" w:sz="4" w:space="0" w:color="auto"/>
              <w:bottom w:val="single" w:sz="4" w:space="0" w:color="auto"/>
              <w:right w:val="single" w:sz="4" w:space="0" w:color="auto"/>
            </w:tcBorders>
          </w:tcPr>
          <w:p w14:paraId="629C3C1F" w14:textId="77777777" w:rsidR="00653571" w:rsidRPr="008C5F1C" w:rsidRDefault="00653571" w:rsidP="00534127">
            <w:pPr>
              <w:rPr>
                <w:rFonts w:ascii="Times New Roman" w:hAnsi="Times New Roman" w:cs="Times New Roman"/>
                <w:iCs/>
                <w:sz w:val="16"/>
                <w:szCs w:val="16"/>
              </w:rPr>
            </w:pPr>
            <w:r w:rsidRPr="008C5F1C">
              <w:rPr>
                <w:rFonts w:ascii="Times New Roman" w:hAnsi="Times New Roman" w:cs="Times New Roman"/>
                <w:bCs/>
                <w:iCs/>
                <w:sz w:val="16"/>
                <w:szCs w:val="16"/>
              </w:rPr>
              <w:t>b (vii) Îmbun</w:t>
            </w:r>
            <w:r w:rsidR="00BA7827" w:rsidRPr="008C5F1C">
              <w:rPr>
                <w:rFonts w:ascii="Times New Roman" w:hAnsi="Times New Roman" w:cs="Times New Roman"/>
                <w:bCs/>
                <w:iCs/>
                <w:sz w:val="16"/>
                <w:szCs w:val="16"/>
              </w:rPr>
              <w:t>ă</w:t>
            </w:r>
            <w:r w:rsidRPr="008C5F1C">
              <w:rPr>
                <w:rFonts w:ascii="Times New Roman" w:hAnsi="Times New Roman" w:cs="Times New Roman"/>
                <w:bCs/>
                <w:iCs/>
                <w:sz w:val="16"/>
                <w:szCs w:val="16"/>
              </w:rPr>
              <w:t>t</w:t>
            </w:r>
            <w:r w:rsidR="00BA7827" w:rsidRPr="008C5F1C">
              <w:rPr>
                <w:rFonts w:ascii="Times New Roman" w:hAnsi="Times New Roman" w:cs="Times New Roman"/>
                <w:bCs/>
                <w:iCs/>
                <w:sz w:val="16"/>
                <w:szCs w:val="16"/>
              </w:rPr>
              <w:t>ă</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irea protec</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 xml:space="preserve">iei naturii </w:t>
            </w:r>
            <w:r w:rsidR="00106240" w:rsidRPr="008C5F1C">
              <w:rPr>
                <w:rFonts w:ascii="Times New Roman" w:hAnsi="Times New Roman" w:cs="Times New Roman"/>
                <w:bCs/>
                <w:iCs/>
                <w:sz w:val="16"/>
                <w:szCs w:val="16"/>
              </w:rPr>
              <w:t>ș</w:t>
            </w:r>
            <w:r w:rsidRPr="008C5F1C">
              <w:rPr>
                <w:rFonts w:ascii="Times New Roman" w:hAnsi="Times New Roman" w:cs="Times New Roman"/>
                <w:bCs/>
                <w:iCs/>
                <w:sz w:val="16"/>
                <w:szCs w:val="16"/>
              </w:rPr>
              <w:t>i a biodiversit</w:t>
            </w:r>
            <w:r w:rsidR="00BA7827" w:rsidRPr="008C5F1C">
              <w:rPr>
                <w:rFonts w:ascii="Times New Roman" w:hAnsi="Times New Roman" w:cs="Times New Roman"/>
                <w:bCs/>
                <w:iCs/>
                <w:sz w:val="16"/>
                <w:szCs w:val="16"/>
              </w:rPr>
              <w:t>ă</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 xml:space="preserve">ii, a infrastructurii verzi în special în mediul urban </w:t>
            </w:r>
            <w:r w:rsidR="00106240" w:rsidRPr="008C5F1C">
              <w:rPr>
                <w:rFonts w:ascii="Times New Roman" w:hAnsi="Times New Roman" w:cs="Times New Roman"/>
                <w:bCs/>
                <w:iCs/>
                <w:sz w:val="16"/>
                <w:szCs w:val="16"/>
              </w:rPr>
              <w:t>ș</w:t>
            </w:r>
            <w:r w:rsidRPr="008C5F1C">
              <w:rPr>
                <w:rFonts w:ascii="Times New Roman" w:hAnsi="Times New Roman" w:cs="Times New Roman"/>
                <w:bCs/>
                <w:iCs/>
                <w:sz w:val="16"/>
                <w:szCs w:val="16"/>
              </w:rPr>
              <w:t>i reducerea polu</w:t>
            </w:r>
            <w:r w:rsidR="00BA7827" w:rsidRPr="008C5F1C">
              <w:rPr>
                <w:rFonts w:ascii="Times New Roman" w:hAnsi="Times New Roman" w:cs="Times New Roman"/>
                <w:bCs/>
                <w:iCs/>
                <w:sz w:val="16"/>
                <w:szCs w:val="16"/>
              </w:rPr>
              <w:t>ă</w:t>
            </w:r>
            <w:r w:rsidRPr="008C5F1C">
              <w:rPr>
                <w:rFonts w:ascii="Times New Roman" w:hAnsi="Times New Roman" w:cs="Times New Roman"/>
                <w:bCs/>
                <w:iCs/>
                <w:sz w:val="16"/>
                <w:szCs w:val="16"/>
              </w:rPr>
              <w:t>rii</w:t>
            </w:r>
          </w:p>
        </w:tc>
        <w:tc>
          <w:tcPr>
            <w:tcW w:w="290" w:type="pct"/>
            <w:tcBorders>
              <w:top w:val="single" w:sz="4" w:space="0" w:color="auto"/>
              <w:left w:val="single" w:sz="4" w:space="0" w:color="auto"/>
              <w:bottom w:val="single" w:sz="4" w:space="0" w:color="auto"/>
              <w:right w:val="single" w:sz="4" w:space="0" w:color="auto"/>
            </w:tcBorders>
          </w:tcPr>
          <w:p w14:paraId="1EBB4B07" w14:textId="77777777" w:rsidR="00653571" w:rsidRPr="008C5F1C" w:rsidRDefault="00653571" w:rsidP="00534127">
            <w:pPr>
              <w:rPr>
                <w:rFonts w:ascii="Times New Roman" w:hAnsi="Times New Roman" w:cs="Times New Roman"/>
                <w:iCs/>
                <w:sz w:val="16"/>
                <w:szCs w:val="16"/>
              </w:rPr>
            </w:pPr>
            <w:r w:rsidRPr="008C5F1C">
              <w:rPr>
                <w:rFonts w:ascii="Times New Roman" w:hAnsi="Times New Roman" w:cs="Times New Roman"/>
                <w:noProof/>
                <w:sz w:val="16"/>
                <w:szCs w:val="16"/>
              </w:rPr>
              <w:t>FEDR</w:t>
            </w:r>
          </w:p>
        </w:tc>
        <w:tc>
          <w:tcPr>
            <w:tcW w:w="406" w:type="pct"/>
            <w:tcBorders>
              <w:top w:val="single" w:sz="4" w:space="0" w:color="auto"/>
              <w:left w:val="single" w:sz="4" w:space="0" w:color="auto"/>
              <w:bottom w:val="single" w:sz="4" w:space="0" w:color="auto"/>
              <w:right w:val="single" w:sz="4" w:space="0" w:color="auto"/>
            </w:tcBorders>
          </w:tcPr>
          <w:p w14:paraId="123A1640" w14:textId="77777777" w:rsidR="00653571" w:rsidRPr="008C5F1C" w:rsidRDefault="00653571" w:rsidP="00534127">
            <w:pPr>
              <w:rPr>
                <w:rFonts w:ascii="Times New Roman" w:hAnsi="Times New Roman" w:cs="Times New Roman"/>
                <w:iCs/>
                <w:sz w:val="16"/>
                <w:szCs w:val="16"/>
              </w:rPr>
            </w:pPr>
            <w:r w:rsidRPr="008C5F1C">
              <w:rPr>
                <w:rFonts w:ascii="Times New Roman" w:hAnsi="Times New Roman" w:cs="Times New Roman"/>
                <w:noProof/>
                <w:sz w:val="16"/>
                <w:szCs w:val="16"/>
              </w:rPr>
              <w:t>Mai pu</w:t>
            </w:r>
            <w:r w:rsidR="00E22FF2" w:rsidRPr="008C5F1C">
              <w:rPr>
                <w:rFonts w:ascii="Times New Roman" w:hAnsi="Times New Roman" w:cs="Times New Roman"/>
                <w:noProof/>
                <w:sz w:val="16"/>
                <w:szCs w:val="16"/>
              </w:rPr>
              <w:t>ț</w:t>
            </w:r>
            <w:r w:rsidRPr="008C5F1C">
              <w:rPr>
                <w:rFonts w:ascii="Times New Roman" w:hAnsi="Times New Roman" w:cs="Times New Roman"/>
                <w:noProof/>
                <w:sz w:val="16"/>
                <w:szCs w:val="16"/>
              </w:rPr>
              <w:t>in dezvoltate</w:t>
            </w:r>
          </w:p>
        </w:tc>
        <w:tc>
          <w:tcPr>
            <w:tcW w:w="249" w:type="pct"/>
            <w:tcBorders>
              <w:top w:val="single" w:sz="4" w:space="0" w:color="auto"/>
              <w:left w:val="single" w:sz="4" w:space="0" w:color="auto"/>
              <w:bottom w:val="single" w:sz="4" w:space="0" w:color="auto"/>
              <w:right w:val="single" w:sz="4" w:space="0" w:color="auto"/>
            </w:tcBorders>
          </w:tcPr>
          <w:p w14:paraId="59744C65" w14:textId="77777777" w:rsidR="00653571" w:rsidRPr="008C5F1C" w:rsidRDefault="00653571" w:rsidP="00534127">
            <w:pPr>
              <w:rPr>
                <w:rFonts w:ascii="Times New Roman" w:hAnsi="Times New Roman" w:cs="Times New Roman"/>
                <w:iCs/>
                <w:sz w:val="16"/>
                <w:szCs w:val="16"/>
              </w:rPr>
            </w:pPr>
            <w:r w:rsidRPr="008C5F1C">
              <w:rPr>
                <w:rFonts w:ascii="Times New Roman" w:hAnsi="Times New Roman" w:cs="Times New Roman"/>
                <w:iCs/>
                <w:sz w:val="16"/>
                <w:szCs w:val="16"/>
              </w:rPr>
              <w:t xml:space="preserve">RCR 95 </w:t>
            </w:r>
          </w:p>
          <w:p w14:paraId="5DA3B2E7" w14:textId="77777777" w:rsidR="00653571" w:rsidRPr="008C5F1C" w:rsidRDefault="00653571" w:rsidP="00534127">
            <w:pPr>
              <w:rPr>
                <w:rFonts w:ascii="Times New Roman" w:hAnsi="Times New Roman" w:cs="Times New Roman"/>
                <w:iCs/>
                <w:sz w:val="16"/>
                <w:szCs w:val="16"/>
              </w:rPr>
            </w:pPr>
          </w:p>
        </w:tc>
        <w:tc>
          <w:tcPr>
            <w:tcW w:w="538" w:type="pct"/>
            <w:tcBorders>
              <w:top w:val="single" w:sz="4" w:space="0" w:color="auto"/>
              <w:left w:val="single" w:sz="4" w:space="0" w:color="auto"/>
              <w:bottom w:val="single" w:sz="4" w:space="0" w:color="auto"/>
              <w:right w:val="single" w:sz="4" w:space="0" w:color="auto"/>
            </w:tcBorders>
          </w:tcPr>
          <w:p w14:paraId="6C133D8E" w14:textId="77777777" w:rsidR="00653571" w:rsidRPr="008C5F1C" w:rsidRDefault="00653571" w:rsidP="00534127">
            <w:pPr>
              <w:rPr>
                <w:rFonts w:ascii="Times New Roman" w:hAnsi="Times New Roman" w:cs="Times New Roman"/>
                <w:iCs/>
                <w:sz w:val="16"/>
                <w:szCs w:val="16"/>
              </w:rPr>
            </w:pPr>
            <w:r w:rsidRPr="008C5F1C">
              <w:rPr>
                <w:rFonts w:ascii="Times New Roman" w:hAnsi="Times New Roman" w:cs="Times New Roman"/>
                <w:iCs/>
                <w:sz w:val="16"/>
                <w:szCs w:val="16"/>
              </w:rPr>
              <w:t xml:space="preserve">RCR 95 – </w:t>
            </w:r>
            <w:proofErr w:type="spellStart"/>
            <w:r w:rsidR="00FF271B" w:rsidRPr="008C5F1C">
              <w:rPr>
                <w:rFonts w:ascii="Times New Roman" w:hAnsi="Times New Roman" w:cs="Times New Roman"/>
                <w:iCs/>
                <w:sz w:val="16"/>
                <w:szCs w:val="16"/>
              </w:rPr>
              <w:t>Population</w:t>
            </w:r>
            <w:proofErr w:type="spellEnd"/>
            <w:r w:rsidR="00FF271B" w:rsidRPr="008C5F1C">
              <w:rPr>
                <w:rFonts w:ascii="Times New Roman" w:hAnsi="Times New Roman" w:cs="Times New Roman"/>
                <w:iCs/>
                <w:sz w:val="16"/>
                <w:szCs w:val="16"/>
              </w:rPr>
              <w:t xml:space="preserve"> </w:t>
            </w:r>
            <w:proofErr w:type="spellStart"/>
            <w:r w:rsidR="00FF271B" w:rsidRPr="008C5F1C">
              <w:rPr>
                <w:rFonts w:ascii="Times New Roman" w:hAnsi="Times New Roman" w:cs="Times New Roman"/>
                <w:iCs/>
                <w:sz w:val="16"/>
                <w:szCs w:val="16"/>
              </w:rPr>
              <w:t>having</w:t>
            </w:r>
            <w:proofErr w:type="spellEnd"/>
            <w:r w:rsidR="00FF271B" w:rsidRPr="008C5F1C">
              <w:rPr>
                <w:rFonts w:ascii="Times New Roman" w:hAnsi="Times New Roman" w:cs="Times New Roman"/>
                <w:iCs/>
                <w:sz w:val="16"/>
                <w:szCs w:val="16"/>
              </w:rPr>
              <w:t xml:space="preserve"> </w:t>
            </w:r>
            <w:proofErr w:type="spellStart"/>
            <w:r w:rsidR="00FF271B" w:rsidRPr="008C5F1C">
              <w:rPr>
                <w:rFonts w:ascii="Times New Roman" w:hAnsi="Times New Roman" w:cs="Times New Roman"/>
                <w:iCs/>
                <w:sz w:val="16"/>
                <w:szCs w:val="16"/>
              </w:rPr>
              <w:t>access</w:t>
            </w:r>
            <w:proofErr w:type="spellEnd"/>
            <w:r w:rsidR="00FF271B" w:rsidRPr="008C5F1C">
              <w:rPr>
                <w:rFonts w:ascii="Times New Roman" w:hAnsi="Times New Roman" w:cs="Times New Roman"/>
                <w:iCs/>
                <w:sz w:val="16"/>
                <w:szCs w:val="16"/>
              </w:rPr>
              <w:t xml:space="preserve"> </w:t>
            </w:r>
            <w:proofErr w:type="spellStart"/>
            <w:r w:rsidR="00FF271B" w:rsidRPr="008C5F1C">
              <w:rPr>
                <w:rFonts w:ascii="Times New Roman" w:hAnsi="Times New Roman" w:cs="Times New Roman"/>
                <w:iCs/>
                <w:sz w:val="16"/>
                <w:szCs w:val="16"/>
              </w:rPr>
              <w:t>to</w:t>
            </w:r>
            <w:proofErr w:type="spellEnd"/>
            <w:r w:rsidR="00FF271B" w:rsidRPr="008C5F1C">
              <w:rPr>
                <w:rFonts w:ascii="Times New Roman" w:hAnsi="Times New Roman" w:cs="Times New Roman"/>
                <w:iCs/>
                <w:sz w:val="16"/>
                <w:szCs w:val="16"/>
              </w:rPr>
              <w:t xml:space="preserve"> </w:t>
            </w:r>
            <w:proofErr w:type="spellStart"/>
            <w:r w:rsidR="00FF271B" w:rsidRPr="008C5F1C">
              <w:rPr>
                <w:rFonts w:ascii="Times New Roman" w:hAnsi="Times New Roman" w:cs="Times New Roman"/>
                <w:iCs/>
                <w:sz w:val="16"/>
                <w:szCs w:val="16"/>
              </w:rPr>
              <w:t>new</w:t>
            </w:r>
            <w:proofErr w:type="spellEnd"/>
            <w:r w:rsidR="00FF271B" w:rsidRPr="008C5F1C">
              <w:rPr>
                <w:rFonts w:ascii="Times New Roman" w:hAnsi="Times New Roman" w:cs="Times New Roman"/>
                <w:iCs/>
                <w:sz w:val="16"/>
                <w:szCs w:val="16"/>
              </w:rPr>
              <w:t xml:space="preserve"> or </w:t>
            </w:r>
            <w:proofErr w:type="spellStart"/>
            <w:r w:rsidR="00FF271B" w:rsidRPr="008C5F1C">
              <w:rPr>
                <w:rFonts w:ascii="Times New Roman" w:hAnsi="Times New Roman" w:cs="Times New Roman"/>
                <w:iCs/>
                <w:sz w:val="16"/>
                <w:szCs w:val="16"/>
              </w:rPr>
              <w:t>improved</w:t>
            </w:r>
            <w:proofErr w:type="spellEnd"/>
            <w:r w:rsidR="00FF271B" w:rsidRPr="008C5F1C">
              <w:rPr>
                <w:rFonts w:ascii="Times New Roman" w:hAnsi="Times New Roman" w:cs="Times New Roman"/>
                <w:iCs/>
                <w:sz w:val="16"/>
                <w:szCs w:val="16"/>
              </w:rPr>
              <w:t xml:space="preserve"> </w:t>
            </w:r>
            <w:proofErr w:type="spellStart"/>
            <w:r w:rsidR="00FF271B" w:rsidRPr="008C5F1C">
              <w:rPr>
                <w:rFonts w:ascii="Times New Roman" w:hAnsi="Times New Roman" w:cs="Times New Roman"/>
                <w:iCs/>
                <w:sz w:val="16"/>
                <w:szCs w:val="16"/>
              </w:rPr>
              <w:t>green</w:t>
            </w:r>
            <w:proofErr w:type="spellEnd"/>
            <w:r w:rsidR="00FF271B" w:rsidRPr="008C5F1C">
              <w:rPr>
                <w:rFonts w:ascii="Times New Roman" w:hAnsi="Times New Roman" w:cs="Times New Roman"/>
                <w:iCs/>
                <w:sz w:val="16"/>
                <w:szCs w:val="16"/>
              </w:rPr>
              <w:t xml:space="preserve"> </w:t>
            </w:r>
            <w:proofErr w:type="spellStart"/>
            <w:r w:rsidR="00FF271B" w:rsidRPr="008C5F1C">
              <w:rPr>
                <w:rFonts w:ascii="Times New Roman" w:hAnsi="Times New Roman" w:cs="Times New Roman"/>
                <w:iCs/>
                <w:sz w:val="16"/>
                <w:szCs w:val="16"/>
              </w:rPr>
              <w:t>infrastructure</w:t>
            </w:r>
            <w:proofErr w:type="spellEnd"/>
            <w:r w:rsidR="00FF271B" w:rsidRPr="008C5F1C">
              <w:rPr>
                <w:rFonts w:ascii="Times New Roman" w:hAnsi="Times New Roman" w:cs="Times New Roman"/>
                <w:iCs/>
                <w:sz w:val="16"/>
                <w:szCs w:val="16"/>
              </w:rPr>
              <w:t>*</w:t>
            </w:r>
          </w:p>
        </w:tc>
        <w:tc>
          <w:tcPr>
            <w:tcW w:w="538" w:type="pct"/>
            <w:tcBorders>
              <w:top w:val="single" w:sz="4" w:space="0" w:color="auto"/>
              <w:left w:val="single" w:sz="4" w:space="0" w:color="auto"/>
              <w:bottom w:val="single" w:sz="4" w:space="0" w:color="auto"/>
              <w:right w:val="single" w:sz="4" w:space="0" w:color="auto"/>
            </w:tcBorders>
          </w:tcPr>
          <w:p w14:paraId="392D512B" w14:textId="77777777" w:rsidR="00653571" w:rsidRPr="008C5F1C" w:rsidRDefault="00B751A1" w:rsidP="00534127">
            <w:pPr>
              <w:rPr>
                <w:rFonts w:ascii="Times New Roman" w:hAnsi="Times New Roman" w:cs="Times New Roman"/>
                <w:iCs/>
                <w:sz w:val="16"/>
                <w:szCs w:val="16"/>
              </w:rPr>
            </w:pPr>
            <w:r w:rsidRPr="008C5F1C">
              <w:rPr>
                <w:rFonts w:ascii="Times New Roman" w:hAnsi="Times New Roman" w:cs="Times New Roman"/>
                <w:iCs/>
                <w:sz w:val="16"/>
                <w:szCs w:val="16"/>
              </w:rPr>
              <w:t>Persoane</w:t>
            </w:r>
          </w:p>
        </w:tc>
        <w:tc>
          <w:tcPr>
            <w:tcW w:w="397" w:type="pct"/>
            <w:tcBorders>
              <w:top w:val="single" w:sz="4" w:space="0" w:color="auto"/>
              <w:left w:val="single" w:sz="4" w:space="0" w:color="auto"/>
              <w:bottom w:val="single" w:sz="4" w:space="0" w:color="auto"/>
              <w:right w:val="single" w:sz="4" w:space="0" w:color="auto"/>
            </w:tcBorders>
          </w:tcPr>
          <w:p w14:paraId="1A8FBDB5" w14:textId="77777777" w:rsidR="00653571" w:rsidRPr="008C5F1C" w:rsidRDefault="00C70A5E" w:rsidP="00534127">
            <w:pPr>
              <w:rPr>
                <w:rFonts w:ascii="Times New Roman" w:hAnsi="Times New Roman" w:cs="Times New Roman"/>
                <w:iCs/>
                <w:sz w:val="16"/>
                <w:szCs w:val="16"/>
              </w:rPr>
            </w:pPr>
            <w:r w:rsidRPr="008C5F1C">
              <w:rPr>
                <w:rFonts w:ascii="Times New Roman" w:hAnsi="Times New Roman" w:cs="Times New Roman"/>
                <w:iCs/>
                <w:sz w:val="16"/>
                <w:szCs w:val="16"/>
              </w:rPr>
              <w:t>0</w:t>
            </w:r>
          </w:p>
        </w:tc>
        <w:tc>
          <w:tcPr>
            <w:tcW w:w="418" w:type="pct"/>
            <w:tcBorders>
              <w:top w:val="single" w:sz="4" w:space="0" w:color="auto"/>
              <w:left w:val="single" w:sz="4" w:space="0" w:color="auto"/>
              <w:bottom w:val="single" w:sz="4" w:space="0" w:color="auto"/>
              <w:right w:val="single" w:sz="4" w:space="0" w:color="auto"/>
            </w:tcBorders>
          </w:tcPr>
          <w:p w14:paraId="176D8F7D" w14:textId="77777777" w:rsidR="00653571" w:rsidRPr="00AB2458" w:rsidRDefault="00C70A5E" w:rsidP="00534127">
            <w:pPr>
              <w:rPr>
                <w:rFonts w:ascii="Times New Roman" w:hAnsi="Times New Roman" w:cs="Times New Roman"/>
                <w:bCs/>
                <w:iCs/>
                <w:sz w:val="16"/>
                <w:szCs w:val="16"/>
              </w:rPr>
            </w:pPr>
            <w:r w:rsidRPr="00AB2458">
              <w:rPr>
                <w:rFonts w:ascii="Times New Roman" w:hAnsi="Times New Roman" w:cs="Times New Roman"/>
                <w:bCs/>
                <w:iCs/>
                <w:sz w:val="16"/>
                <w:szCs w:val="16"/>
              </w:rPr>
              <w:t>2021</w:t>
            </w:r>
          </w:p>
        </w:tc>
        <w:tc>
          <w:tcPr>
            <w:tcW w:w="546" w:type="pct"/>
            <w:tcBorders>
              <w:top w:val="single" w:sz="4" w:space="0" w:color="auto"/>
              <w:left w:val="single" w:sz="4" w:space="0" w:color="auto"/>
              <w:bottom w:val="single" w:sz="4" w:space="0" w:color="auto"/>
              <w:right w:val="single" w:sz="4" w:space="0" w:color="auto"/>
            </w:tcBorders>
          </w:tcPr>
          <w:p w14:paraId="612673DE" w14:textId="1A8AD5A0" w:rsidR="00653571" w:rsidRPr="00AB2458" w:rsidRDefault="009B746B" w:rsidP="00534127">
            <w:pPr>
              <w:rPr>
                <w:rFonts w:ascii="Times New Roman" w:hAnsi="Times New Roman" w:cs="Times New Roman"/>
                <w:bCs/>
                <w:iCs/>
                <w:sz w:val="16"/>
                <w:szCs w:val="16"/>
              </w:rPr>
            </w:pPr>
            <w:r w:rsidRPr="00AB2458">
              <w:rPr>
                <w:rFonts w:ascii="Times New Roman" w:hAnsi="Times New Roman" w:cs="Times New Roman"/>
                <w:bCs/>
                <w:iCs/>
                <w:sz w:val="16"/>
                <w:szCs w:val="16"/>
              </w:rPr>
              <w:t>34.360</w:t>
            </w:r>
          </w:p>
        </w:tc>
        <w:tc>
          <w:tcPr>
            <w:tcW w:w="377" w:type="pct"/>
            <w:tcBorders>
              <w:top w:val="single" w:sz="4" w:space="0" w:color="auto"/>
              <w:left w:val="single" w:sz="4" w:space="0" w:color="auto"/>
              <w:bottom w:val="single" w:sz="4" w:space="0" w:color="auto"/>
              <w:right w:val="single" w:sz="4" w:space="0" w:color="auto"/>
            </w:tcBorders>
          </w:tcPr>
          <w:p w14:paraId="72E5B641" w14:textId="77777777" w:rsidR="00653571" w:rsidRPr="008C5F1C" w:rsidRDefault="00B11C00" w:rsidP="00534127">
            <w:pPr>
              <w:rPr>
                <w:rFonts w:ascii="Times New Roman" w:hAnsi="Times New Roman" w:cs="Times New Roman"/>
                <w:iCs/>
                <w:sz w:val="16"/>
                <w:szCs w:val="16"/>
              </w:rPr>
            </w:pPr>
            <w:r w:rsidRPr="008C5F1C">
              <w:rPr>
                <w:rFonts w:ascii="Times New Roman" w:hAnsi="Times New Roman" w:cs="Times New Roman"/>
                <w:iCs/>
                <w:sz w:val="16"/>
                <w:szCs w:val="16"/>
              </w:rPr>
              <w:t xml:space="preserve">RAI </w:t>
            </w:r>
          </w:p>
          <w:p w14:paraId="1B37F41A" w14:textId="66E2D901" w:rsidR="00B11C00" w:rsidRPr="008C5F1C" w:rsidRDefault="00B11C00" w:rsidP="00534127">
            <w:pPr>
              <w:rPr>
                <w:rFonts w:ascii="Times New Roman" w:hAnsi="Times New Roman" w:cs="Times New Roman"/>
                <w:iCs/>
                <w:sz w:val="16"/>
                <w:szCs w:val="16"/>
              </w:rPr>
            </w:pPr>
            <w:proofErr w:type="spellStart"/>
            <w:r w:rsidRPr="008C5F1C">
              <w:rPr>
                <w:rFonts w:ascii="Times New Roman" w:hAnsi="Times New Roman" w:cs="Times New Roman"/>
                <w:iCs/>
                <w:sz w:val="16"/>
                <w:szCs w:val="16"/>
              </w:rPr>
              <w:t>MySMIS</w:t>
            </w:r>
            <w:proofErr w:type="spellEnd"/>
          </w:p>
        </w:tc>
        <w:tc>
          <w:tcPr>
            <w:tcW w:w="357" w:type="pct"/>
            <w:tcBorders>
              <w:top w:val="single" w:sz="4" w:space="0" w:color="auto"/>
              <w:left w:val="single" w:sz="4" w:space="0" w:color="auto"/>
              <w:bottom w:val="single" w:sz="4" w:space="0" w:color="auto"/>
              <w:right w:val="single" w:sz="4" w:space="0" w:color="auto"/>
            </w:tcBorders>
          </w:tcPr>
          <w:p w14:paraId="4C9C44DD" w14:textId="15E42910" w:rsidR="00653571" w:rsidRPr="008C5F1C" w:rsidRDefault="00B11C00" w:rsidP="00534127">
            <w:pPr>
              <w:rPr>
                <w:rFonts w:ascii="Times New Roman" w:hAnsi="Times New Roman" w:cs="Times New Roman"/>
                <w:iCs/>
                <w:sz w:val="16"/>
                <w:szCs w:val="16"/>
              </w:rPr>
            </w:pPr>
            <w:r w:rsidRPr="008C5F1C">
              <w:rPr>
                <w:rFonts w:ascii="Times New Roman" w:hAnsi="Times New Roman" w:cs="Times New Roman"/>
                <w:iCs/>
                <w:sz w:val="16"/>
                <w:szCs w:val="16"/>
              </w:rPr>
              <w:t xml:space="preserve">50% din </w:t>
            </w:r>
            <w:proofErr w:type="spellStart"/>
            <w:r w:rsidRPr="008C5F1C">
              <w:rPr>
                <w:rFonts w:ascii="Times New Roman" w:hAnsi="Times New Roman" w:cs="Times New Roman"/>
                <w:iCs/>
                <w:sz w:val="16"/>
                <w:szCs w:val="16"/>
              </w:rPr>
              <w:t>populatia</w:t>
            </w:r>
            <w:proofErr w:type="spellEnd"/>
            <w:r w:rsidRPr="008C5F1C">
              <w:rPr>
                <w:rFonts w:ascii="Times New Roman" w:hAnsi="Times New Roman" w:cs="Times New Roman"/>
                <w:iCs/>
                <w:sz w:val="16"/>
                <w:szCs w:val="16"/>
              </w:rPr>
              <w:t xml:space="preserve"> urbana a regiunii</w:t>
            </w:r>
          </w:p>
        </w:tc>
      </w:tr>
    </w:tbl>
    <w:p w14:paraId="0EB67696" w14:textId="77777777" w:rsidR="00653571" w:rsidRPr="008C5F1C" w:rsidRDefault="00653571" w:rsidP="00653571">
      <w:pPr>
        <w:rPr>
          <w:rFonts w:ascii="Times New Roman" w:hAnsi="Times New Roman" w:cs="Times New Roman"/>
          <w:b/>
          <w:iCs/>
        </w:rPr>
      </w:pPr>
      <w:r w:rsidRPr="008C5F1C">
        <w:rPr>
          <w:rFonts w:ascii="Times New Roman" w:hAnsi="Times New Roman" w:cs="Times New Roman"/>
          <w:i/>
        </w:rPr>
        <w:t xml:space="preserve">[Point 2.1.1.3 in </w:t>
      </w:r>
      <w:proofErr w:type="spellStart"/>
      <w:r w:rsidRPr="008C5F1C">
        <w:rPr>
          <w:rFonts w:ascii="Times New Roman" w:hAnsi="Times New Roman" w:cs="Times New Roman"/>
          <w:i/>
        </w:rPr>
        <w:t>the</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Commission</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proposal</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has</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been</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moved</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up</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following</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changes</w:t>
      </w:r>
      <w:proofErr w:type="spellEnd"/>
      <w:r w:rsidRPr="008C5F1C">
        <w:rPr>
          <w:rFonts w:ascii="Times New Roman" w:hAnsi="Times New Roman" w:cs="Times New Roman"/>
          <w:i/>
        </w:rPr>
        <w:t xml:space="preserve"> in </w:t>
      </w:r>
      <w:proofErr w:type="spellStart"/>
      <w:r w:rsidRPr="008C5F1C">
        <w:rPr>
          <w:rFonts w:ascii="Times New Roman" w:hAnsi="Times New Roman" w:cs="Times New Roman"/>
          <w:i/>
        </w:rPr>
        <w:t>Article</w:t>
      </w:r>
      <w:proofErr w:type="spellEnd"/>
      <w:r w:rsidRPr="008C5F1C">
        <w:rPr>
          <w:rFonts w:ascii="Times New Roman" w:hAnsi="Times New Roman" w:cs="Times New Roman"/>
          <w:i/>
        </w:rPr>
        <w:t xml:space="preserve"> 17(3)(c) CPR </w:t>
      </w:r>
      <w:proofErr w:type="spellStart"/>
      <w:r w:rsidRPr="008C5F1C">
        <w:rPr>
          <w:rFonts w:ascii="Times New Roman" w:hAnsi="Times New Roman" w:cs="Times New Roman"/>
          <w:i/>
        </w:rPr>
        <w:t>and</w:t>
      </w:r>
      <w:proofErr w:type="spellEnd"/>
      <w:r w:rsidRPr="008C5F1C">
        <w:rPr>
          <w:rFonts w:ascii="Times New Roman" w:hAnsi="Times New Roman" w:cs="Times New Roman"/>
          <w:i/>
        </w:rPr>
        <w:t xml:space="preserve"> it </w:t>
      </w:r>
      <w:proofErr w:type="spellStart"/>
      <w:r w:rsidRPr="008C5F1C">
        <w:rPr>
          <w:rFonts w:ascii="Times New Roman" w:hAnsi="Times New Roman" w:cs="Times New Roman"/>
          <w:i/>
        </w:rPr>
        <w:t>is</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now</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point</w:t>
      </w:r>
      <w:proofErr w:type="spellEnd"/>
      <w:r w:rsidRPr="008C5F1C">
        <w:rPr>
          <w:rFonts w:ascii="Times New Roman" w:hAnsi="Times New Roman" w:cs="Times New Roman"/>
          <w:i/>
        </w:rPr>
        <w:t xml:space="preserve"> 2.1.1.bis]</w:t>
      </w:r>
    </w:p>
    <w:p w14:paraId="08F001B5" w14:textId="77777777" w:rsidR="00653571" w:rsidRPr="008C5F1C" w:rsidRDefault="00653571" w:rsidP="00653571">
      <w:pPr>
        <w:rPr>
          <w:rFonts w:ascii="Times New Roman" w:hAnsi="Times New Roman" w:cs="Times New Roman"/>
          <w:b/>
        </w:rPr>
      </w:pPr>
      <w:r w:rsidRPr="008C5F1C">
        <w:rPr>
          <w:rFonts w:ascii="Times New Roman" w:hAnsi="Times New Roman" w:cs="Times New Roman"/>
          <w:b/>
        </w:rPr>
        <w:t xml:space="preserve">2.B.1.2. </w:t>
      </w:r>
      <w:proofErr w:type="spellStart"/>
      <w:r w:rsidRPr="008C5F1C">
        <w:rPr>
          <w:rFonts w:ascii="Times New Roman" w:hAnsi="Times New Roman" w:cs="Times New Roman"/>
          <w:b/>
        </w:rPr>
        <w:t>Indicators</w:t>
      </w:r>
      <w:proofErr w:type="spellEnd"/>
      <w:r w:rsidRPr="008C5F1C">
        <w:rPr>
          <w:rFonts w:ascii="Times New Roman" w:hAnsi="Times New Roman" w:cs="Times New Roman"/>
          <w:b/>
        </w:rPr>
        <w:t xml:space="preserve"> </w:t>
      </w:r>
    </w:p>
    <w:p w14:paraId="7A7E2C7B" w14:textId="77777777" w:rsidR="00653571" w:rsidRPr="008C5F1C" w:rsidRDefault="00653571" w:rsidP="00653571">
      <w:pPr>
        <w:rPr>
          <w:rFonts w:ascii="Times New Roman" w:hAnsi="Times New Roman" w:cs="Times New Roman"/>
          <w:b/>
          <w:bCs/>
        </w:rPr>
      </w:pPr>
      <w:r w:rsidRPr="008C5F1C">
        <w:rPr>
          <w:rFonts w:ascii="Times New Roman" w:hAnsi="Times New Roman" w:cs="Times New Roman"/>
          <w:b/>
        </w:rPr>
        <w:t xml:space="preserve">Output </w:t>
      </w:r>
      <w:proofErr w:type="spellStart"/>
      <w:r w:rsidRPr="008C5F1C">
        <w:rPr>
          <w:rFonts w:ascii="Times New Roman" w:hAnsi="Times New Roman" w:cs="Times New Roman"/>
          <w:b/>
        </w:rPr>
        <w:t>indicators</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with</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the</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corresponding</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milestones</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and</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targets</w:t>
      </w:r>
      <w:proofErr w:type="spellEnd"/>
      <w:r w:rsidRPr="008C5F1C">
        <w:rPr>
          <w:rFonts w:ascii="Times New Roman" w:hAnsi="Times New Roman" w:cs="Times New Roman"/>
          <w:b/>
        </w:rPr>
        <w:t xml:space="preserve"> – </w:t>
      </w:r>
      <w:proofErr w:type="spellStart"/>
      <w:r w:rsidRPr="008C5F1C">
        <w:rPr>
          <w:rFonts w:ascii="Times New Roman" w:hAnsi="Times New Roman" w:cs="Times New Roman"/>
          <w:b/>
        </w:rPr>
        <w:t>Article</w:t>
      </w:r>
      <w:proofErr w:type="spellEnd"/>
      <w:r w:rsidRPr="008C5F1C">
        <w:rPr>
          <w:rFonts w:ascii="Times New Roman" w:hAnsi="Times New Roman" w:cs="Times New Roman"/>
          <w:b/>
        </w:rPr>
        <w:t xml:space="preserve"> 17(3)(e)bis(ii)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4"/>
        <w:gridCol w:w="1034"/>
        <w:gridCol w:w="587"/>
        <w:gridCol w:w="857"/>
        <w:gridCol w:w="403"/>
        <w:gridCol w:w="2290"/>
        <w:gridCol w:w="1204"/>
        <w:gridCol w:w="1126"/>
        <w:gridCol w:w="1363"/>
      </w:tblGrid>
      <w:tr w:rsidR="00653571" w:rsidRPr="008C5F1C" w14:paraId="45C84BAA" w14:textId="77777777" w:rsidTr="00534127">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557D5F92" w14:textId="77777777" w:rsidR="00653571" w:rsidRPr="008C5F1C" w:rsidRDefault="00653571" w:rsidP="00534127">
            <w:pPr>
              <w:rPr>
                <w:rFonts w:ascii="Times New Roman" w:hAnsi="Times New Roman" w:cs="Times New Roman"/>
                <w:b/>
              </w:rPr>
            </w:pPr>
            <w:r w:rsidRPr="008C5F1C">
              <w:rPr>
                <w:rFonts w:ascii="Times New Roman" w:hAnsi="Times New Roman" w:cs="Times New Roman"/>
                <w:b/>
                <w:iCs/>
              </w:rPr>
              <w:t xml:space="preserve">Table 2: Output </w:t>
            </w:r>
            <w:proofErr w:type="spellStart"/>
            <w:r w:rsidRPr="008C5F1C">
              <w:rPr>
                <w:rFonts w:ascii="Times New Roman" w:hAnsi="Times New Roman" w:cs="Times New Roman"/>
                <w:b/>
                <w:iCs/>
              </w:rPr>
              <w:t>indicators</w:t>
            </w:r>
            <w:proofErr w:type="spellEnd"/>
          </w:p>
        </w:tc>
      </w:tr>
      <w:tr w:rsidR="00653571" w:rsidRPr="008C5F1C" w14:paraId="48DC8B69" w14:textId="77777777" w:rsidTr="00904C61">
        <w:trPr>
          <w:trHeight w:val="1647"/>
        </w:trPr>
        <w:tc>
          <w:tcPr>
            <w:tcW w:w="397" w:type="pct"/>
            <w:tcBorders>
              <w:top w:val="single" w:sz="4" w:space="0" w:color="auto"/>
              <w:left w:val="single" w:sz="4" w:space="0" w:color="auto"/>
              <w:bottom w:val="single" w:sz="4" w:space="0" w:color="auto"/>
              <w:right w:val="single" w:sz="4" w:space="0" w:color="auto"/>
            </w:tcBorders>
            <w:hideMark/>
          </w:tcPr>
          <w:p w14:paraId="300B9A9E"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Priority</w:t>
            </w:r>
            <w:proofErr w:type="spellEnd"/>
            <w:r w:rsidRPr="008C5F1C">
              <w:rPr>
                <w:rFonts w:ascii="Times New Roman" w:hAnsi="Times New Roman" w:cs="Times New Roman"/>
                <w:b/>
                <w:sz w:val="16"/>
                <w:szCs w:val="16"/>
              </w:rPr>
              <w:t xml:space="preserve"> </w:t>
            </w:r>
          </w:p>
        </w:tc>
        <w:tc>
          <w:tcPr>
            <w:tcW w:w="537" w:type="pct"/>
            <w:tcBorders>
              <w:top w:val="single" w:sz="4" w:space="0" w:color="auto"/>
              <w:left w:val="single" w:sz="4" w:space="0" w:color="auto"/>
              <w:bottom w:val="single" w:sz="4" w:space="0" w:color="auto"/>
              <w:right w:val="single" w:sz="4" w:space="0" w:color="auto"/>
            </w:tcBorders>
            <w:hideMark/>
          </w:tcPr>
          <w:p w14:paraId="48375B6A"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 xml:space="preserve">Specific </w:t>
            </w:r>
            <w:proofErr w:type="spellStart"/>
            <w:r w:rsidRPr="008C5F1C">
              <w:rPr>
                <w:rFonts w:ascii="Times New Roman" w:hAnsi="Times New Roman" w:cs="Times New Roman"/>
                <w:b/>
                <w:sz w:val="16"/>
                <w:szCs w:val="16"/>
              </w:rPr>
              <w:t>objective</w:t>
            </w:r>
            <w:proofErr w:type="spellEnd"/>
            <w:r w:rsidRPr="008C5F1C">
              <w:rPr>
                <w:rFonts w:ascii="Times New Roman" w:hAnsi="Times New Roman" w:cs="Times New Roman"/>
                <w:b/>
                <w:sz w:val="16"/>
                <w:szCs w:val="16"/>
              </w:rPr>
              <w:t xml:space="preserve"> (Investment for </w:t>
            </w:r>
            <w:proofErr w:type="spellStart"/>
            <w:r w:rsidRPr="008C5F1C">
              <w:rPr>
                <w:rFonts w:ascii="Times New Roman" w:hAnsi="Times New Roman" w:cs="Times New Roman"/>
                <w:b/>
                <w:sz w:val="16"/>
                <w:szCs w:val="16"/>
              </w:rPr>
              <w:t>Jobs</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and</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Growth</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goal</w:t>
            </w:r>
            <w:proofErr w:type="spellEnd"/>
            <w:r w:rsidRPr="008C5F1C">
              <w:rPr>
                <w:rFonts w:ascii="Times New Roman" w:hAnsi="Times New Roman" w:cs="Times New Roman"/>
                <w:b/>
                <w:sz w:val="16"/>
                <w:szCs w:val="16"/>
              </w:rPr>
              <w:t xml:space="preserve"> EMFF)</w:t>
            </w:r>
          </w:p>
        </w:tc>
        <w:tc>
          <w:tcPr>
            <w:tcW w:w="305" w:type="pct"/>
            <w:tcBorders>
              <w:top w:val="single" w:sz="4" w:space="0" w:color="auto"/>
              <w:left w:val="single" w:sz="4" w:space="0" w:color="auto"/>
              <w:bottom w:val="single" w:sz="4" w:space="0" w:color="auto"/>
              <w:right w:val="single" w:sz="4" w:space="0" w:color="auto"/>
            </w:tcBorders>
            <w:hideMark/>
          </w:tcPr>
          <w:p w14:paraId="0EBADE4F"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Fund</w:t>
            </w:r>
          </w:p>
        </w:tc>
        <w:tc>
          <w:tcPr>
            <w:tcW w:w="445" w:type="pct"/>
            <w:tcBorders>
              <w:top w:val="single" w:sz="4" w:space="0" w:color="auto"/>
              <w:left w:val="single" w:sz="4" w:space="0" w:color="auto"/>
              <w:bottom w:val="single" w:sz="4" w:space="0" w:color="auto"/>
              <w:right w:val="single" w:sz="4" w:space="0" w:color="auto"/>
            </w:tcBorders>
            <w:hideMark/>
          </w:tcPr>
          <w:p w14:paraId="31EF2649"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Category</w:t>
            </w:r>
            <w:proofErr w:type="spellEnd"/>
            <w:r w:rsidRPr="008C5F1C">
              <w:rPr>
                <w:rFonts w:ascii="Times New Roman" w:hAnsi="Times New Roman" w:cs="Times New Roman"/>
                <w:b/>
                <w:sz w:val="16"/>
                <w:szCs w:val="16"/>
              </w:rPr>
              <w:t xml:space="preserve"> of </w:t>
            </w:r>
            <w:proofErr w:type="spellStart"/>
            <w:r w:rsidRPr="008C5F1C">
              <w:rPr>
                <w:rFonts w:ascii="Times New Roman" w:hAnsi="Times New Roman" w:cs="Times New Roman"/>
                <w:b/>
                <w:sz w:val="16"/>
                <w:szCs w:val="16"/>
              </w:rPr>
              <w:t>region</w:t>
            </w:r>
            <w:proofErr w:type="spellEnd"/>
          </w:p>
        </w:tc>
        <w:tc>
          <w:tcPr>
            <w:tcW w:w="209" w:type="pct"/>
            <w:tcBorders>
              <w:top w:val="single" w:sz="4" w:space="0" w:color="auto"/>
              <w:left w:val="single" w:sz="4" w:space="0" w:color="auto"/>
              <w:bottom w:val="single" w:sz="4" w:space="0" w:color="auto"/>
              <w:right w:val="single" w:sz="4" w:space="0" w:color="auto"/>
            </w:tcBorders>
            <w:hideMark/>
          </w:tcPr>
          <w:p w14:paraId="3E9C9117"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ID [5]</w:t>
            </w:r>
          </w:p>
        </w:tc>
        <w:tc>
          <w:tcPr>
            <w:tcW w:w="1189" w:type="pct"/>
            <w:tcBorders>
              <w:top w:val="single" w:sz="4" w:space="0" w:color="auto"/>
              <w:left w:val="single" w:sz="4" w:space="0" w:color="auto"/>
              <w:bottom w:val="single" w:sz="4" w:space="0" w:color="auto"/>
              <w:right w:val="single" w:sz="4" w:space="0" w:color="auto"/>
            </w:tcBorders>
            <w:hideMark/>
          </w:tcPr>
          <w:p w14:paraId="1776FFA4"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 xml:space="preserve">Indicator [255] </w:t>
            </w:r>
          </w:p>
        </w:tc>
        <w:tc>
          <w:tcPr>
            <w:tcW w:w="625" w:type="pct"/>
            <w:tcBorders>
              <w:top w:val="single" w:sz="4" w:space="0" w:color="auto"/>
              <w:left w:val="single" w:sz="4" w:space="0" w:color="auto"/>
              <w:bottom w:val="single" w:sz="4" w:space="0" w:color="auto"/>
              <w:right w:val="single" w:sz="4" w:space="0" w:color="auto"/>
            </w:tcBorders>
            <w:hideMark/>
          </w:tcPr>
          <w:p w14:paraId="4B39F9B7"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Measurement</w:t>
            </w:r>
            <w:proofErr w:type="spellEnd"/>
            <w:r w:rsidRPr="008C5F1C">
              <w:rPr>
                <w:rFonts w:ascii="Times New Roman" w:hAnsi="Times New Roman" w:cs="Times New Roman"/>
                <w:b/>
                <w:sz w:val="16"/>
                <w:szCs w:val="16"/>
              </w:rPr>
              <w:t xml:space="preserve"> unit</w:t>
            </w:r>
          </w:p>
        </w:tc>
        <w:tc>
          <w:tcPr>
            <w:tcW w:w="585" w:type="pct"/>
            <w:tcBorders>
              <w:top w:val="single" w:sz="4" w:space="0" w:color="auto"/>
              <w:left w:val="single" w:sz="4" w:space="0" w:color="auto"/>
              <w:bottom w:val="single" w:sz="4" w:space="0" w:color="auto"/>
              <w:right w:val="single" w:sz="4" w:space="0" w:color="auto"/>
            </w:tcBorders>
          </w:tcPr>
          <w:p w14:paraId="0A2DB1BB"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Milestone</w:t>
            </w:r>
            <w:proofErr w:type="spellEnd"/>
            <w:r w:rsidRPr="008C5F1C">
              <w:rPr>
                <w:rFonts w:ascii="Times New Roman" w:hAnsi="Times New Roman" w:cs="Times New Roman"/>
                <w:b/>
                <w:sz w:val="16"/>
                <w:szCs w:val="16"/>
              </w:rPr>
              <w:t xml:space="preserve"> (2024)</w:t>
            </w:r>
          </w:p>
          <w:p w14:paraId="16081B04" w14:textId="77777777" w:rsidR="00653571" w:rsidRPr="008C5F1C" w:rsidRDefault="00653571" w:rsidP="00534127">
            <w:pPr>
              <w:rPr>
                <w:rFonts w:ascii="Times New Roman" w:hAnsi="Times New Roman" w:cs="Times New Roman"/>
                <w:b/>
                <w:sz w:val="16"/>
                <w:szCs w:val="16"/>
              </w:rPr>
            </w:pPr>
          </w:p>
        </w:tc>
        <w:tc>
          <w:tcPr>
            <w:tcW w:w="708" w:type="pct"/>
            <w:tcBorders>
              <w:top w:val="single" w:sz="4" w:space="0" w:color="auto"/>
              <w:left w:val="single" w:sz="4" w:space="0" w:color="auto"/>
              <w:bottom w:val="single" w:sz="4" w:space="0" w:color="auto"/>
              <w:right w:val="single" w:sz="4" w:space="0" w:color="auto"/>
            </w:tcBorders>
          </w:tcPr>
          <w:p w14:paraId="50013840"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Target (2029)</w:t>
            </w:r>
          </w:p>
          <w:p w14:paraId="59D7DA3F" w14:textId="77777777" w:rsidR="00653571" w:rsidRPr="008C5F1C" w:rsidRDefault="00653571" w:rsidP="00534127">
            <w:pPr>
              <w:rPr>
                <w:rFonts w:ascii="Times New Roman" w:hAnsi="Times New Roman" w:cs="Times New Roman"/>
                <w:b/>
                <w:sz w:val="16"/>
                <w:szCs w:val="16"/>
              </w:rPr>
            </w:pPr>
          </w:p>
        </w:tc>
      </w:tr>
      <w:tr w:rsidR="00653571" w:rsidRPr="008C5F1C" w14:paraId="113A0634" w14:textId="77777777" w:rsidTr="00904C61">
        <w:trPr>
          <w:trHeight w:val="332"/>
        </w:trPr>
        <w:tc>
          <w:tcPr>
            <w:tcW w:w="397" w:type="pct"/>
            <w:tcBorders>
              <w:top w:val="single" w:sz="4" w:space="0" w:color="auto"/>
              <w:left w:val="single" w:sz="4" w:space="0" w:color="auto"/>
              <w:bottom w:val="single" w:sz="4" w:space="0" w:color="auto"/>
              <w:right w:val="single" w:sz="4" w:space="0" w:color="auto"/>
            </w:tcBorders>
          </w:tcPr>
          <w:p w14:paraId="4FDD23E5" w14:textId="77777777" w:rsidR="00653571" w:rsidRPr="008C5F1C" w:rsidRDefault="00653571" w:rsidP="00534127">
            <w:pPr>
              <w:rPr>
                <w:rFonts w:ascii="Times New Roman" w:hAnsi="Times New Roman" w:cs="Times New Roman"/>
                <w:b/>
                <w:i/>
                <w:sz w:val="16"/>
                <w:szCs w:val="16"/>
              </w:rPr>
            </w:pPr>
          </w:p>
        </w:tc>
        <w:tc>
          <w:tcPr>
            <w:tcW w:w="537" w:type="pct"/>
            <w:tcBorders>
              <w:top w:val="single" w:sz="4" w:space="0" w:color="auto"/>
              <w:left w:val="single" w:sz="4" w:space="0" w:color="auto"/>
              <w:bottom w:val="single" w:sz="4" w:space="0" w:color="auto"/>
              <w:right w:val="single" w:sz="4" w:space="0" w:color="auto"/>
            </w:tcBorders>
          </w:tcPr>
          <w:p w14:paraId="71B6DF7B" w14:textId="77777777" w:rsidR="00653571" w:rsidRPr="008C5F1C" w:rsidRDefault="00653571" w:rsidP="00534127">
            <w:pPr>
              <w:rPr>
                <w:rFonts w:ascii="Times New Roman" w:hAnsi="Times New Roman" w:cs="Times New Roman"/>
                <w:b/>
                <w:i/>
                <w:sz w:val="16"/>
                <w:szCs w:val="16"/>
              </w:rPr>
            </w:pPr>
          </w:p>
        </w:tc>
        <w:tc>
          <w:tcPr>
            <w:tcW w:w="305" w:type="pct"/>
            <w:tcBorders>
              <w:top w:val="single" w:sz="4" w:space="0" w:color="auto"/>
              <w:left w:val="single" w:sz="4" w:space="0" w:color="auto"/>
              <w:bottom w:val="single" w:sz="4" w:space="0" w:color="auto"/>
              <w:right w:val="single" w:sz="4" w:space="0" w:color="auto"/>
            </w:tcBorders>
          </w:tcPr>
          <w:p w14:paraId="0FA862FA" w14:textId="77777777" w:rsidR="00653571" w:rsidRPr="008C5F1C" w:rsidRDefault="00653571" w:rsidP="00534127">
            <w:pPr>
              <w:rPr>
                <w:rFonts w:ascii="Times New Roman" w:hAnsi="Times New Roman" w:cs="Times New Roman"/>
                <w:b/>
                <w:i/>
                <w:sz w:val="16"/>
                <w:szCs w:val="16"/>
              </w:rPr>
            </w:pPr>
          </w:p>
        </w:tc>
        <w:tc>
          <w:tcPr>
            <w:tcW w:w="445" w:type="pct"/>
            <w:tcBorders>
              <w:top w:val="single" w:sz="4" w:space="0" w:color="auto"/>
              <w:left w:val="single" w:sz="4" w:space="0" w:color="auto"/>
              <w:bottom w:val="single" w:sz="4" w:space="0" w:color="auto"/>
              <w:right w:val="single" w:sz="4" w:space="0" w:color="auto"/>
            </w:tcBorders>
          </w:tcPr>
          <w:p w14:paraId="49E9DCDF" w14:textId="77777777" w:rsidR="00653571" w:rsidRPr="008C5F1C" w:rsidRDefault="00653571" w:rsidP="00534127">
            <w:pPr>
              <w:rPr>
                <w:rFonts w:ascii="Times New Roman" w:hAnsi="Times New Roman" w:cs="Times New Roman"/>
                <w:b/>
                <w:i/>
                <w:sz w:val="16"/>
                <w:szCs w:val="16"/>
              </w:rPr>
            </w:pPr>
          </w:p>
        </w:tc>
        <w:tc>
          <w:tcPr>
            <w:tcW w:w="209" w:type="pct"/>
            <w:tcBorders>
              <w:top w:val="single" w:sz="4" w:space="0" w:color="auto"/>
              <w:left w:val="single" w:sz="4" w:space="0" w:color="auto"/>
              <w:bottom w:val="single" w:sz="4" w:space="0" w:color="auto"/>
              <w:right w:val="single" w:sz="4" w:space="0" w:color="auto"/>
            </w:tcBorders>
          </w:tcPr>
          <w:p w14:paraId="2BCB3EDD" w14:textId="77777777" w:rsidR="00653571" w:rsidRPr="008C5F1C" w:rsidRDefault="00653571" w:rsidP="00534127">
            <w:pPr>
              <w:rPr>
                <w:rFonts w:ascii="Times New Roman" w:hAnsi="Times New Roman" w:cs="Times New Roman"/>
                <w:b/>
                <w:i/>
                <w:sz w:val="16"/>
                <w:szCs w:val="16"/>
              </w:rPr>
            </w:pPr>
          </w:p>
        </w:tc>
        <w:tc>
          <w:tcPr>
            <w:tcW w:w="1189" w:type="pct"/>
            <w:tcBorders>
              <w:top w:val="single" w:sz="4" w:space="0" w:color="auto"/>
              <w:left w:val="single" w:sz="4" w:space="0" w:color="auto"/>
              <w:bottom w:val="single" w:sz="4" w:space="0" w:color="auto"/>
              <w:right w:val="single" w:sz="4" w:space="0" w:color="auto"/>
            </w:tcBorders>
          </w:tcPr>
          <w:p w14:paraId="2F3774AF" w14:textId="77777777" w:rsidR="00653571" w:rsidRPr="008C5F1C" w:rsidRDefault="00653571" w:rsidP="00534127">
            <w:pPr>
              <w:rPr>
                <w:rFonts w:ascii="Times New Roman" w:hAnsi="Times New Roman" w:cs="Times New Roman"/>
                <w:b/>
                <w:i/>
                <w:sz w:val="16"/>
                <w:szCs w:val="16"/>
              </w:rPr>
            </w:pPr>
          </w:p>
        </w:tc>
        <w:tc>
          <w:tcPr>
            <w:tcW w:w="625" w:type="pct"/>
            <w:tcBorders>
              <w:top w:val="single" w:sz="4" w:space="0" w:color="auto"/>
              <w:left w:val="single" w:sz="4" w:space="0" w:color="auto"/>
              <w:bottom w:val="single" w:sz="4" w:space="0" w:color="auto"/>
              <w:right w:val="single" w:sz="4" w:space="0" w:color="auto"/>
            </w:tcBorders>
          </w:tcPr>
          <w:p w14:paraId="7D843397" w14:textId="77777777" w:rsidR="00653571" w:rsidRPr="008C5F1C" w:rsidRDefault="00653571" w:rsidP="00534127">
            <w:pPr>
              <w:rPr>
                <w:rFonts w:ascii="Times New Roman" w:hAnsi="Times New Roman" w:cs="Times New Roman"/>
                <w:b/>
                <w:i/>
                <w:sz w:val="16"/>
                <w:szCs w:val="16"/>
              </w:rPr>
            </w:pPr>
          </w:p>
        </w:tc>
        <w:tc>
          <w:tcPr>
            <w:tcW w:w="585" w:type="pct"/>
            <w:tcBorders>
              <w:top w:val="single" w:sz="4" w:space="0" w:color="auto"/>
              <w:left w:val="single" w:sz="4" w:space="0" w:color="auto"/>
              <w:bottom w:val="single" w:sz="4" w:space="0" w:color="auto"/>
              <w:right w:val="single" w:sz="4" w:space="0" w:color="auto"/>
            </w:tcBorders>
          </w:tcPr>
          <w:p w14:paraId="53BC15C6" w14:textId="77777777" w:rsidR="00653571" w:rsidRPr="008C5F1C" w:rsidRDefault="00653571" w:rsidP="00534127">
            <w:pPr>
              <w:rPr>
                <w:rFonts w:ascii="Times New Roman" w:hAnsi="Times New Roman" w:cs="Times New Roman"/>
                <w:b/>
                <w:sz w:val="16"/>
                <w:szCs w:val="16"/>
              </w:rPr>
            </w:pPr>
          </w:p>
        </w:tc>
        <w:tc>
          <w:tcPr>
            <w:tcW w:w="708" w:type="pct"/>
            <w:tcBorders>
              <w:top w:val="single" w:sz="4" w:space="0" w:color="auto"/>
              <w:left w:val="single" w:sz="4" w:space="0" w:color="auto"/>
              <w:bottom w:val="single" w:sz="4" w:space="0" w:color="auto"/>
              <w:right w:val="single" w:sz="4" w:space="0" w:color="auto"/>
            </w:tcBorders>
          </w:tcPr>
          <w:p w14:paraId="719C38C0" w14:textId="77777777" w:rsidR="00653571" w:rsidRPr="008C5F1C" w:rsidRDefault="00653571" w:rsidP="00534127">
            <w:pPr>
              <w:rPr>
                <w:rFonts w:ascii="Times New Roman" w:hAnsi="Times New Roman" w:cs="Times New Roman"/>
                <w:b/>
                <w:sz w:val="16"/>
                <w:szCs w:val="16"/>
              </w:rPr>
            </w:pPr>
          </w:p>
        </w:tc>
      </w:tr>
    </w:tbl>
    <w:p w14:paraId="7A0CB475" w14:textId="77777777" w:rsidR="00653571" w:rsidRPr="008C5F1C" w:rsidRDefault="00653571" w:rsidP="00653571">
      <w:pPr>
        <w:rPr>
          <w:rFonts w:ascii="Times New Roman" w:hAnsi="Times New Roman" w:cs="Times New Roman"/>
          <w:b/>
        </w:rPr>
      </w:pPr>
    </w:p>
    <w:p w14:paraId="5473D5DA" w14:textId="77777777" w:rsidR="00653571" w:rsidRPr="008C5F1C" w:rsidRDefault="00653571" w:rsidP="00653571">
      <w:pPr>
        <w:rPr>
          <w:rFonts w:ascii="Times New Roman" w:hAnsi="Times New Roman" w:cs="Times New Roman"/>
          <w:bCs/>
          <w:i/>
        </w:rPr>
      </w:pPr>
      <w:r w:rsidRPr="008C5F1C">
        <w:rPr>
          <w:rFonts w:ascii="Times New Roman" w:hAnsi="Times New Roman" w:cs="Times New Roman"/>
          <w:b/>
          <w:iCs/>
        </w:rPr>
        <w:t xml:space="preserve">2.B.1.3. Indicative </w:t>
      </w:r>
      <w:proofErr w:type="spellStart"/>
      <w:r w:rsidRPr="008C5F1C">
        <w:rPr>
          <w:rFonts w:ascii="Times New Roman" w:hAnsi="Times New Roman" w:cs="Times New Roman"/>
          <w:b/>
          <w:iCs/>
        </w:rPr>
        <w:t>breakdown</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the</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programmed</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resources</w:t>
      </w:r>
      <w:proofErr w:type="spellEnd"/>
      <w:r w:rsidRPr="008C5F1C">
        <w:rPr>
          <w:rFonts w:ascii="Times New Roman" w:hAnsi="Times New Roman" w:cs="Times New Roman"/>
          <w:b/>
          <w:iCs/>
        </w:rPr>
        <w:t xml:space="preserve"> (EU) </w:t>
      </w:r>
      <w:proofErr w:type="spellStart"/>
      <w:r w:rsidRPr="008C5F1C">
        <w:rPr>
          <w:rFonts w:ascii="Times New Roman" w:hAnsi="Times New Roman" w:cs="Times New Roman"/>
          <w:b/>
          <w:iCs/>
        </w:rPr>
        <w:t>by</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type</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intervention</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i/>
          <w:iCs/>
        </w:rPr>
        <w:t>Reference</w:t>
      </w:r>
      <w:proofErr w:type="spellEnd"/>
      <w:r w:rsidRPr="008C5F1C">
        <w:rPr>
          <w:rFonts w:ascii="Times New Roman" w:hAnsi="Times New Roman" w:cs="Times New Roman"/>
          <w:i/>
          <w:iCs/>
        </w:rPr>
        <w:t xml:space="preserve"> </w:t>
      </w:r>
      <w:proofErr w:type="spellStart"/>
      <w:r w:rsidRPr="008C5F1C">
        <w:rPr>
          <w:rFonts w:ascii="Times New Roman" w:hAnsi="Times New Roman" w:cs="Times New Roman"/>
          <w:i/>
        </w:rPr>
        <w:t>Article</w:t>
      </w:r>
      <w:proofErr w:type="spellEnd"/>
      <w:r w:rsidRPr="008C5F1C">
        <w:rPr>
          <w:rFonts w:ascii="Times New Roman" w:hAnsi="Times New Roman" w:cs="Times New Roman"/>
          <w:i/>
        </w:rPr>
        <w:t xml:space="preserve"> 17(3)(e)bis(iv)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2399"/>
        <w:gridCol w:w="1053"/>
        <w:gridCol w:w="2175"/>
      </w:tblGrid>
      <w:tr w:rsidR="00653571" w:rsidRPr="008C5F1C" w14:paraId="7CC79F13" w14:textId="77777777" w:rsidTr="00534127">
        <w:tc>
          <w:tcPr>
            <w:tcW w:w="8610" w:type="dxa"/>
            <w:gridSpan w:val="5"/>
            <w:tcBorders>
              <w:top w:val="single" w:sz="4" w:space="0" w:color="auto"/>
              <w:left w:val="single" w:sz="4" w:space="0" w:color="auto"/>
              <w:bottom w:val="single" w:sz="4" w:space="0" w:color="auto"/>
              <w:right w:val="single" w:sz="4" w:space="0" w:color="auto"/>
            </w:tcBorders>
            <w:hideMark/>
          </w:tcPr>
          <w:p w14:paraId="7ADFF504"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Table 8: </w:t>
            </w:r>
            <w:proofErr w:type="spellStart"/>
            <w:r w:rsidRPr="008C5F1C">
              <w:rPr>
                <w:rFonts w:ascii="Times New Roman" w:hAnsi="Times New Roman" w:cs="Times New Roman"/>
                <w:b/>
                <w:iCs/>
              </w:rPr>
              <w:t>Dimension</w:t>
            </w:r>
            <w:proofErr w:type="spellEnd"/>
            <w:r w:rsidRPr="008C5F1C">
              <w:rPr>
                <w:rFonts w:ascii="Times New Roman" w:hAnsi="Times New Roman" w:cs="Times New Roman"/>
                <w:b/>
                <w:iCs/>
              </w:rPr>
              <w:t xml:space="preserve"> 1 – </w:t>
            </w:r>
            <w:proofErr w:type="spellStart"/>
            <w:r w:rsidRPr="008C5F1C">
              <w:rPr>
                <w:rFonts w:ascii="Times New Roman" w:hAnsi="Times New Roman" w:cs="Times New Roman"/>
                <w:b/>
                <w:iCs/>
              </w:rPr>
              <w:t>intervention</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field</w:t>
            </w:r>
            <w:proofErr w:type="spellEnd"/>
          </w:p>
        </w:tc>
      </w:tr>
      <w:tr w:rsidR="00653571" w:rsidRPr="008C5F1C" w14:paraId="377748F3" w14:textId="77777777" w:rsidTr="00534127">
        <w:tc>
          <w:tcPr>
            <w:tcW w:w="1599" w:type="dxa"/>
            <w:tcBorders>
              <w:top w:val="single" w:sz="4" w:space="0" w:color="auto"/>
              <w:left w:val="single" w:sz="4" w:space="0" w:color="auto"/>
              <w:bottom w:val="single" w:sz="4" w:space="0" w:color="auto"/>
              <w:right w:val="single" w:sz="4" w:space="0" w:color="auto"/>
            </w:tcBorders>
            <w:hideMark/>
          </w:tcPr>
          <w:p w14:paraId="112E893A"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Priority</w:t>
            </w:r>
            <w:proofErr w:type="spellEnd"/>
            <w:r w:rsidRPr="008C5F1C">
              <w:rPr>
                <w:rFonts w:ascii="Times New Roman" w:hAnsi="Times New Roman" w:cs="Times New Roman"/>
                <w:b/>
                <w:iCs/>
              </w:rPr>
              <w:t xml:space="preserve"> No</w:t>
            </w:r>
          </w:p>
        </w:tc>
        <w:tc>
          <w:tcPr>
            <w:tcW w:w="1384" w:type="dxa"/>
            <w:tcBorders>
              <w:top w:val="single" w:sz="4" w:space="0" w:color="auto"/>
              <w:left w:val="single" w:sz="4" w:space="0" w:color="auto"/>
              <w:bottom w:val="single" w:sz="4" w:space="0" w:color="auto"/>
              <w:right w:val="single" w:sz="4" w:space="0" w:color="auto"/>
            </w:tcBorders>
            <w:hideMark/>
          </w:tcPr>
          <w:p w14:paraId="41532A25"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Fund</w:t>
            </w:r>
          </w:p>
        </w:tc>
        <w:tc>
          <w:tcPr>
            <w:tcW w:w="2399" w:type="dxa"/>
            <w:tcBorders>
              <w:top w:val="single" w:sz="4" w:space="0" w:color="auto"/>
              <w:left w:val="single" w:sz="4" w:space="0" w:color="auto"/>
              <w:bottom w:val="single" w:sz="4" w:space="0" w:color="auto"/>
              <w:right w:val="single" w:sz="4" w:space="0" w:color="auto"/>
            </w:tcBorders>
            <w:hideMark/>
          </w:tcPr>
          <w:p w14:paraId="2E84B07F"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Category</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region</w:t>
            </w:r>
            <w:proofErr w:type="spellEnd"/>
          </w:p>
        </w:tc>
        <w:tc>
          <w:tcPr>
            <w:tcW w:w="1053" w:type="dxa"/>
            <w:tcBorders>
              <w:top w:val="single" w:sz="4" w:space="0" w:color="auto"/>
              <w:left w:val="single" w:sz="4" w:space="0" w:color="auto"/>
              <w:bottom w:val="single" w:sz="4" w:space="0" w:color="auto"/>
              <w:right w:val="single" w:sz="4" w:space="0" w:color="auto"/>
            </w:tcBorders>
            <w:hideMark/>
          </w:tcPr>
          <w:p w14:paraId="3373D6EC"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Code </w:t>
            </w:r>
          </w:p>
        </w:tc>
        <w:tc>
          <w:tcPr>
            <w:tcW w:w="2175" w:type="dxa"/>
            <w:tcBorders>
              <w:top w:val="single" w:sz="4" w:space="0" w:color="auto"/>
              <w:left w:val="single" w:sz="4" w:space="0" w:color="auto"/>
              <w:bottom w:val="single" w:sz="4" w:space="0" w:color="auto"/>
              <w:right w:val="single" w:sz="4" w:space="0" w:color="auto"/>
            </w:tcBorders>
            <w:hideMark/>
          </w:tcPr>
          <w:p w14:paraId="7E08ECF4"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Amount</w:t>
            </w:r>
            <w:proofErr w:type="spellEnd"/>
            <w:r w:rsidRPr="008C5F1C">
              <w:rPr>
                <w:rFonts w:ascii="Times New Roman" w:hAnsi="Times New Roman" w:cs="Times New Roman"/>
                <w:b/>
                <w:iCs/>
              </w:rPr>
              <w:t xml:space="preserve"> (EUR)</w:t>
            </w:r>
          </w:p>
        </w:tc>
      </w:tr>
      <w:tr w:rsidR="009A2F43" w:rsidRPr="008C5F1C" w14:paraId="5FE8E49E" w14:textId="77777777" w:rsidTr="00534127">
        <w:tc>
          <w:tcPr>
            <w:tcW w:w="1599" w:type="dxa"/>
            <w:tcBorders>
              <w:top w:val="single" w:sz="4" w:space="0" w:color="auto"/>
              <w:left w:val="single" w:sz="4" w:space="0" w:color="auto"/>
              <w:bottom w:val="single" w:sz="4" w:space="0" w:color="auto"/>
              <w:right w:val="single" w:sz="4" w:space="0" w:color="auto"/>
            </w:tcBorders>
          </w:tcPr>
          <w:p w14:paraId="763652F0" w14:textId="7085F845" w:rsidR="009A2F43" w:rsidRPr="008C5F1C" w:rsidRDefault="009A2F43" w:rsidP="009A2F43">
            <w:pPr>
              <w:rPr>
                <w:rFonts w:ascii="Times New Roman" w:hAnsi="Times New Roman" w:cs="Times New Roman"/>
                <w:iCs/>
              </w:rPr>
            </w:pPr>
          </w:p>
        </w:tc>
        <w:tc>
          <w:tcPr>
            <w:tcW w:w="1384" w:type="dxa"/>
            <w:tcBorders>
              <w:top w:val="single" w:sz="4" w:space="0" w:color="auto"/>
              <w:left w:val="single" w:sz="4" w:space="0" w:color="auto"/>
              <w:bottom w:val="single" w:sz="4" w:space="0" w:color="auto"/>
              <w:right w:val="single" w:sz="4" w:space="0" w:color="auto"/>
            </w:tcBorders>
          </w:tcPr>
          <w:p w14:paraId="1D18B807" w14:textId="1352F4CC" w:rsidR="009A2F43" w:rsidRPr="008C5F1C" w:rsidRDefault="009A2F43" w:rsidP="009A2F43">
            <w:pPr>
              <w:rPr>
                <w:rFonts w:ascii="Times New Roman" w:hAnsi="Times New Roman" w:cs="Times New Roman"/>
                <w:b/>
                <w:iCs/>
              </w:rPr>
            </w:pPr>
          </w:p>
        </w:tc>
        <w:tc>
          <w:tcPr>
            <w:tcW w:w="2399" w:type="dxa"/>
            <w:tcBorders>
              <w:top w:val="single" w:sz="4" w:space="0" w:color="auto"/>
              <w:left w:val="single" w:sz="4" w:space="0" w:color="auto"/>
              <w:bottom w:val="single" w:sz="4" w:space="0" w:color="auto"/>
              <w:right w:val="single" w:sz="4" w:space="0" w:color="auto"/>
            </w:tcBorders>
          </w:tcPr>
          <w:p w14:paraId="58589B50" w14:textId="51C87C3C" w:rsidR="009A2F43" w:rsidRPr="008C5F1C" w:rsidRDefault="009A2F43" w:rsidP="009A2F43">
            <w:pPr>
              <w:rPr>
                <w:rFonts w:ascii="Times New Roman" w:hAnsi="Times New Roman" w:cs="Times New Roman"/>
                <w:b/>
                <w:iCs/>
              </w:rPr>
            </w:pPr>
          </w:p>
        </w:tc>
        <w:tc>
          <w:tcPr>
            <w:tcW w:w="1053" w:type="dxa"/>
            <w:tcBorders>
              <w:top w:val="single" w:sz="4" w:space="0" w:color="auto"/>
              <w:left w:val="single" w:sz="4" w:space="0" w:color="auto"/>
              <w:bottom w:val="single" w:sz="4" w:space="0" w:color="auto"/>
              <w:right w:val="single" w:sz="4" w:space="0" w:color="auto"/>
            </w:tcBorders>
          </w:tcPr>
          <w:p w14:paraId="5A4B43CC" w14:textId="43E8B730" w:rsidR="009A2F43" w:rsidRPr="008C5F1C" w:rsidRDefault="009A2F43" w:rsidP="009A2F43">
            <w:pPr>
              <w:rPr>
                <w:rFonts w:ascii="Times New Roman" w:hAnsi="Times New Roman" w:cs="Times New Roman"/>
                <w:b/>
                <w:iCs/>
              </w:rPr>
            </w:pPr>
          </w:p>
        </w:tc>
        <w:tc>
          <w:tcPr>
            <w:tcW w:w="2175" w:type="dxa"/>
            <w:tcBorders>
              <w:top w:val="single" w:sz="4" w:space="0" w:color="auto"/>
              <w:left w:val="single" w:sz="4" w:space="0" w:color="auto"/>
              <w:bottom w:val="single" w:sz="4" w:space="0" w:color="auto"/>
              <w:right w:val="single" w:sz="4" w:space="0" w:color="auto"/>
            </w:tcBorders>
          </w:tcPr>
          <w:p w14:paraId="1474CCFE" w14:textId="5FA123D6" w:rsidR="009A2F43" w:rsidRPr="008C5F1C" w:rsidRDefault="009A2F43" w:rsidP="009A2F43">
            <w:pPr>
              <w:jc w:val="right"/>
              <w:rPr>
                <w:rFonts w:ascii="Times New Roman" w:hAnsi="Times New Roman" w:cs="Times New Roman"/>
                <w:b/>
                <w:iCs/>
              </w:rPr>
            </w:pPr>
          </w:p>
        </w:tc>
      </w:tr>
    </w:tbl>
    <w:p w14:paraId="04977205" w14:textId="77777777" w:rsidR="00653571" w:rsidRPr="008C5F1C" w:rsidRDefault="00653571" w:rsidP="00653571">
      <w:pPr>
        <w:rPr>
          <w:rFonts w:ascii="Times New Roman" w:hAnsi="Times New Roman" w:cs="Times New Roman"/>
        </w:rPr>
      </w:pPr>
    </w:p>
    <w:p w14:paraId="40FDDD84" w14:textId="77777777" w:rsidR="00653571" w:rsidRPr="008C5F1C" w:rsidRDefault="00653571" w:rsidP="00653571">
      <w:pPr>
        <w:pStyle w:val="Heading3"/>
        <w:numPr>
          <w:ilvl w:val="0"/>
          <w:numId w:val="0"/>
        </w:numPr>
        <w:shd w:val="clear" w:color="auto" w:fill="B4C6E7" w:themeFill="accent1" w:themeFillTint="66"/>
        <w:rPr>
          <w:rFonts w:cs="Times New Roman"/>
          <w:noProof/>
          <w:lang w:val="ro-RO"/>
        </w:rPr>
      </w:pPr>
      <w:bookmarkStart w:id="120" w:name="_Toc39840939"/>
      <w:r w:rsidRPr="008C5F1C">
        <w:rPr>
          <w:rFonts w:cs="Times New Roman"/>
          <w:noProof/>
          <w:lang w:val="ro-RO"/>
        </w:rPr>
        <w:t>2.A.3 OS b (viii) Promovarea mobilit</w:t>
      </w:r>
      <w:r w:rsidR="00BA7827" w:rsidRPr="008C5F1C">
        <w:rPr>
          <w:rFonts w:cs="Times New Roman"/>
          <w:noProof/>
          <w:lang w:val="ro-RO"/>
        </w:rPr>
        <w:t>ă</w:t>
      </w:r>
      <w:r w:rsidR="00E22FF2" w:rsidRPr="008C5F1C">
        <w:rPr>
          <w:rFonts w:cs="Times New Roman"/>
          <w:noProof/>
          <w:lang w:val="ro-RO"/>
        </w:rPr>
        <w:t>ț</w:t>
      </w:r>
      <w:r w:rsidRPr="008C5F1C">
        <w:rPr>
          <w:rFonts w:cs="Times New Roman"/>
          <w:noProof/>
          <w:lang w:val="ro-RO"/>
        </w:rPr>
        <w:t>ii urbane multimodale sustenabile</w:t>
      </w:r>
      <w:bookmarkEnd w:id="120"/>
    </w:p>
    <w:p w14:paraId="6627F787" w14:textId="77777777" w:rsidR="00653571" w:rsidRPr="008C5F1C" w:rsidRDefault="00653571" w:rsidP="00653571">
      <w:pPr>
        <w:pStyle w:val="Heading4"/>
        <w:numPr>
          <w:ilvl w:val="0"/>
          <w:numId w:val="0"/>
        </w:numPr>
        <w:ind w:left="851" w:hanging="851"/>
        <w:rPr>
          <w:rFonts w:cs="Times New Roman"/>
          <w:b/>
          <w:bCs/>
          <w:lang w:val="ro-RO"/>
        </w:rPr>
      </w:pPr>
      <w:r w:rsidRPr="008C5F1C">
        <w:rPr>
          <w:rFonts w:cs="Times New Roman"/>
          <w:b/>
          <w:bCs/>
          <w:lang w:val="ro-RO"/>
        </w:rPr>
        <w:t xml:space="preserve">2.A.3.1 </w:t>
      </w:r>
      <w:proofErr w:type="spellStart"/>
      <w:r w:rsidRPr="008C5F1C">
        <w:rPr>
          <w:rFonts w:cs="Times New Roman"/>
          <w:b/>
          <w:bCs/>
          <w:lang w:val="ro-RO"/>
        </w:rPr>
        <w:t>Interventions</w:t>
      </w:r>
      <w:proofErr w:type="spellEnd"/>
      <w:r w:rsidRPr="008C5F1C">
        <w:rPr>
          <w:rFonts w:cs="Times New Roman"/>
          <w:b/>
          <w:bCs/>
          <w:lang w:val="ro-RO"/>
        </w:rPr>
        <w:t xml:space="preserve"> of </w:t>
      </w:r>
      <w:proofErr w:type="spellStart"/>
      <w:r w:rsidRPr="008C5F1C">
        <w:rPr>
          <w:rFonts w:cs="Times New Roman"/>
          <w:b/>
          <w:bCs/>
          <w:lang w:val="ro-RO"/>
        </w:rPr>
        <w:t>the</w:t>
      </w:r>
      <w:proofErr w:type="spellEnd"/>
      <w:r w:rsidRPr="008C5F1C">
        <w:rPr>
          <w:rFonts w:cs="Times New Roman"/>
          <w:b/>
          <w:bCs/>
          <w:lang w:val="ro-RO"/>
        </w:rPr>
        <w:t xml:space="preserve"> </w:t>
      </w:r>
      <w:proofErr w:type="spellStart"/>
      <w:r w:rsidRPr="008C5F1C">
        <w:rPr>
          <w:rFonts w:cs="Times New Roman"/>
          <w:b/>
          <w:bCs/>
          <w:lang w:val="ro-RO"/>
        </w:rPr>
        <w:t>Funds</w:t>
      </w:r>
      <w:proofErr w:type="spellEnd"/>
    </w:p>
    <w:p w14:paraId="264FE96F" w14:textId="77777777" w:rsidR="00653571" w:rsidRPr="008C5F1C" w:rsidRDefault="00653571" w:rsidP="00653571">
      <w:pPr>
        <w:spacing w:before="120" w:after="120" w:line="360" w:lineRule="auto"/>
        <w:rPr>
          <w:rFonts w:ascii="Times New Roman" w:eastAsia="Times New Roman" w:hAnsi="Times New Roman" w:cs="Times New Roman"/>
          <w:i/>
          <w:noProof/>
          <w:sz w:val="24"/>
          <w:szCs w:val="24"/>
        </w:rPr>
      </w:pPr>
      <w:r w:rsidRPr="008C5F1C">
        <w:rPr>
          <w:rFonts w:ascii="Times New Roman" w:eastAsia="Times New Roman" w:hAnsi="Times New Roman" w:cs="Times New Roman"/>
          <w:i/>
          <w:noProof/>
          <w:sz w:val="24"/>
          <w:szCs w:val="24"/>
        </w:rPr>
        <w:t>Reference: Article 17(3)(d)(i),(iii),(iv),(v),(vi);</w:t>
      </w:r>
    </w:p>
    <w:p w14:paraId="62BB16AC" w14:textId="77777777" w:rsidR="00653571" w:rsidRPr="008C5F1C" w:rsidRDefault="00653571" w:rsidP="00653571">
      <w:pPr>
        <w:bidi/>
        <w:spacing w:before="120" w:after="120" w:line="360" w:lineRule="auto"/>
        <w:jc w:val="right"/>
        <w:rPr>
          <w:rFonts w:ascii="Times New Roman" w:eastAsia="Times New Roman" w:hAnsi="Times New Roman" w:cs="Times New Roman"/>
          <w:b/>
          <w:bCs/>
          <w:i/>
          <w:iCs/>
          <w:noProof/>
          <w:sz w:val="24"/>
          <w:szCs w:val="24"/>
          <w:u w:val="single"/>
        </w:rPr>
      </w:pPr>
      <w:r w:rsidRPr="008C5F1C">
        <w:rPr>
          <w:rFonts w:ascii="Times New Roman" w:eastAsia="Times New Roman" w:hAnsi="Times New Roman" w:cs="Times New Roman"/>
          <w:i/>
          <w:noProof/>
          <w:sz w:val="24"/>
          <w:szCs w:val="24"/>
        </w:rPr>
        <w:t>The related types of actions – Article 17(3)(d)(i) CPR; Article 6(2) ESF+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653571" w:rsidRPr="008C5F1C" w14:paraId="01A8EC85" w14:textId="77777777" w:rsidTr="00534127">
        <w:tc>
          <w:tcPr>
            <w:tcW w:w="9288" w:type="dxa"/>
            <w:tcBorders>
              <w:top w:val="single" w:sz="4" w:space="0" w:color="auto"/>
              <w:left w:val="single" w:sz="4" w:space="0" w:color="auto"/>
              <w:bottom w:val="single" w:sz="4" w:space="0" w:color="auto"/>
              <w:right w:val="single" w:sz="4" w:space="0" w:color="auto"/>
            </w:tcBorders>
            <w:hideMark/>
          </w:tcPr>
          <w:p w14:paraId="3E61AC09" w14:textId="77777777" w:rsidR="00653571" w:rsidRPr="008C5F1C" w:rsidRDefault="00653571" w:rsidP="008131FB">
            <w:pPr>
              <w:spacing w:after="120" w:line="240" w:lineRule="auto"/>
              <w:jc w:val="both"/>
              <w:rPr>
                <w:rFonts w:ascii="Times New Roman" w:hAnsi="Times New Roman" w:cs="Times New Roman"/>
              </w:rPr>
            </w:pPr>
            <w:r w:rsidRPr="008C5F1C">
              <w:rPr>
                <w:rFonts w:ascii="Times New Roman" w:hAnsi="Times New Roman" w:cs="Times New Roman"/>
              </w:rPr>
              <w:lastRenderedPageBreak/>
              <w:t>La nivelul Regiunii de Dezvoltare Nord-Vest persist</w:t>
            </w:r>
            <w:r w:rsidR="00BA7827" w:rsidRPr="008C5F1C">
              <w:rPr>
                <w:rFonts w:ascii="Times New Roman" w:hAnsi="Times New Roman" w:cs="Times New Roman"/>
              </w:rPr>
              <w:t>ă</w:t>
            </w:r>
            <w:r w:rsidRPr="008C5F1C">
              <w:rPr>
                <w:rFonts w:ascii="Times New Roman" w:hAnsi="Times New Roman" w:cs="Times New Roman"/>
              </w:rPr>
              <w:t xml:space="preserve"> numeroase provoc</w:t>
            </w:r>
            <w:r w:rsidR="00BA7827" w:rsidRPr="008C5F1C">
              <w:rPr>
                <w:rFonts w:ascii="Times New Roman" w:hAnsi="Times New Roman" w:cs="Times New Roman"/>
              </w:rPr>
              <w:t>ă</w:t>
            </w:r>
            <w:r w:rsidRPr="008C5F1C">
              <w:rPr>
                <w:rFonts w:ascii="Times New Roman" w:hAnsi="Times New Roman" w:cs="Times New Roman"/>
              </w:rPr>
              <w:t>ri în ceea ce prive</w:t>
            </w:r>
            <w:r w:rsidR="00106240" w:rsidRPr="008C5F1C">
              <w:rPr>
                <w:rFonts w:ascii="Times New Roman" w:hAnsi="Times New Roman" w:cs="Times New Roman"/>
              </w:rPr>
              <w:t>ș</w:t>
            </w:r>
            <w:r w:rsidRPr="008C5F1C">
              <w:rPr>
                <w:rFonts w:ascii="Times New Roman" w:hAnsi="Times New Roman" w:cs="Times New Roman"/>
              </w:rPr>
              <w:t xml:space="preserve">te calitatea mediului urban </w:t>
            </w:r>
            <w:r w:rsidR="00106240" w:rsidRPr="008C5F1C">
              <w:rPr>
                <w:rFonts w:ascii="Times New Roman" w:hAnsi="Times New Roman" w:cs="Times New Roman"/>
              </w:rPr>
              <w:t>ș</w:t>
            </w:r>
            <w:r w:rsidRPr="008C5F1C">
              <w:rPr>
                <w:rFonts w:ascii="Times New Roman" w:hAnsi="Times New Roman" w:cs="Times New Roman"/>
              </w:rPr>
              <w:t>i mobilitatea urban</w:t>
            </w:r>
            <w:r w:rsidR="00BA7827" w:rsidRPr="008C5F1C">
              <w:rPr>
                <w:rFonts w:ascii="Times New Roman" w:hAnsi="Times New Roman" w:cs="Times New Roman"/>
              </w:rPr>
              <w:t>ă</w:t>
            </w:r>
            <w:r w:rsidRPr="008C5F1C">
              <w:rPr>
                <w:rFonts w:ascii="Times New Roman" w:hAnsi="Times New Roman" w:cs="Times New Roman"/>
              </w:rPr>
              <w:t>. Calitatea transportului public r</w:t>
            </w:r>
            <w:r w:rsidR="00BA7827" w:rsidRPr="008C5F1C">
              <w:rPr>
                <w:rFonts w:ascii="Times New Roman" w:hAnsi="Times New Roman" w:cs="Times New Roman"/>
              </w:rPr>
              <w:t>ă</w:t>
            </w:r>
            <w:r w:rsidRPr="008C5F1C">
              <w:rPr>
                <w:rFonts w:ascii="Times New Roman" w:hAnsi="Times New Roman" w:cs="Times New Roman"/>
              </w:rPr>
              <w:t>mân</w:t>
            </w:r>
            <w:r w:rsidR="00BA7827" w:rsidRPr="008C5F1C">
              <w:rPr>
                <w:rFonts w:ascii="Times New Roman" w:hAnsi="Times New Roman" w:cs="Times New Roman"/>
              </w:rPr>
              <w:t>ă</w:t>
            </w:r>
            <w:r w:rsidRPr="008C5F1C">
              <w:rPr>
                <w:rFonts w:ascii="Times New Roman" w:hAnsi="Times New Roman" w:cs="Times New Roman"/>
              </w:rPr>
              <w:t xml:space="preserve"> problematic</w:t>
            </w:r>
            <w:r w:rsidR="00BA7827" w:rsidRPr="008C5F1C">
              <w:rPr>
                <w:rFonts w:ascii="Times New Roman" w:hAnsi="Times New Roman" w:cs="Times New Roman"/>
              </w:rPr>
              <w:t>ă</w:t>
            </w:r>
            <w:r w:rsidRPr="008C5F1C">
              <w:rPr>
                <w:rFonts w:ascii="Times New Roman" w:hAnsi="Times New Roman" w:cs="Times New Roman"/>
              </w:rPr>
              <w:t>, în ciuda faptului c</w:t>
            </w:r>
            <w:r w:rsidR="00BA7827" w:rsidRPr="008C5F1C">
              <w:rPr>
                <w:rFonts w:ascii="Times New Roman" w:hAnsi="Times New Roman" w:cs="Times New Roman"/>
              </w:rPr>
              <w:t>ă</w:t>
            </w:r>
            <w:r w:rsidRPr="008C5F1C">
              <w:rPr>
                <w:rFonts w:ascii="Times New Roman" w:hAnsi="Times New Roman" w:cs="Times New Roman"/>
              </w:rPr>
              <w:t xml:space="preserve"> aceasta are un sistem de transport public bine dezvoltat, din perspectiva liniilor de transport public </w:t>
            </w:r>
            <w:r w:rsidR="00106240" w:rsidRPr="008C5F1C">
              <w:rPr>
                <w:rFonts w:ascii="Times New Roman" w:hAnsi="Times New Roman" w:cs="Times New Roman"/>
              </w:rPr>
              <w:t>ș</w:t>
            </w:r>
            <w:r w:rsidRPr="008C5F1C">
              <w:rPr>
                <w:rFonts w:ascii="Times New Roman" w:hAnsi="Times New Roman" w:cs="Times New Roman"/>
              </w:rPr>
              <w:t>i al pasagerilor transporta</w:t>
            </w:r>
            <w:r w:rsidR="00E22FF2" w:rsidRPr="008C5F1C">
              <w:rPr>
                <w:rFonts w:ascii="Times New Roman" w:hAnsi="Times New Roman" w:cs="Times New Roman"/>
              </w:rPr>
              <w:t>ț</w:t>
            </w:r>
            <w:r w:rsidRPr="008C5F1C">
              <w:rPr>
                <w:rFonts w:ascii="Times New Roman" w:hAnsi="Times New Roman" w:cs="Times New Roman"/>
              </w:rPr>
              <w:t>i. Atractivitatea transportului public local este afectat</w:t>
            </w:r>
            <w:r w:rsidR="00BA7827" w:rsidRPr="008C5F1C">
              <w:rPr>
                <w:rFonts w:ascii="Times New Roman" w:hAnsi="Times New Roman" w:cs="Times New Roman"/>
              </w:rPr>
              <w:t>ă</w:t>
            </w:r>
            <w:r w:rsidRPr="008C5F1C">
              <w:rPr>
                <w:rFonts w:ascii="Times New Roman" w:hAnsi="Times New Roman" w:cs="Times New Roman"/>
              </w:rPr>
              <w:t xml:space="preserve"> de vechimea mijloacelor de transport, dar </w:t>
            </w:r>
            <w:r w:rsidR="00106240" w:rsidRPr="008C5F1C">
              <w:rPr>
                <w:rFonts w:ascii="Times New Roman" w:hAnsi="Times New Roman" w:cs="Times New Roman"/>
              </w:rPr>
              <w:t>ș</w:t>
            </w:r>
            <w:r w:rsidRPr="008C5F1C">
              <w:rPr>
                <w:rFonts w:ascii="Times New Roman" w:hAnsi="Times New Roman" w:cs="Times New Roman"/>
              </w:rPr>
              <w:t>i de frecven</w:t>
            </w:r>
            <w:r w:rsidR="00E22FF2" w:rsidRPr="008C5F1C">
              <w:rPr>
                <w:rFonts w:ascii="Times New Roman" w:hAnsi="Times New Roman" w:cs="Times New Roman"/>
              </w:rPr>
              <w:t>ț</w:t>
            </w:r>
            <w:r w:rsidRPr="008C5F1C">
              <w:rPr>
                <w:rFonts w:ascii="Times New Roman" w:hAnsi="Times New Roman" w:cs="Times New Roman"/>
              </w:rPr>
              <w:t>a redus</w:t>
            </w:r>
            <w:r w:rsidR="00BA7827" w:rsidRPr="008C5F1C">
              <w:rPr>
                <w:rFonts w:ascii="Times New Roman" w:hAnsi="Times New Roman" w:cs="Times New Roman"/>
              </w:rPr>
              <w:t>ă</w:t>
            </w:r>
            <w:r w:rsidRPr="008C5F1C">
              <w:rPr>
                <w:rFonts w:ascii="Times New Roman" w:hAnsi="Times New Roman" w:cs="Times New Roman"/>
              </w:rPr>
              <w:t xml:space="preserve"> de circula</w:t>
            </w:r>
            <w:r w:rsidR="00E22FF2" w:rsidRPr="008C5F1C">
              <w:rPr>
                <w:rFonts w:ascii="Times New Roman" w:hAnsi="Times New Roman" w:cs="Times New Roman"/>
              </w:rPr>
              <w:t>ț</w:t>
            </w:r>
            <w:r w:rsidRPr="008C5F1C">
              <w:rPr>
                <w:rFonts w:ascii="Times New Roman" w:hAnsi="Times New Roman" w:cs="Times New Roman"/>
              </w:rPr>
              <w:t>ie a acestora sau de timpul lung alocat parcurgerii unui traseu (mai ales în compara</w:t>
            </w:r>
            <w:r w:rsidR="00E22FF2" w:rsidRPr="008C5F1C">
              <w:rPr>
                <w:rFonts w:ascii="Times New Roman" w:hAnsi="Times New Roman" w:cs="Times New Roman"/>
              </w:rPr>
              <w:t>ț</w:t>
            </w:r>
            <w:r w:rsidRPr="008C5F1C">
              <w:rPr>
                <w:rFonts w:ascii="Times New Roman" w:hAnsi="Times New Roman" w:cs="Times New Roman"/>
              </w:rPr>
              <w:t>ie cu autovehiculul individual).</w:t>
            </w:r>
          </w:p>
          <w:p w14:paraId="4411B028" w14:textId="77777777" w:rsidR="00653571" w:rsidRPr="008C5F1C" w:rsidRDefault="00653571" w:rsidP="008131FB">
            <w:pPr>
              <w:spacing w:after="120" w:line="240" w:lineRule="auto"/>
              <w:jc w:val="both"/>
              <w:rPr>
                <w:rFonts w:ascii="Times New Roman" w:hAnsi="Times New Roman" w:cs="Times New Roman"/>
              </w:rPr>
            </w:pPr>
            <w:r w:rsidRPr="008C5F1C">
              <w:rPr>
                <w:rFonts w:ascii="Times New Roman" w:hAnsi="Times New Roman" w:cs="Times New Roman"/>
              </w:rPr>
              <w:t>Expansiunea urban</w:t>
            </w:r>
            <w:r w:rsidR="00BA7827" w:rsidRPr="008C5F1C">
              <w:rPr>
                <w:rFonts w:ascii="Times New Roman" w:hAnsi="Times New Roman" w:cs="Times New Roman"/>
              </w:rPr>
              <w:t>ă</w:t>
            </w:r>
            <w:r w:rsidRPr="008C5F1C">
              <w:rPr>
                <w:rFonts w:ascii="Times New Roman" w:hAnsi="Times New Roman" w:cs="Times New Roman"/>
              </w:rPr>
              <w:t xml:space="preserve"> necontrolat</w:t>
            </w:r>
            <w:r w:rsidR="00BA7827" w:rsidRPr="008C5F1C">
              <w:rPr>
                <w:rFonts w:ascii="Times New Roman" w:hAnsi="Times New Roman" w:cs="Times New Roman"/>
              </w:rPr>
              <w:t>ă</w:t>
            </w:r>
            <w:r w:rsidRPr="008C5F1C">
              <w:rPr>
                <w:rFonts w:ascii="Times New Roman" w:hAnsi="Times New Roman" w:cs="Times New Roman"/>
              </w:rPr>
              <w:t xml:space="preserve"> este una din principalele provoc</w:t>
            </w:r>
            <w:r w:rsidR="00BA7827" w:rsidRPr="008C5F1C">
              <w:rPr>
                <w:rFonts w:ascii="Times New Roman" w:hAnsi="Times New Roman" w:cs="Times New Roman"/>
              </w:rPr>
              <w:t>ă</w:t>
            </w:r>
            <w:r w:rsidRPr="008C5F1C">
              <w:rPr>
                <w:rFonts w:ascii="Times New Roman" w:hAnsi="Times New Roman" w:cs="Times New Roman"/>
              </w:rPr>
              <w:t>ri în ora</w:t>
            </w:r>
            <w:r w:rsidR="00106240" w:rsidRPr="008C5F1C">
              <w:rPr>
                <w:rFonts w:ascii="Times New Roman" w:hAnsi="Times New Roman" w:cs="Times New Roman"/>
              </w:rPr>
              <w:t>ș</w:t>
            </w:r>
            <w:r w:rsidRPr="008C5F1C">
              <w:rPr>
                <w:rFonts w:ascii="Times New Roman" w:hAnsi="Times New Roman" w:cs="Times New Roman"/>
              </w:rPr>
              <w:t>ele mari, infrastructura de transport nefiind adaptat</w:t>
            </w:r>
            <w:r w:rsidR="00BA7827" w:rsidRPr="008C5F1C">
              <w:rPr>
                <w:rFonts w:ascii="Times New Roman" w:hAnsi="Times New Roman" w:cs="Times New Roman"/>
              </w:rPr>
              <w:t>ă</w:t>
            </w:r>
            <w:r w:rsidRPr="008C5F1C">
              <w:rPr>
                <w:rFonts w:ascii="Times New Roman" w:hAnsi="Times New Roman" w:cs="Times New Roman"/>
              </w:rPr>
              <w:t xml:space="preserve"> pentru a sus</w:t>
            </w:r>
            <w:r w:rsidR="00E22FF2" w:rsidRPr="008C5F1C">
              <w:rPr>
                <w:rFonts w:ascii="Times New Roman" w:hAnsi="Times New Roman" w:cs="Times New Roman"/>
              </w:rPr>
              <w:t>ț</w:t>
            </w:r>
            <w:r w:rsidRPr="008C5F1C">
              <w:rPr>
                <w:rFonts w:ascii="Times New Roman" w:hAnsi="Times New Roman" w:cs="Times New Roman"/>
              </w:rPr>
              <w:t>ine num</w:t>
            </w:r>
            <w:r w:rsidR="00BA7827" w:rsidRPr="008C5F1C">
              <w:rPr>
                <w:rFonts w:ascii="Times New Roman" w:hAnsi="Times New Roman" w:cs="Times New Roman"/>
              </w:rPr>
              <w:t>ă</w:t>
            </w:r>
            <w:r w:rsidRPr="008C5F1C">
              <w:rPr>
                <w:rFonts w:ascii="Times New Roman" w:hAnsi="Times New Roman" w:cs="Times New Roman"/>
              </w:rPr>
              <w:t>rul ridicat de deplas</w:t>
            </w:r>
            <w:r w:rsidR="00BA7827" w:rsidRPr="008C5F1C">
              <w:rPr>
                <w:rFonts w:ascii="Times New Roman" w:hAnsi="Times New Roman" w:cs="Times New Roman"/>
              </w:rPr>
              <w:t>ă</w:t>
            </w:r>
            <w:r w:rsidRPr="008C5F1C">
              <w:rPr>
                <w:rFonts w:ascii="Times New Roman" w:hAnsi="Times New Roman" w:cs="Times New Roman"/>
              </w:rPr>
              <w:t>ri din zonele peri-urbane c</w:t>
            </w:r>
            <w:r w:rsidR="00BA7827" w:rsidRPr="008C5F1C">
              <w:rPr>
                <w:rFonts w:ascii="Times New Roman" w:hAnsi="Times New Roman" w:cs="Times New Roman"/>
              </w:rPr>
              <w:t>ă</w:t>
            </w:r>
            <w:r w:rsidRPr="008C5F1C">
              <w:rPr>
                <w:rFonts w:ascii="Times New Roman" w:hAnsi="Times New Roman" w:cs="Times New Roman"/>
              </w:rPr>
              <w:t>tre centru. Trama stradal</w:t>
            </w:r>
            <w:r w:rsidR="00BA7827" w:rsidRPr="008C5F1C">
              <w:rPr>
                <w:rFonts w:ascii="Times New Roman" w:hAnsi="Times New Roman" w:cs="Times New Roman"/>
              </w:rPr>
              <w:t>ă</w:t>
            </w:r>
            <w:r w:rsidRPr="008C5F1C">
              <w:rPr>
                <w:rFonts w:ascii="Times New Roman" w:hAnsi="Times New Roman" w:cs="Times New Roman"/>
              </w:rPr>
              <w:t xml:space="preserve"> în dezvolt</w:t>
            </w:r>
            <w:r w:rsidR="00BA7827" w:rsidRPr="008C5F1C">
              <w:rPr>
                <w:rFonts w:ascii="Times New Roman" w:hAnsi="Times New Roman" w:cs="Times New Roman"/>
              </w:rPr>
              <w:t>ă</w:t>
            </w:r>
            <w:r w:rsidRPr="008C5F1C">
              <w:rPr>
                <w:rFonts w:ascii="Times New Roman" w:hAnsi="Times New Roman" w:cs="Times New Roman"/>
              </w:rPr>
              <w:t>rile reziden</w:t>
            </w:r>
            <w:r w:rsidR="00E22FF2" w:rsidRPr="008C5F1C">
              <w:rPr>
                <w:rFonts w:ascii="Times New Roman" w:hAnsi="Times New Roman" w:cs="Times New Roman"/>
              </w:rPr>
              <w:t>ț</w:t>
            </w:r>
            <w:r w:rsidRPr="008C5F1C">
              <w:rPr>
                <w:rFonts w:ascii="Times New Roman" w:hAnsi="Times New Roman" w:cs="Times New Roman"/>
              </w:rPr>
              <w:t xml:space="preserve">iale din </w:t>
            </w:r>
            <w:proofErr w:type="spellStart"/>
            <w:r w:rsidRPr="008C5F1C">
              <w:rPr>
                <w:rFonts w:ascii="Times New Roman" w:hAnsi="Times New Roman" w:cs="Times New Roman"/>
              </w:rPr>
              <w:t>periurban</w:t>
            </w:r>
            <w:proofErr w:type="spellEnd"/>
            <w:r w:rsidRPr="008C5F1C">
              <w:rPr>
                <w:rFonts w:ascii="Times New Roman" w:hAnsi="Times New Roman" w:cs="Times New Roman"/>
              </w:rPr>
              <w:t xml:space="preserve"> este neierarhizat</w:t>
            </w:r>
            <w:r w:rsidR="00BA7827" w:rsidRPr="008C5F1C">
              <w:rPr>
                <w:rFonts w:ascii="Times New Roman" w:hAnsi="Times New Roman" w:cs="Times New Roman"/>
              </w:rPr>
              <w:t>ă</w:t>
            </w:r>
            <w:r w:rsidRPr="008C5F1C">
              <w:rPr>
                <w:rFonts w:ascii="Times New Roman" w:hAnsi="Times New Roman" w:cs="Times New Roman"/>
              </w:rPr>
              <w:t xml:space="preserve"> </w:t>
            </w:r>
            <w:r w:rsidR="00106240" w:rsidRPr="008C5F1C">
              <w:rPr>
                <w:rFonts w:ascii="Times New Roman" w:hAnsi="Times New Roman" w:cs="Times New Roman"/>
              </w:rPr>
              <w:t>ș</w:t>
            </w:r>
            <w:r w:rsidRPr="008C5F1C">
              <w:rPr>
                <w:rFonts w:ascii="Times New Roman" w:hAnsi="Times New Roman" w:cs="Times New Roman"/>
              </w:rPr>
              <w:t>i nemodernizat</w:t>
            </w:r>
            <w:r w:rsidR="00BA7827" w:rsidRPr="008C5F1C">
              <w:rPr>
                <w:rFonts w:ascii="Times New Roman" w:hAnsi="Times New Roman" w:cs="Times New Roman"/>
              </w:rPr>
              <w:t>ă</w:t>
            </w:r>
            <w:r w:rsidRPr="008C5F1C">
              <w:rPr>
                <w:rFonts w:ascii="Times New Roman" w:hAnsi="Times New Roman" w:cs="Times New Roman"/>
              </w:rPr>
              <w:t xml:space="preserve"> iar leg</w:t>
            </w:r>
            <w:r w:rsidR="00BA7827" w:rsidRPr="008C5F1C">
              <w:rPr>
                <w:rFonts w:ascii="Times New Roman" w:hAnsi="Times New Roman" w:cs="Times New Roman"/>
              </w:rPr>
              <w:t>ă</w:t>
            </w:r>
            <w:r w:rsidRPr="008C5F1C">
              <w:rPr>
                <w:rFonts w:ascii="Times New Roman" w:hAnsi="Times New Roman" w:cs="Times New Roman"/>
              </w:rPr>
              <w:t>turile cu polii de cre</w:t>
            </w:r>
            <w:r w:rsidR="00106240" w:rsidRPr="008C5F1C">
              <w:rPr>
                <w:rFonts w:ascii="Times New Roman" w:hAnsi="Times New Roman" w:cs="Times New Roman"/>
              </w:rPr>
              <w:t>ș</w:t>
            </w:r>
            <w:r w:rsidRPr="008C5F1C">
              <w:rPr>
                <w:rFonts w:ascii="Times New Roman" w:hAnsi="Times New Roman" w:cs="Times New Roman"/>
              </w:rPr>
              <w:t>tere sau ora</w:t>
            </w:r>
            <w:r w:rsidR="00106240" w:rsidRPr="008C5F1C">
              <w:rPr>
                <w:rFonts w:ascii="Times New Roman" w:hAnsi="Times New Roman" w:cs="Times New Roman"/>
              </w:rPr>
              <w:t>ș</w:t>
            </w:r>
            <w:r w:rsidRPr="008C5F1C">
              <w:rPr>
                <w:rFonts w:ascii="Times New Roman" w:hAnsi="Times New Roman" w:cs="Times New Roman"/>
              </w:rPr>
              <w:t>ele mari sunt pu</w:t>
            </w:r>
            <w:r w:rsidR="00E22FF2" w:rsidRPr="008C5F1C">
              <w:rPr>
                <w:rFonts w:ascii="Times New Roman" w:hAnsi="Times New Roman" w:cs="Times New Roman"/>
              </w:rPr>
              <w:t>ț</w:t>
            </w:r>
            <w:r w:rsidRPr="008C5F1C">
              <w:rPr>
                <w:rFonts w:ascii="Times New Roman" w:hAnsi="Times New Roman" w:cs="Times New Roman"/>
              </w:rPr>
              <w:t xml:space="preserve">ine </w:t>
            </w:r>
            <w:r w:rsidR="00106240" w:rsidRPr="008C5F1C">
              <w:rPr>
                <w:rFonts w:ascii="Times New Roman" w:hAnsi="Times New Roman" w:cs="Times New Roman"/>
              </w:rPr>
              <w:t>ș</w:t>
            </w:r>
            <w:r w:rsidRPr="008C5F1C">
              <w:rPr>
                <w:rFonts w:ascii="Times New Roman" w:hAnsi="Times New Roman" w:cs="Times New Roman"/>
              </w:rPr>
              <w:t>i deja suprasolicitate. În acest sens, pentru a putea asigura o reconfigurare treptat</w:t>
            </w:r>
            <w:r w:rsidR="00BA7827" w:rsidRPr="008C5F1C">
              <w:rPr>
                <w:rFonts w:ascii="Times New Roman" w:hAnsi="Times New Roman" w:cs="Times New Roman"/>
              </w:rPr>
              <w:t>ă</w:t>
            </w:r>
            <w:r w:rsidRPr="008C5F1C">
              <w:rPr>
                <w:rFonts w:ascii="Times New Roman" w:hAnsi="Times New Roman" w:cs="Times New Roman"/>
              </w:rPr>
              <w:t xml:space="preserve"> a zonelor de expansiune sunt prioritare investi</w:t>
            </w:r>
            <w:r w:rsidR="00E22FF2" w:rsidRPr="008C5F1C">
              <w:rPr>
                <w:rFonts w:ascii="Times New Roman" w:hAnsi="Times New Roman" w:cs="Times New Roman"/>
              </w:rPr>
              <w:t>ț</w:t>
            </w:r>
            <w:r w:rsidRPr="008C5F1C">
              <w:rPr>
                <w:rFonts w:ascii="Times New Roman" w:hAnsi="Times New Roman" w:cs="Times New Roman"/>
              </w:rPr>
              <w:t>ii pentru:  a) cre</w:t>
            </w:r>
            <w:r w:rsidR="00106240" w:rsidRPr="008C5F1C">
              <w:rPr>
                <w:rFonts w:ascii="Times New Roman" w:hAnsi="Times New Roman" w:cs="Times New Roman"/>
              </w:rPr>
              <w:t>ș</w:t>
            </w:r>
            <w:r w:rsidRPr="008C5F1C">
              <w:rPr>
                <w:rFonts w:ascii="Times New Roman" w:hAnsi="Times New Roman" w:cs="Times New Roman"/>
              </w:rPr>
              <w:t>terea conectivit</w:t>
            </w:r>
            <w:r w:rsidR="00BA7827" w:rsidRPr="008C5F1C">
              <w:rPr>
                <w:rFonts w:ascii="Times New Roman" w:hAnsi="Times New Roman" w:cs="Times New Roman"/>
              </w:rPr>
              <w:t>ă</w:t>
            </w:r>
            <w:r w:rsidR="00E22FF2" w:rsidRPr="008C5F1C">
              <w:rPr>
                <w:rFonts w:ascii="Times New Roman" w:hAnsi="Times New Roman" w:cs="Times New Roman"/>
              </w:rPr>
              <w:t>ț</w:t>
            </w:r>
            <w:r w:rsidRPr="008C5F1C">
              <w:rPr>
                <w:rFonts w:ascii="Times New Roman" w:hAnsi="Times New Roman" w:cs="Times New Roman"/>
              </w:rPr>
              <w:t>ii prin dezvoltarea de noi leg</w:t>
            </w:r>
            <w:r w:rsidR="00BA7827" w:rsidRPr="008C5F1C">
              <w:rPr>
                <w:rFonts w:ascii="Times New Roman" w:hAnsi="Times New Roman" w:cs="Times New Roman"/>
              </w:rPr>
              <w:t>ă</w:t>
            </w:r>
            <w:r w:rsidRPr="008C5F1C">
              <w:rPr>
                <w:rFonts w:ascii="Times New Roman" w:hAnsi="Times New Roman" w:cs="Times New Roman"/>
              </w:rPr>
              <w:t xml:space="preserve">turi durabile (piste pentru biciclete, benzi dedicate transport public, etc.); b) modernizarea </w:t>
            </w:r>
            <w:r w:rsidR="00106240" w:rsidRPr="008C5F1C">
              <w:rPr>
                <w:rFonts w:ascii="Times New Roman" w:hAnsi="Times New Roman" w:cs="Times New Roman"/>
              </w:rPr>
              <w:t>ș</w:t>
            </w:r>
            <w:r w:rsidRPr="008C5F1C">
              <w:rPr>
                <w:rFonts w:ascii="Times New Roman" w:hAnsi="Times New Roman" w:cs="Times New Roman"/>
              </w:rPr>
              <w:t>i extinderea flotei pentru a putea asigura o frecven</w:t>
            </w:r>
            <w:r w:rsidR="00E22FF2" w:rsidRPr="008C5F1C">
              <w:rPr>
                <w:rFonts w:ascii="Times New Roman" w:hAnsi="Times New Roman" w:cs="Times New Roman"/>
              </w:rPr>
              <w:t>ț</w:t>
            </w:r>
            <w:r w:rsidR="00BA7827" w:rsidRPr="008C5F1C">
              <w:rPr>
                <w:rFonts w:ascii="Times New Roman" w:hAnsi="Times New Roman" w:cs="Times New Roman"/>
              </w:rPr>
              <w:t>ă</w:t>
            </w:r>
            <w:r w:rsidRPr="008C5F1C">
              <w:rPr>
                <w:rFonts w:ascii="Times New Roman" w:hAnsi="Times New Roman" w:cs="Times New Roman"/>
              </w:rPr>
              <w:t xml:space="preserve"> mai mare a transportului public metropolitan (inclusiv înfiin</w:t>
            </w:r>
            <w:r w:rsidR="00E22FF2" w:rsidRPr="008C5F1C">
              <w:rPr>
                <w:rFonts w:ascii="Times New Roman" w:hAnsi="Times New Roman" w:cs="Times New Roman"/>
              </w:rPr>
              <w:t>ț</w:t>
            </w:r>
            <w:r w:rsidRPr="008C5F1C">
              <w:rPr>
                <w:rFonts w:ascii="Times New Roman" w:hAnsi="Times New Roman" w:cs="Times New Roman"/>
              </w:rPr>
              <w:t>are transport public metropolitan la municipiile cu zone ample de expansiune), c) dezvoltarea facilit</w:t>
            </w:r>
            <w:r w:rsidR="00BA7827" w:rsidRPr="008C5F1C">
              <w:rPr>
                <w:rFonts w:ascii="Times New Roman" w:hAnsi="Times New Roman" w:cs="Times New Roman"/>
              </w:rPr>
              <w:t>ă</w:t>
            </w:r>
            <w:r w:rsidR="00E22FF2" w:rsidRPr="008C5F1C">
              <w:rPr>
                <w:rFonts w:ascii="Times New Roman" w:hAnsi="Times New Roman" w:cs="Times New Roman"/>
              </w:rPr>
              <w:t>ț</w:t>
            </w:r>
            <w:r w:rsidRPr="008C5F1C">
              <w:rPr>
                <w:rFonts w:ascii="Times New Roman" w:hAnsi="Times New Roman" w:cs="Times New Roman"/>
              </w:rPr>
              <w:t xml:space="preserve">ilor de tip </w:t>
            </w:r>
            <w:proofErr w:type="spellStart"/>
            <w:r w:rsidRPr="008C5F1C">
              <w:rPr>
                <w:rFonts w:ascii="Times New Roman" w:hAnsi="Times New Roman" w:cs="Times New Roman"/>
              </w:rPr>
              <w:t>park</w:t>
            </w:r>
            <w:proofErr w:type="spellEnd"/>
            <w:r w:rsidRPr="008C5F1C">
              <w:rPr>
                <w:rFonts w:ascii="Times New Roman" w:hAnsi="Times New Roman" w:cs="Times New Roman"/>
              </w:rPr>
              <w:t xml:space="preserve"> &amp; </w:t>
            </w:r>
            <w:proofErr w:type="spellStart"/>
            <w:r w:rsidRPr="008C5F1C">
              <w:rPr>
                <w:rFonts w:ascii="Times New Roman" w:hAnsi="Times New Roman" w:cs="Times New Roman"/>
              </w:rPr>
              <w:t>ride</w:t>
            </w:r>
            <w:proofErr w:type="spellEnd"/>
            <w:r w:rsidRPr="008C5F1C">
              <w:rPr>
                <w:rFonts w:ascii="Times New Roman" w:hAnsi="Times New Roman" w:cs="Times New Roman"/>
              </w:rPr>
              <w:t xml:space="preserve">. </w:t>
            </w:r>
          </w:p>
          <w:p w14:paraId="759FD508" w14:textId="77777777" w:rsidR="00653571" w:rsidRPr="008C5F1C" w:rsidRDefault="00653571" w:rsidP="008131FB">
            <w:pPr>
              <w:spacing w:after="120" w:line="240" w:lineRule="auto"/>
              <w:jc w:val="both"/>
              <w:rPr>
                <w:rFonts w:ascii="Times New Roman" w:hAnsi="Times New Roman" w:cs="Times New Roman"/>
              </w:rPr>
            </w:pPr>
            <w:r w:rsidRPr="008C5F1C">
              <w:rPr>
                <w:rFonts w:ascii="Times New Roman" w:hAnsi="Times New Roman" w:cs="Times New Roman"/>
              </w:rPr>
              <w:t>Lipsa facilit</w:t>
            </w:r>
            <w:r w:rsidR="00BA7827" w:rsidRPr="008C5F1C">
              <w:rPr>
                <w:rFonts w:ascii="Times New Roman" w:hAnsi="Times New Roman" w:cs="Times New Roman"/>
              </w:rPr>
              <w:t>ă</w:t>
            </w:r>
            <w:r w:rsidR="00E22FF2" w:rsidRPr="008C5F1C">
              <w:rPr>
                <w:rFonts w:ascii="Times New Roman" w:hAnsi="Times New Roman" w:cs="Times New Roman"/>
              </w:rPr>
              <w:t>ț</w:t>
            </w:r>
            <w:r w:rsidRPr="008C5F1C">
              <w:rPr>
                <w:rFonts w:ascii="Times New Roman" w:hAnsi="Times New Roman" w:cs="Times New Roman"/>
              </w:rPr>
              <w:t>ilor care s</w:t>
            </w:r>
            <w:r w:rsidR="00BA7827" w:rsidRPr="008C5F1C">
              <w:rPr>
                <w:rFonts w:ascii="Times New Roman" w:hAnsi="Times New Roman" w:cs="Times New Roman"/>
              </w:rPr>
              <w:t>ă</w:t>
            </w:r>
            <w:r w:rsidRPr="008C5F1C">
              <w:rPr>
                <w:rFonts w:ascii="Times New Roman" w:hAnsi="Times New Roman" w:cs="Times New Roman"/>
              </w:rPr>
              <w:t xml:space="preserve"> permit</w:t>
            </w:r>
            <w:r w:rsidR="00BA7827" w:rsidRPr="008C5F1C">
              <w:rPr>
                <w:rFonts w:ascii="Times New Roman" w:hAnsi="Times New Roman" w:cs="Times New Roman"/>
              </w:rPr>
              <w:t>ă</w:t>
            </w:r>
            <w:r w:rsidRPr="008C5F1C">
              <w:rPr>
                <w:rFonts w:ascii="Times New Roman" w:hAnsi="Times New Roman" w:cs="Times New Roman"/>
              </w:rPr>
              <w:t xml:space="preserve"> o deplasare sigur</w:t>
            </w:r>
            <w:r w:rsidR="00BA7827" w:rsidRPr="008C5F1C">
              <w:rPr>
                <w:rFonts w:ascii="Times New Roman" w:hAnsi="Times New Roman" w:cs="Times New Roman"/>
              </w:rPr>
              <w:t>ă</w:t>
            </w:r>
            <w:r w:rsidRPr="008C5F1C">
              <w:rPr>
                <w:rFonts w:ascii="Times New Roman" w:hAnsi="Times New Roman" w:cs="Times New Roman"/>
              </w:rPr>
              <w:t xml:space="preserve"> a bicicli</w:t>
            </w:r>
            <w:r w:rsidR="00106240" w:rsidRPr="008C5F1C">
              <w:rPr>
                <w:rFonts w:ascii="Times New Roman" w:hAnsi="Times New Roman" w:cs="Times New Roman"/>
              </w:rPr>
              <w:t>ș</w:t>
            </w:r>
            <w:r w:rsidRPr="008C5F1C">
              <w:rPr>
                <w:rFonts w:ascii="Times New Roman" w:hAnsi="Times New Roman" w:cs="Times New Roman"/>
              </w:rPr>
              <w:t>tilor în mediul urban este principalul motiv pentru care ponderea acestui mod de deplasare este înc</w:t>
            </w:r>
            <w:r w:rsidR="00BA7827" w:rsidRPr="008C5F1C">
              <w:rPr>
                <w:rFonts w:ascii="Times New Roman" w:hAnsi="Times New Roman" w:cs="Times New Roman"/>
              </w:rPr>
              <w:t>ă</w:t>
            </w:r>
            <w:r w:rsidRPr="008C5F1C">
              <w:rPr>
                <w:rFonts w:ascii="Times New Roman" w:hAnsi="Times New Roman" w:cs="Times New Roman"/>
              </w:rPr>
              <w:t xml:space="preserve"> redus. În acest sens, pentru a cre</w:t>
            </w:r>
            <w:r w:rsidR="00106240" w:rsidRPr="008C5F1C">
              <w:rPr>
                <w:rFonts w:ascii="Times New Roman" w:hAnsi="Times New Roman" w:cs="Times New Roman"/>
              </w:rPr>
              <w:t>ș</w:t>
            </w:r>
            <w:r w:rsidRPr="008C5F1C">
              <w:rPr>
                <w:rFonts w:ascii="Times New Roman" w:hAnsi="Times New Roman" w:cs="Times New Roman"/>
              </w:rPr>
              <w:t>te ponderea modalit</w:t>
            </w:r>
            <w:r w:rsidR="00BA7827" w:rsidRPr="008C5F1C">
              <w:rPr>
                <w:rFonts w:ascii="Times New Roman" w:hAnsi="Times New Roman" w:cs="Times New Roman"/>
              </w:rPr>
              <w:t>ă</w:t>
            </w:r>
            <w:r w:rsidR="00E22FF2" w:rsidRPr="008C5F1C">
              <w:rPr>
                <w:rFonts w:ascii="Times New Roman" w:hAnsi="Times New Roman" w:cs="Times New Roman"/>
              </w:rPr>
              <w:t>ț</w:t>
            </w:r>
            <w:r w:rsidRPr="008C5F1C">
              <w:rPr>
                <w:rFonts w:ascii="Times New Roman" w:hAnsi="Times New Roman" w:cs="Times New Roman"/>
              </w:rPr>
              <w:t>ilor active de transport este nevoie de extinderea infrastructurii pentru biciclete (inclusiv dot</w:t>
            </w:r>
            <w:r w:rsidR="00BA7827" w:rsidRPr="008C5F1C">
              <w:rPr>
                <w:rFonts w:ascii="Times New Roman" w:hAnsi="Times New Roman" w:cs="Times New Roman"/>
              </w:rPr>
              <w:t>ă</w:t>
            </w:r>
            <w:r w:rsidRPr="008C5F1C">
              <w:rPr>
                <w:rFonts w:ascii="Times New Roman" w:hAnsi="Times New Roman" w:cs="Times New Roman"/>
              </w:rPr>
              <w:t>ri aferente: parc</w:t>
            </w:r>
            <w:r w:rsidR="00BA7827" w:rsidRPr="008C5F1C">
              <w:rPr>
                <w:rFonts w:ascii="Times New Roman" w:hAnsi="Times New Roman" w:cs="Times New Roman"/>
              </w:rPr>
              <w:t>ă</w:t>
            </w:r>
            <w:r w:rsidRPr="008C5F1C">
              <w:rPr>
                <w:rFonts w:ascii="Times New Roman" w:hAnsi="Times New Roman" w:cs="Times New Roman"/>
              </w:rPr>
              <w:t>ri, sisteme închiriat biciclete, sta</w:t>
            </w:r>
            <w:r w:rsidR="00E22FF2" w:rsidRPr="008C5F1C">
              <w:rPr>
                <w:rFonts w:ascii="Times New Roman" w:hAnsi="Times New Roman" w:cs="Times New Roman"/>
              </w:rPr>
              <w:t>ț</w:t>
            </w:r>
            <w:r w:rsidRPr="008C5F1C">
              <w:rPr>
                <w:rFonts w:ascii="Times New Roman" w:hAnsi="Times New Roman" w:cs="Times New Roman"/>
              </w:rPr>
              <w:t>ii „self care”, etc.). În ceea ce prive</w:t>
            </w:r>
            <w:r w:rsidR="00106240" w:rsidRPr="008C5F1C">
              <w:rPr>
                <w:rFonts w:ascii="Times New Roman" w:hAnsi="Times New Roman" w:cs="Times New Roman"/>
              </w:rPr>
              <w:t>ș</w:t>
            </w:r>
            <w:r w:rsidRPr="008C5F1C">
              <w:rPr>
                <w:rFonts w:ascii="Times New Roman" w:hAnsi="Times New Roman" w:cs="Times New Roman"/>
              </w:rPr>
              <w:t>te deplas</w:t>
            </w:r>
            <w:r w:rsidR="00BA7827" w:rsidRPr="008C5F1C">
              <w:rPr>
                <w:rFonts w:ascii="Times New Roman" w:hAnsi="Times New Roman" w:cs="Times New Roman"/>
              </w:rPr>
              <w:t>ă</w:t>
            </w:r>
            <w:r w:rsidRPr="008C5F1C">
              <w:rPr>
                <w:rFonts w:ascii="Times New Roman" w:hAnsi="Times New Roman" w:cs="Times New Roman"/>
              </w:rPr>
              <w:t>rile pietonale, trebuie sus</w:t>
            </w:r>
            <w:r w:rsidR="00E22FF2" w:rsidRPr="008C5F1C">
              <w:rPr>
                <w:rFonts w:ascii="Times New Roman" w:hAnsi="Times New Roman" w:cs="Times New Roman"/>
              </w:rPr>
              <w:t>ț</w:t>
            </w:r>
            <w:r w:rsidRPr="008C5F1C">
              <w:rPr>
                <w:rFonts w:ascii="Times New Roman" w:hAnsi="Times New Roman" w:cs="Times New Roman"/>
              </w:rPr>
              <w:t>inut</w:t>
            </w:r>
            <w:r w:rsidR="00BA7827" w:rsidRPr="008C5F1C">
              <w:rPr>
                <w:rFonts w:ascii="Times New Roman" w:hAnsi="Times New Roman" w:cs="Times New Roman"/>
              </w:rPr>
              <w:t>ă</w:t>
            </w:r>
            <w:r w:rsidRPr="008C5F1C">
              <w:rPr>
                <w:rFonts w:ascii="Times New Roman" w:hAnsi="Times New Roman" w:cs="Times New Roman"/>
              </w:rPr>
              <w:t xml:space="preserve"> în continuarea procesul de </w:t>
            </w:r>
            <w:proofErr w:type="spellStart"/>
            <w:r w:rsidRPr="008C5F1C">
              <w:rPr>
                <w:rFonts w:ascii="Times New Roman" w:hAnsi="Times New Roman" w:cs="Times New Roman"/>
              </w:rPr>
              <w:t>pietonizare</w:t>
            </w:r>
            <w:proofErr w:type="spellEnd"/>
            <w:r w:rsidRPr="008C5F1C">
              <w:rPr>
                <w:rFonts w:ascii="Times New Roman" w:hAnsi="Times New Roman" w:cs="Times New Roman"/>
              </w:rPr>
              <w:t xml:space="preserve">, mai ales a zonelor centrale dar se resimte nevoia de a interveni </w:t>
            </w:r>
            <w:r w:rsidR="00106240" w:rsidRPr="008C5F1C">
              <w:rPr>
                <w:rFonts w:ascii="Times New Roman" w:hAnsi="Times New Roman" w:cs="Times New Roman"/>
              </w:rPr>
              <w:t>ș</w:t>
            </w:r>
            <w:r w:rsidRPr="008C5F1C">
              <w:rPr>
                <w:rFonts w:ascii="Times New Roman" w:hAnsi="Times New Roman" w:cs="Times New Roman"/>
              </w:rPr>
              <w:t>i în zonele reziden</w:t>
            </w:r>
            <w:r w:rsidR="00E22FF2" w:rsidRPr="008C5F1C">
              <w:rPr>
                <w:rFonts w:ascii="Times New Roman" w:hAnsi="Times New Roman" w:cs="Times New Roman"/>
              </w:rPr>
              <w:t>ț</w:t>
            </w:r>
            <w:r w:rsidRPr="008C5F1C">
              <w:rPr>
                <w:rFonts w:ascii="Times New Roman" w:hAnsi="Times New Roman" w:cs="Times New Roman"/>
              </w:rPr>
              <w:t>iale.</w:t>
            </w:r>
          </w:p>
          <w:p w14:paraId="0FBC8055" w14:textId="77777777" w:rsidR="00653571" w:rsidRPr="008C5F1C" w:rsidRDefault="00653571" w:rsidP="008131FB">
            <w:pPr>
              <w:spacing w:after="120" w:line="240" w:lineRule="auto"/>
              <w:jc w:val="both"/>
              <w:rPr>
                <w:rFonts w:ascii="Times New Roman" w:hAnsi="Times New Roman" w:cs="Times New Roman"/>
                <w:caps/>
              </w:rPr>
            </w:pPr>
            <w:r w:rsidRPr="008C5F1C">
              <w:rPr>
                <w:rFonts w:ascii="Times New Roman" w:hAnsi="Times New Roman" w:cs="Times New Roman"/>
              </w:rPr>
              <w:t>Num</w:t>
            </w:r>
            <w:r w:rsidR="00BA7827" w:rsidRPr="008C5F1C">
              <w:rPr>
                <w:rFonts w:ascii="Times New Roman" w:hAnsi="Times New Roman" w:cs="Times New Roman"/>
              </w:rPr>
              <w:t>ă</w:t>
            </w:r>
            <w:r w:rsidRPr="008C5F1C">
              <w:rPr>
                <w:rFonts w:ascii="Times New Roman" w:hAnsi="Times New Roman" w:cs="Times New Roman"/>
              </w:rPr>
              <w:t>rul ora</w:t>
            </w:r>
            <w:r w:rsidR="00106240" w:rsidRPr="008C5F1C">
              <w:rPr>
                <w:rFonts w:ascii="Times New Roman" w:hAnsi="Times New Roman" w:cs="Times New Roman"/>
              </w:rPr>
              <w:t>ș</w:t>
            </w:r>
            <w:r w:rsidRPr="008C5F1C">
              <w:rPr>
                <w:rFonts w:ascii="Times New Roman" w:hAnsi="Times New Roman" w:cs="Times New Roman"/>
              </w:rPr>
              <w:t>elor care beneficiaz</w:t>
            </w:r>
            <w:r w:rsidR="00BA7827" w:rsidRPr="008C5F1C">
              <w:rPr>
                <w:rFonts w:ascii="Times New Roman" w:hAnsi="Times New Roman" w:cs="Times New Roman"/>
              </w:rPr>
              <w:t>ă</w:t>
            </w:r>
            <w:r w:rsidRPr="008C5F1C">
              <w:rPr>
                <w:rFonts w:ascii="Times New Roman" w:hAnsi="Times New Roman" w:cs="Times New Roman"/>
              </w:rPr>
              <w:t xml:space="preserve"> de sisteme de management al traficului este înc</w:t>
            </w:r>
            <w:r w:rsidR="00BA7827" w:rsidRPr="008C5F1C">
              <w:rPr>
                <w:rFonts w:ascii="Times New Roman" w:hAnsi="Times New Roman" w:cs="Times New Roman"/>
              </w:rPr>
              <w:t>ă</w:t>
            </w:r>
            <w:r w:rsidRPr="008C5F1C">
              <w:rPr>
                <w:rFonts w:ascii="Times New Roman" w:hAnsi="Times New Roman" w:cs="Times New Roman"/>
              </w:rPr>
              <w:t xml:space="preserve"> foarte redus ceea ce eviden</w:t>
            </w:r>
            <w:r w:rsidR="00E22FF2" w:rsidRPr="008C5F1C">
              <w:rPr>
                <w:rFonts w:ascii="Times New Roman" w:hAnsi="Times New Roman" w:cs="Times New Roman"/>
              </w:rPr>
              <w:t>ț</w:t>
            </w:r>
            <w:r w:rsidRPr="008C5F1C">
              <w:rPr>
                <w:rFonts w:ascii="Times New Roman" w:hAnsi="Times New Roman" w:cs="Times New Roman"/>
              </w:rPr>
              <w:t>iaz</w:t>
            </w:r>
            <w:r w:rsidR="00BA7827" w:rsidRPr="008C5F1C">
              <w:rPr>
                <w:rFonts w:ascii="Times New Roman" w:hAnsi="Times New Roman" w:cs="Times New Roman"/>
              </w:rPr>
              <w:t>ă</w:t>
            </w:r>
            <w:r w:rsidRPr="008C5F1C">
              <w:rPr>
                <w:rFonts w:ascii="Times New Roman" w:hAnsi="Times New Roman" w:cs="Times New Roman"/>
              </w:rPr>
              <w:t xml:space="preserve"> dificultatea de a în</w:t>
            </w:r>
            <w:r w:rsidR="00E22FF2" w:rsidRPr="008C5F1C">
              <w:rPr>
                <w:rFonts w:ascii="Times New Roman" w:hAnsi="Times New Roman" w:cs="Times New Roman"/>
              </w:rPr>
              <w:t>ț</w:t>
            </w:r>
            <w:r w:rsidRPr="008C5F1C">
              <w:rPr>
                <w:rFonts w:ascii="Times New Roman" w:hAnsi="Times New Roman" w:cs="Times New Roman"/>
              </w:rPr>
              <w:t xml:space="preserve">elege </w:t>
            </w:r>
            <w:r w:rsidR="00106240" w:rsidRPr="008C5F1C">
              <w:rPr>
                <w:rFonts w:ascii="Times New Roman" w:hAnsi="Times New Roman" w:cs="Times New Roman"/>
              </w:rPr>
              <w:t>ș</w:t>
            </w:r>
            <w:r w:rsidRPr="008C5F1C">
              <w:rPr>
                <w:rFonts w:ascii="Times New Roman" w:hAnsi="Times New Roman" w:cs="Times New Roman"/>
              </w:rPr>
              <w:t xml:space="preserve">i gestiona deplasarea în mediul urban. </w:t>
            </w:r>
          </w:p>
          <w:p w14:paraId="4D93EA0F" w14:textId="77777777" w:rsidR="00653571" w:rsidRPr="008C5F1C" w:rsidRDefault="00653571" w:rsidP="008131FB">
            <w:pPr>
              <w:spacing w:after="120" w:line="240" w:lineRule="auto"/>
              <w:jc w:val="both"/>
              <w:rPr>
                <w:rFonts w:ascii="Times New Roman" w:hAnsi="Times New Roman" w:cs="Times New Roman"/>
              </w:rPr>
            </w:pPr>
            <w:r w:rsidRPr="008C5F1C">
              <w:rPr>
                <w:rFonts w:ascii="Times New Roman" w:hAnsi="Times New Roman" w:cs="Times New Roman"/>
              </w:rPr>
              <w:t>Calitatea infrastructurii rutiere, r</w:t>
            </w:r>
            <w:r w:rsidR="00BA7827" w:rsidRPr="008C5F1C">
              <w:rPr>
                <w:rFonts w:ascii="Times New Roman" w:hAnsi="Times New Roman" w:cs="Times New Roman"/>
              </w:rPr>
              <w:t>ă</w:t>
            </w:r>
            <w:r w:rsidRPr="008C5F1C">
              <w:rPr>
                <w:rFonts w:ascii="Times New Roman" w:hAnsi="Times New Roman" w:cs="Times New Roman"/>
              </w:rPr>
              <w:t>mâne o provocare, mai ales în ora</w:t>
            </w:r>
            <w:r w:rsidR="00106240" w:rsidRPr="008C5F1C">
              <w:rPr>
                <w:rFonts w:ascii="Times New Roman" w:hAnsi="Times New Roman" w:cs="Times New Roman"/>
              </w:rPr>
              <w:t>ș</w:t>
            </w:r>
            <w:r w:rsidRPr="008C5F1C">
              <w:rPr>
                <w:rFonts w:ascii="Times New Roman" w:hAnsi="Times New Roman" w:cs="Times New Roman"/>
              </w:rPr>
              <w:t>ele mici. Pentru a putea asigura condi</w:t>
            </w:r>
            <w:r w:rsidR="00E22FF2" w:rsidRPr="008C5F1C">
              <w:rPr>
                <w:rFonts w:ascii="Times New Roman" w:hAnsi="Times New Roman" w:cs="Times New Roman"/>
              </w:rPr>
              <w:t>ț</w:t>
            </w:r>
            <w:r w:rsidRPr="008C5F1C">
              <w:rPr>
                <w:rFonts w:ascii="Times New Roman" w:hAnsi="Times New Roman" w:cs="Times New Roman"/>
              </w:rPr>
              <w:t xml:space="preserve">ii sigure de deplasare în mediul urban dar </w:t>
            </w:r>
            <w:r w:rsidR="00106240" w:rsidRPr="008C5F1C">
              <w:rPr>
                <w:rFonts w:ascii="Times New Roman" w:hAnsi="Times New Roman" w:cs="Times New Roman"/>
              </w:rPr>
              <w:t>ș</w:t>
            </w:r>
            <w:r w:rsidRPr="008C5F1C">
              <w:rPr>
                <w:rFonts w:ascii="Times New Roman" w:hAnsi="Times New Roman" w:cs="Times New Roman"/>
              </w:rPr>
              <w:t>i pentru a putea dezvolta proiecte de mobilitate urban</w:t>
            </w:r>
            <w:r w:rsidR="00BA7827" w:rsidRPr="008C5F1C">
              <w:rPr>
                <w:rFonts w:ascii="Times New Roman" w:hAnsi="Times New Roman" w:cs="Times New Roman"/>
              </w:rPr>
              <w:t>ă</w:t>
            </w:r>
            <w:r w:rsidRPr="008C5F1C">
              <w:rPr>
                <w:rFonts w:ascii="Times New Roman" w:hAnsi="Times New Roman" w:cs="Times New Roman"/>
              </w:rPr>
              <w:t xml:space="preserve"> este nevoie de sus</w:t>
            </w:r>
            <w:r w:rsidR="00E22FF2" w:rsidRPr="008C5F1C">
              <w:rPr>
                <w:rFonts w:ascii="Times New Roman" w:hAnsi="Times New Roman" w:cs="Times New Roman"/>
              </w:rPr>
              <w:t>ț</w:t>
            </w:r>
            <w:r w:rsidRPr="008C5F1C">
              <w:rPr>
                <w:rFonts w:ascii="Times New Roman" w:hAnsi="Times New Roman" w:cs="Times New Roman"/>
              </w:rPr>
              <w:t>inerea procesului de modernizare a infrastructurii de transport rutier. Acest aspect este valabil mai ales la ora</w:t>
            </w:r>
            <w:r w:rsidR="00106240" w:rsidRPr="008C5F1C">
              <w:rPr>
                <w:rFonts w:ascii="Times New Roman" w:hAnsi="Times New Roman" w:cs="Times New Roman"/>
              </w:rPr>
              <w:t>ș</w:t>
            </w:r>
            <w:r w:rsidRPr="008C5F1C">
              <w:rPr>
                <w:rFonts w:ascii="Times New Roman" w:hAnsi="Times New Roman" w:cs="Times New Roman"/>
              </w:rPr>
              <w:t xml:space="preserve">ele mici </w:t>
            </w:r>
            <w:r w:rsidR="00106240" w:rsidRPr="008C5F1C">
              <w:rPr>
                <w:rFonts w:ascii="Times New Roman" w:hAnsi="Times New Roman" w:cs="Times New Roman"/>
              </w:rPr>
              <w:t>ș</w:t>
            </w:r>
            <w:r w:rsidRPr="008C5F1C">
              <w:rPr>
                <w:rFonts w:ascii="Times New Roman" w:hAnsi="Times New Roman" w:cs="Times New Roman"/>
              </w:rPr>
              <w:t>i foarte mici care nu au capacitatea financiar</w:t>
            </w:r>
            <w:r w:rsidR="00BA7827" w:rsidRPr="008C5F1C">
              <w:rPr>
                <w:rFonts w:ascii="Times New Roman" w:hAnsi="Times New Roman" w:cs="Times New Roman"/>
              </w:rPr>
              <w:t>ă</w:t>
            </w:r>
            <w:r w:rsidRPr="008C5F1C">
              <w:rPr>
                <w:rFonts w:ascii="Times New Roman" w:hAnsi="Times New Roman" w:cs="Times New Roman"/>
              </w:rPr>
              <w:t xml:space="preserve"> de a realiza investi</w:t>
            </w:r>
            <w:r w:rsidR="00E22FF2" w:rsidRPr="008C5F1C">
              <w:rPr>
                <w:rFonts w:ascii="Times New Roman" w:hAnsi="Times New Roman" w:cs="Times New Roman"/>
              </w:rPr>
              <w:t>ț</w:t>
            </w:r>
            <w:r w:rsidRPr="008C5F1C">
              <w:rPr>
                <w:rFonts w:ascii="Times New Roman" w:hAnsi="Times New Roman" w:cs="Times New Roman"/>
              </w:rPr>
              <w:t xml:space="preserve">ii majore cum ar fi cele de modernizare a infrastructurii de transport rutier. </w:t>
            </w:r>
          </w:p>
          <w:p w14:paraId="3E872F98" w14:textId="77777777" w:rsidR="00653571" w:rsidRPr="008C5F1C" w:rsidRDefault="00653571" w:rsidP="008131FB">
            <w:pPr>
              <w:spacing w:after="120" w:line="240" w:lineRule="auto"/>
              <w:jc w:val="both"/>
              <w:rPr>
                <w:rFonts w:ascii="Times New Roman" w:hAnsi="Times New Roman" w:cs="Times New Roman"/>
              </w:rPr>
            </w:pPr>
            <w:r w:rsidRPr="008C5F1C">
              <w:rPr>
                <w:rFonts w:ascii="Times New Roman" w:hAnsi="Times New Roman" w:cs="Times New Roman"/>
              </w:rPr>
              <w:t>Infrastructura de transport (trotuare, intersec</w:t>
            </w:r>
            <w:r w:rsidR="00E22FF2" w:rsidRPr="008C5F1C">
              <w:rPr>
                <w:rFonts w:ascii="Times New Roman" w:hAnsi="Times New Roman" w:cs="Times New Roman"/>
              </w:rPr>
              <w:t>ț</w:t>
            </w:r>
            <w:r w:rsidRPr="008C5F1C">
              <w:rPr>
                <w:rFonts w:ascii="Times New Roman" w:hAnsi="Times New Roman" w:cs="Times New Roman"/>
              </w:rPr>
              <w:t>ii, sta</w:t>
            </w:r>
            <w:r w:rsidR="00E22FF2" w:rsidRPr="008C5F1C">
              <w:rPr>
                <w:rFonts w:ascii="Times New Roman" w:hAnsi="Times New Roman" w:cs="Times New Roman"/>
              </w:rPr>
              <w:t>ț</w:t>
            </w:r>
            <w:r w:rsidRPr="008C5F1C">
              <w:rPr>
                <w:rFonts w:ascii="Times New Roman" w:hAnsi="Times New Roman" w:cs="Times New Roman"/>
              </w:rPr>
              <w:t xml:space="preserve">ii </w:t>
            </w:r>
            <w:r w:rsidR="00106240" w:rsidRPr="008C5F1C">
              <w:rPr>
                <w:rFonts w:ascii="Times New Roman" w:hAnsi="Times New Roman" w:cs="Times New Roman"/>
              </w:rPr>
              <w:t>ș</w:t>
            </w:r>
            <w:r w:rsidRPr="008C5F1C">
              <w:rPr>
                <w:rFonts w:ascii="Times New Roman" w:hAnsi="Times New Roman" w:cs="Times New Roman"/>
              </w:rPr>
              <w:t>i mijloace de transport public) nu este accesibilizat</w:t>
            </w:r>
            <w:r w:rsidR="00BA7827" w:rsidRPr="008C5F1C">
              <w:rPr>
                <w:rFonts w:ascii="Times New Roman" w:hAnsi="Times New Roman" w:cs="Times New Roman"/>
              </w:rPr>
              <w:t>ă</w:t>
            </w:r>
            <w:r w:rsidRPr="008C5F1C">
              <w:rPr>
                <w:rFonts w:ascii="Times New Roman" w:hAnsi="Times New Roman" w:cs="Times New Roman"/>
              </w:rPr>
              <w:t>. Foarte pu</w:t>
            </w:r>
            <w:r w:rsidR="00E22FF2" w:rsidRPr="008C5F1C">
              <w:rPr>
                <w:rFonts w:ascii="Times New Roman" w:hAnsi="Times New Roman" w:cs="Times New Roman"/>
              </w:rPr>
              <w:t>ț</w:t>
            </w:r>
            <w:r w:rsidRPr="008C5F1C">
              <w:rPr>
                <w:rFonts w:ascii="Times New Roman" w:hAnsi="Times New Roman" w:cs="Times New Roman"/>
              </w:rPr>
              <w:t>ine proiecte implementate în ultimii ani respect</w:t>
            </w:r>
            <w:r w:rsidR="00BA7827" w:rsidRPr="008C5F1C">
              <w:rPr>
                <w:rFonts w:ascii="Times New Roman" w:hAnsi="Times New Roman" w:cs="Times New Roman"/>
              </w:rPr>
              <w:t>ă</w:t>
            </w:r>
            <w:r w:rsidRPr="008C5F1C">
              <w:rPr>
                <w:rFonts w:ascii="Times New Roman" w:hAnsi="Times New Roman" w:cs="Times New Roman"/>
              </w:rPr>
              <w:t xml:space="preserve"> m</w:t>
            </w:r>
            <w:r w:rsidR="00BA7827" w:rsidRPr="008C5F1C">
              <w:rPr>
                <w:rFonts w:ascii="Times New Roman" w:hAnsi="Times New Roman" w:cs="Times New Roman"/>
              </w:rPr>
              <w:t>ă</w:t>
            </w:r>
            <w:r w:rsidRPr="008C5F1C">
              <w:rPr>
                <w:rFonts w:ascii="Times New Roman" w:hAnsi="Times New Roman" w:cs="Times New Roman"/>
              </w:rPr>
              <w:t>car par</w:t>
            </w:r>
            <w:r w:rsidR="00E22FF2" w:rsidRPr="008C5F1C">
              <w:rPr>
                <w:rFonts w:ascii="Times New Roman" w:hAnsi="Times New Roman" w:cs="Times New Roman"/>
              </w:rPr>
              <w:t>ț</w:t>
            </w:r>
            <w:r w:rsidRPr="008C5F1C">
              <w:rPr>
                <w:rFonts w:ascii="Times New Roman" w:hAnsi="Times New Roman" w:cs="Times New Roman"/>
              </w:rPr>
              <w:t>ial Normativul pentru accesibilizarea spa</w:t>
            </w:r>
            <w:r w:rsidR="00E22FF2" w:rsidRPr="008C5F1C">
              <w:rPr>
                <w:rFonts w:ascii="Times New Roman" w:hAnsi="Times New Roman" w:cs="Times New Roman"/>
              </w:rPr>
              <w:t>ț</w:t>
            </w:r>
            <w:r w:rsidRPr="008C5F1C">
              <w:rPr>
                <w:rFonts w:ascii="Times New Roman" w:hAnsi="Times New Roman" w:cs="Times New Roman"/>
              </w:rPr>
              <w:t>iului urban NP-051. Astfel, trebuie sus</w:t>
            </w:r>
            <w:r w:rsidR="00E22FF2" w:rsidRPr="008C5F1C">
              <w:rPr>
                <w:rFonts w:ascii="Times New Roman" w:hAnsi="Times New Roman" w:cs="Times New Roman"/>
              </w:rPr>
              <w:t>ț</w:t>
            </w:r>
            <w:r w:rsidRPr="008C5F1C">
              <w:rPr>
                <w:rFonts w:ascii="Times New Roman" w:hAnsi="Times New Roman" w:cs="Times New Roman"/>
              </w:rPr>
              <w:t>inute m</w:t>
            </w:r>
            <w:r w:rsidR="00BA7827" w:rsidRPr="008C5F1C">
              <w:rPr>
                <w:rFonts w:ascii="Times New Roman" w:hAnsi="Times New Roman" w:cs="Times New Roman"/>
              </w:rPr>
              <w:t>ă</w:t>
            </w:r>
            <w:r w:rsidRPr="008C5F1C">
              <w:rPr>
                <w:rFonts w:ascii="Times New Roman" w:hAnsi="Times New Roman" w:cs="Times New Roman"/>
              </w:rPr>
              <w:t>suri de accesibilizare a spa</w:t>
            </w:r>
            <w:r w:rsidR="00E22FF2" w:rsidRPr="008C5F1C">
              <w:rPr>
                <w:rFonts w:ascii="Times New Roman" w:hAnsi="Times New Roman" w:cs="Times New Roman"/>
              </w:rPr>
              <w:t>ț</w:t>
            </w:r>
            <w:r w:rsidRPr="008C5F1C">
              <w:rPr>
                <w:rFonts w:ascii="Times New Roman" w:hAnsi="Times New Roman" w:cs="Times New Roman"/>
              </w:rPr>
              <w:t>iului urban, calmare a traficului (limitatoare de vitez</w:t>
            </w:r>
            <w:r w:rsidR="00BA7827" w:rsidRPr="008C5F1C">
              <w:rPr>
                <w:rFonts w:ascii="Times New Roman" w:hAnsi="Times New Roman" w:cs="Times New Roman"/>
              </w:rPr>
              <w:t>ă</w:t>
            </w:r>
            <w:r w:rsidRPr="008C5F1C">
              <w:rPr>
                <w:rFonts w:ascii="Times New Roman" w:hAnsi="Times New Roman" w:cs="Times New Roman"/>
              </w:rPr>
              <w:t>, intersec</w:t>
            </w:r>
            <w:r w:rsidR="00E22FF2" w:rsidRPr="008C5F1C">
              <w:rPr>
                <w:rFonts w:ascii="Times New Roman" w:hAnsi="Times New Roman" w:cs="Times New Roman"/>
              </w:rPr>
              <w:t>ț</w:t>
            </w:r>
            <w:r w:rsidRPr="008C5F1C">
              <w:rPr>
                <w:rFonts w:ascii="Times New Roman" w:hAnsi="Times New Roman" w:cs="Times New Roman"/>
              </w:rPr>
              <w:t>ii denivelate, bolarzi, etc.) al</w:t>
            </w:r>
            <w:r w:rsidR="00BA7827" w:rsidRPr="008C5F1C">
              <w:rPr>
                <w:rFonts w:ascii="Times New Roman" w:hAnsi="Times New Roman" w:cs="Times New Roman"/>
              </w:rPr>
              <w:t>ă</w:t>
            </w:r>
            <w:r w:rsidRPr="008C5F1C">
              <w:rPr>
                <w:rFonts w:ascii="Times New Roman" w:hAnsi="Times New Roman" w:cs="Times New Roman"/>
              </w:rPr>
              <w:t>turi de sanc</w:t>
            </w:r>
            <w:r w:rsidR="00E22FF2" w:rsidRPr="008C5F1C">
              <w:rPr>
                <w:rFonts w:ascii="Times New Roman" w:hAnsi="Times New Roman" w:cs="Times New Roman"/>
              </w:rPr>
              <w:t>ț</w:t>
            </w:r>
            <w:r w:rsidRPr="008C5F1C">
              <w:rPr>
                <w:rFonts w:ascii="Times New Roman" w:hAnsi="Times New Roman" w:cs="Times New Roman"/>
              </w:rPr>
              <w:t>iuni frecvente, mai ales pentru parcarea ilegal</w:t>
            </w:r>
            <w:r w:rsidR="00BA7827" w:rsidRPr="008C5F1C">
              <w:rPr>
                <w:rFonts w:ascii="Times New Roman" w:hAnsi="Times New Roman" w:cs="Times New Roman"/>
              </w:rPr>
              <w:t>ă</w:t>
            </w:r>
            <w:r w:rsidRPr="008C5F1C">
              <w:rPr>
                <w:rFonts w:ascii="Times New Roman" w:hAnsi="Times New Roman" w:cs="Times New Roman"/>
              </w:rPr>
              <w:t>.</w:t>
            </w:r>
          </w:p>
          <w:p w14:paraId="6339B481" w14:textId="77777777" w:rsidR="00653571" w:rsidRPr="008C5F1C" w:rsidRDefault="00653571" w:rsidP="008131FB">
            <w:pPr>
              <w:spacing w:after="120" w:line="240" w:lineRule="auto"/>
              <w:jc w:val="both"/>
              <w:rPr>
                <w:rFonts w:ascii="Times New Roman" w:hAnsi="Times New Roman" w:cs="Times New Roman"/>
              </w:rPr>
            </w:pPr>
            <w:r w:rsidRPr="008C5F1C">
              <w:rPr>
                <w:rFonts w:ascii="Times New Roman" w:hAnsi="Times New Roman" w:cs="Times New Roman"/>
              </w:rPr>
              <w:t>În conformitate cu prevederile ”Strategiei Regionale de Mobilitate Urban</w:t>
            </w:r>
            <w:r w:rsidR="00BA7827" w:rsidRPr="008C5F1C">
              <w:rPr>
                <w:rFonts w:ascii="Times New Roman" w:hAnsi="Times New Roman" w:cs="Times New Roman"/>
              </w:rPr>
              <w:t>ă</w:t>
            </w:r>
            <w:r w:rsidRPr="008C5F1C">
              <w:rPr>
                <w:rFonts w:ascii="Times New Roman" w:hAnsi="Times New Roman" w:cs="Times New Roman"/>
              </w:rPr>
              <w:t xml:space="preserve"> Durabil</w:t>
            </w:r>
            <w:r w:rsidR="00BA7827" w:rsidRPr="008C5F1C">
              <w:rPr>
                <w:rFonts w:ascii="Times New Roman" w:hAnsi="Times New Roman" w:cs="Times New Roman"/>
              </w:rPr>
              <w:t>ă</w:t>
            </w:r>
            <w:r w:rsidRPr="008C5F1C">
              <w:rPr>
                <w:rFonts w:ascii="Times New Roman" w:hAnsi="Times New Roman" w:cs="Times New Roman"/>
              </w:rPr>
              <w:t xml:space="preserve"> </w:t>
            </w:r>
            <w:r w:rsidR="00106240" w:rsidRPr="008C5F1C">
              <w:rPr>
                <w:rFonts w:ascii="Times New Roman" w:hAnsi="Times New Roman" w:cs="Times New Roman"/>
              </w:rPr>
              <w:t>ș</w:t>
            </w:r>
            <w:r w:rsidRPr="008C5F1C">
              <w:rPr>
                <w:rFonts w:ascii="Times New Roman" w:hAnsi="Times New Roman" w:cs="Times New Roman"/>
              </w:rPr>
              <w:t>i Ora</w:t>
            </w:r>
            <w:r w:rsidR="00106240" w:rsidRPr="008C5F1C">
              <w:rPr>
                <w:rFonts w:ascii="Times New Roman" w:hAnsi="Times New Roman" w:cs="Times New Roman"/>
              </w:rPr>
              <w:t>ș</w:t>
            </w:r>
            <w:r w:rsidRPr="008C5F1C">
              <w:rPr>
                <w:rFonts w:ascii="Times New Roman" w:hAnsi="Times New Roman" w:cs="Times New Roman"/>
              </w:rPr>
              <w:t>e Inteligente a Regiunii de Dezvoltare Nord-Vest 2021-2027”, opera</w:t>
            </w:r>
            <w:r w:rsidR="00E22FF2" w:rsidRPr="008C5F1C">
              <w:rPr>
                <w:rFonts w:ascii="Times New Roman" w:hAnsi="Times New Roman" w:cs="Times New Roman"/>
              </w:rPr>
              <w:t>ț</w:t>
            </w:r>
            <w:r w:rsidRPr="008C5F1C">
              <w:rPr>
                <w:rFonts w:ascii="Times New Roman" w:hAnsi="Times New Roman" w:cs="Times New Roman"/>
              </w:rPr>
              <w:t>iunile sprijinite în cadrul acestui obiectiv specific urm</w:t>
            </w:r>
            <w:r w:rsidR="00BA7827" w:rsidRPr="008C5F1C">
              <w:rPr>
                <w:rFonts w:ascii="Times New Roman" w:hAnsi="Times New Roman" w:cs="Times New Roman"/>
              </w:rPr>
              <w:t>ă</w:t>
            </w:r>
            <w:r w:rsidRPr="008C5F1C">
              <w:rPr>
                <w:rFonts w:ascii="Times New Roman" w:hAnsi="Times New Roman" w:cs="Times New Roman"/>
              </w:rPr>
              <w:t>resc îmbun</w:t>
            </w:r>
            <w:r w:rsidR="00BA7827" w:rsidRPr="008C5F1C">
              <w:rPr>
                <w:rFonts w:ascii="Times New Roman" w:hAnsi="Times New Roman" w:cs="Times New Roman"/>
              </w:rPr>
              <w:t>ă</w:t>
            </w:r>
            <w:r w:rsidRPr="008C5F1C">
              <w:rPr>
                <w:rFonts w:ascii="Times New Roman" w:hAnsi="Times New Roman" w:cs="Times New Roman"/>
              </w:rPr>
              <w:t>t</w:t>
            </w:r>
            <w:r w:rsidR="00BA7827" w:rsidRPr="008C5F1C">
              <w:rPr>
                <w:rFonts w:ascii="Times New Roman" w:hAnsi="Times New Roman" w:cs="Times New Roman"/>
              </w:rPr>
              <w:t>ă</w:t>
            </w:r>
            <w:r w:rsidR="00E22FF2" w:rsidRPr="008C5F1C">
              <w:rPr>
                <w:rFonts w:ascii="Times New Roman" w:hAnsi="Times New Roman" w:cs="Times New Roman"/>
              </w:rPr>
              <w:t>ț</w:t>
            </w:r>
            <w:r w:rsidRPr="008C5F1C">
              <w:rPr>
                <w:rFonts w:ascii="Times New Roman" w:hAnsi="Times New Roman" w:cs="Times New Roman"/>
              </w:rPr>
              <w:t>irea mobilit</w:t>
            </w:r>
            <w:r w:rsidR="00BA7827" w:rsidRPr="008C5F1C">
              <w:rPr>
                <w:rFonts w:ascii="Times New Roman" w:hAnsi="Times New Roman" w:cs="Times New Roman"/>
              </w:rPr>
              <w:t>ă</w:t>
            </w:r>
            <w:r w:rsidR="00E22FF2" w:rsidRPr="008C5F1C">
              <w:rPr>
                <w:rFonts w:ascii="Times New Roman" w:hAnsi="Times New Roman" w:cs="Times New Roman"/>
              </w:rPr>
              <w:t>ț</w:t>
            </w:r>
            <w:r w:rsidRPr="008C5F1C">
              <w:rPr>
                <w:rFonts w:ascii="Times New Roman" w:hAnsi="Times New Roman" w:cs="Times New Roman"/>
              </w:rPr>
              <w:t xml:space="preserve">ii urbane </w:t>
            </w:r>
            <w:r w:rsidR="00106240" w:rsidRPr="008C5F1C">
              <w:rPr>
                <w:rFonts w:ascii="Times New Roman" w:hAnsi="Times New Roman" w:cs="Times New Roman"/>
              </w:rPr>
              <w:t>ș</w:t>
            </w:r>
            <w:r w:rsidRPr="008C5F1C">
              <w:rPr>
                <w:rFonts w:ascii="Times New Roman" w:hAnsi="Times New Roman" w:cs="Times New Roman"/>
              </w:rPr>
              <w:t>i protec</w:t>
            </w:r>
            <w:r w:rsidR="00E22FF2" w:rsidRPr="008C5F1C">
              <w:rPr>
                <w:rFonts w:ascii="Times New Roman" w:hAnsi="Times New Roman" w:cs="Times New Roman"/>
              </w:rPr>
              <w:t>ț</w:t>
            </w:r>
            <w:r w:rsidRPr="008C5F1C">
              <w:rPr>
                <w:rFonts w:ascii="Times New Roman" w:hAnsi="Times New Roman" w:cs="Times New Roman"/>
              </w:rPr>
              <w:t>ia mediului, prin ac</w:t>
            </w:r>
            <w:r w:rsidR="00E22FF2" w:rsidRPr="008C5F1C">
              <w:rPr>
                <w:rFonts w:ascii="Times New Roman" w:hAnsi="Times New Roman" w:cs="Times New Roman"/>
              </w:rPr>
              <w:t>ț</w:t>
            </w:r>
            <w:r w:rsidRPr="008C5F1C">
              <w:rPr>
                <w:rFonts w:ascii="Times New Roman" w:hAnsi="Times New Roman" w:cs="Times New Roman"/>
              </w:rPr>
              <w:t xml:space="preserve">iuni integrate, adaptate nevoilor diferite din zonele urbane. Astfel, se are în vedere, pe de o parte, dezvoltarea unui transport public mai eficient </w:t>
            </w:r>
            <w:r w:rsidR="00106240" w:rsidRPr="008C5F1C">
              <w:rPr>
                <w:rFonts w:ascii="Times New Roman" w:hAnsi="Times New Roman" w:cs="Times New Roman"/>
              </w:rPr>
              <w:t>ș</w:t>
            </w:r>
            <w:r w:rsidRPr="008C5F1C">
              <w:rPr>
                <w:rFonts w:ascii="Times New Roman" w:hAnsi="Times New Roman" w:cs="Times New Roman"/>
              </w:rPr>
              <w:t>i mai rapid, cu un consum de energie sc</w:t>
            </w:r>
            <w:r w:rsidR="00BA7827" w:rsidRPr="008C5F1C">
              <w:rPr>
                <w:rFonts w:ascii="Times New Roman" w:hAnsi="Times New Roman" w:cs="Times New Roman"/>
              </w:rPr>
              <w:t>ă</w:t>
            </w:r>
            <w:r w:rsidRPr="008C5F1C">
              <w:rPr>
                <w:rFonts w:ascii="Times New Roman" w:hAnsi="Times New Roman" w:cs="Times New Roman"/>
              </w:rPr>
              <w:t>zut. Pe de alt</w:t>
            </w:r>
            <w:r w:rsidR="00BA7827" w:rsidRPr="008C5F1C">
              <w:rPr>
                <w:rFonts w:ascii="Times New Roman" w:hAnsi="Times New Roman" w:cs="Times New Roman"/>
              </w:rPr>
              <w:t>ă</w:t>
            </w:r>
            <w:r w:rsidRPr="008C5F1C">
              <w:rPr>
                <w:rFonts w:ascii="Times New Roman" w:hAnsi="Times New Roman" w:cs="Times New Roman"/>
              </w:rPr>
              <w:t xml:space="preserve"> parte, se urm</w:t>
            </w:r>
            <w:r w:rsidR="00BA7827" w:rsidRPr="008C5F1C">
              <w:rPr>
                <w:rFonts w:ascii="Times New Roman" w:hAnsi="Times New Roman" w:cs="Times New Roman"/>
              </w:rPr>
              <w:t>ă</w:t>
            </w:r>
            <w:r w:rsidRPr="008C5F1C">
              <w:rPr>
                <w:rFonts w:ascii="Times New Roman" w:hAnsi="Times New Roman" w:cs="Times New Roman"/>
              </w:rPr>
              <w:t>re</w:t>
            </w:r>
            <w:r w:rsidR="00106240" w:rsidRPr="008C5F1C">
              <w:rPr>
                <w:rFonts w:ascii="Times New Roman" w:hAnsi="Times New Roman" w:cs="Times New Roman"/>
              </w:rPr>
              <w:t>ș</w:t>
            </w:r>
            <w:r w:rsidRPr="008C5F1C">
              <w:rPr>
                <w:rFonts w:ascii="Times New Roman" w:hAnsi="Times New Roman" w:cs="Times New Roman"/>
              </w:rPr>
              <w:t xml:space="preserve">te încurajarea traficului nemotorizat (pietonal </w:t>
            </w:r>
            <w:r w:rsidR="00106240" w:rsidRPr="008C5F1C">
              <w:rPr>
                <w:rFonts w:ascii="Times New Roman" w:hAnsi="Times New Roman" w:cs="Times New Roman"/>
              </w:rPr>
              <w:t>ș</w:t>
            </w:r>
            <w:r w:rsidRPr="008C5F1C">
              <w:rPr>
                <w:rFonts w:ascii="Times New Roman" w:hAnsi="Times New Roman" w:cs="Times New Roman"/>
              </w:rPr>
              <w:t xml:space="preserve">i ciclist) </w:t>
            </w:r>
            <w:r w:rsidR="00106240" w:rsidRPr="008C5F1C">
              <w:rPr>
                <w:rFonts w:ascii="Times New Roman" w:hAnsi="Times New Roman" w:cs="Times New Roman"/>
              </w:rPr>
              <w:t>ș</w:t>
            </w:r>
            <w:r w:rsidRPr="008C5F1C">
              <w:rPr>
                <w:rFonts w:ascii="Times New Roman" w:hAnsi="Times New Roman" w:cs="Times New Roman"/>
              </w:rPr>
              <w:t>i reducerea transportului auto individual.</w:t>
            </w:r>
          </w:p>
          <w:p w14:paraId="37CEB459" w14:textId="77777777" w:rsidR="00653571" w:rsidRPr="008C5F1C" w:rsidRDefault="00653571" w:rsidP="008131FB">
            <w:pPr>
              <w:spacing w:after="120" w:line="240" w:lineRule="auto"/>
              <w:jc w:val="both"/>
              <w:rPr>
                <w:rFonts w:ascii="Times New Roman" w:hAnsi="Times New Roman" w:cs="Times New Roman"/>
              </w:rPr>
            </w:pPr>
            <w:r w:rsidRPr="008C5F1C">
              <w:rPr>
                <w:rFonts w:ascii="Times New Roman" w:hAnsi="Times New Roman" w:cs="Times New Roman"/>
              </w:rPr>
              <w:t>Ac</w:t>
            </w:r>
            <w:r w:rsidR="00E22FF2" w:rsidRPr="008C5F1C">
              <w:rPr>
                <w:rFonts w:ascii="Times New Roman" w:hAnsi="Times New Roman" w:cs="Times New Roman"/>
              </w:rPr>
              <w:t>ț</w:t>
            </w:r>
            <w:r w:rsidRPr="008C5F1C">
              <w:rPr>
                <w:rFonts w:ascii="Times New Roman" w:hAnsi="Times New Roman" w:cs="Times New Roman"/>
              </w:rPr>
              <w:t>iunile propuse continu</w:t>
            </w:r>
            <w:r w:rsidR="00BA7827" w:rsidRPr="008C5F1C">
              <w:rPr>
                <w:rFonts w:ascii="Times New Roman" w:hAnsi="Times New Roman" w:cs="Times New Roman"/>
              </w:rPr>
              <w:t>ă</w:t>
            </w:r>
            <w:r w:rsidRPr="008C5F1C">
              <w:rPr>
                <w:rFonts w:ascii="Times New Roman" w:hAnsi="Times New Roman" w:cs="Times New Roman"/>
              </w:rPr>
              <w:t xml:space="preserve"> eforturile investi</w:t>
            </w:r>
            <w:r w:rsidR="00E22FF2" w:rsidRPr="008C5F1C">
              <w:rPr>
                <w:rFonts w:ascii="Times New Roman" w:hAnsi="Times New Roman" w:cs="Times New Roman"/>
              </w:rPr>
              <w:t>ț</w:t>
            </w:r>
            <w:r w:rsidRPr="008C5F1C">
              <w:rPr>
                <w:rFonts w:ascii="Times New Roman" w:hAnsi="Times New Roman" w:cs="Times New Roman"/>
              </w:rPr>
              <w:t xml:space="preserve">ionale efectuate în perioadele anterioare de programare </w:t>
            </w:r>
            <w:r w:rsidR="00106240" w:rsidRPr="008C5F1C">
              <w:rPr>
                <w:rFonts w:ascii="Times New Roman" w:hAnsi="Times New Roman" w:cs="Times New Roman"/>
              </w:rPr>
              <w:t>ș</w:t>
            </w:r>
            <w:r w:rsidRPr="008C5F1C">
              <w:rPr>
                <w:rFonts w:ascii="Times New Roman" w:hAnsi="Times New Roman" w:cs="Times New Roman"/>
              </w:rPr>
              <w:t>i vizeaz</w:t>
            </w:r>
            <w:r w:rsidR="00BA7827" w:rsidRPr="008C5F1C">
              <w:rPr>
                <w:rFonts w:ascii="Times New Roman" w:hAnsi="Times New Roman" w:cs="Times New Roman"/>
              </w:rPr>
              <w:t>ă</w:t>
            </w:r>
            <w:r w:rsidRPr="008C5F1C">
              <w:rPr>
                <w:rFonts w:ascii="Times New Roman" w:hAnsi="Times New Roman" w:cs="Times New Roman"/>
              </w:rPr>
              <w:t xml:space="preserve"> urm</w:t>
            </w:r>
            <w:r w:rsidR="00BA7827" w:rsidRPr="008C5F1C">
              <w:rPr>
                <w:rFonts w:ascii="Times New Roman" w:hAnsi="Times New Roman" w:cs="Times New Roman"/>
              </w:rPr>
              <w:t>ă</w:t>
            </w:r>
            <w:r w:rsidRPr="008C5F1C">
              <w:rPr>
                <w:rFonts w:ascii="Times New Roman" w:hAnsi="Times New Roman" w:cs="Times New Roman"/>
              </w:rPr>
              <w:t xml:space="preserve">toarele paliere:  </w:t>
            </w:r>
          </w:p>
          <w:p w14:paraId="0FE97B00" w14:textId="77777777" w:rsidR="00333C71" w:rsidRPr="008C5F1C" w:rsidRDefault="00333C71" w:rsidP="008131FB">
            <w:pPr>
              <w:spacing w:after="120" w:line="240" w:lineRule="auto"/>
              <w:jc w:val="both"/>
              <w:rPr>
                <w:rFonts w:ascii="Times New Roman" w:hAnsi="Times New Roman" w:cs="Times New Roman"/>
              </w:rPr>
            </w:pPr>
            <w:r w:rsidRPr="008C5F1C">
              <w:rPr>
                <w:rFonts w:ascii="Times New Roman" w:hAnsi="Times New Roman" w:cs="Times New Roman"/>
                <w:b/>
                <w:bCs/>
              </w:rPr>
              <w:t>a) Utilizarea crescut</w:t>
            </w:r>
            <w:r w:rsidR="00BA7827" w:rsidRPr="008C5F1C">
              <w:rPr>
                <w:rFonts w:ascii="Times New Roman" w:hAnsi="Times New Roman" w:cs="Times New Roman"/>
                <w:b/>
                <w:bCs/>
              </w:rPr>
              <w:t>ă</w:t>
            </w:r>
            <w:r w:rsidRPr="008C5F1C">
              <w:rPr>
                <w:rFonts w:ascii="Times New Roman" w:hAnsi="Times New Roman" w:cs="Times New Roman"/>
                <w:b/>
                <w:bCs/>
              </w:rPr>
              <w:t xml:space="preserve"> a transportului public </w:t>
            </w:r>
            <w:r w:rsidR="00106240" w:rsidRPr="008C5F1C">
              <w:rPr>
                <w:rFonts w:ascii="Times New Roman" w:hAnsi="Times New Roman" w:cs="Times New Roman"/>
                <w:b/>
                <w:bCs/>
              </w:rPr>
              <w:t>ș</w:t>
            </w:r>
            <w:r w:rsidRPr="008C5F1C">
              <w:rPr>
                <w:rFonts w:ascii="Times New Roman" w:hAnsi="Times New Roman" w:cs="Times New Roman"/>
                <w:b/>
                <w:bCs/>
              </w:rPr>
              <w:t>i a altor forme de mobilitate urban</w:t>
            </w:r>
            <w:r w:rsidR="00BA7827" w:rsidRPr="008C5F1C">
              <w:rPr>
                <w:rFonts w:ascii="Times New Roman" w:hAnsi="Times New Roman" w:cs="Times New Roman"/>
                <w:b/>
                <w:bCs/>
              </w:rPr>
              <w:t>ă</w:t>
            </w:r>
            <w:r w:rsidRPr="008C5F1C">
              <w:rPr>
                <w:rFonts w:ascii="Times New Roman" w:hAnsi="Times New Roman" w:cs="Times New Roman"/>
                <w:b/>
                <w:bCs/>
              </w:rPr>
              <w:t xml:space="preserve"> ecologice</w:t>
            </w:r>
            <w:r w:rsidR="00C50C26" w:rsidRPr="008C5F1C">
              <w:rPr>
                <w:rFonts w:ascii="Times New Roman" w:hAnsi="Times New Roman" w:cs="Times New Roman"/>
              </w:rPr>
              <w:t>, în urma interven</w:t>
            </w:r>
            <w:r w:rsidR="00E22FF2" w:rsidRPr="008C5F1C">
              <w:rPr>
                <w:rFonts w:ascii="Times New Roman" w:hAnsi="Times New Roman" w:cs="Times New Roman"/>
              </w:rPr>
              <w:t>ț</w:t>
            </w:r>
            <w:r w:rsidR="00C50C26" w:rsidRPr="008C5F1C">
              <w:rPr>
                <w:rFonts w:ascii="Times New Roman" w:hAnsi="Times New Roman" w:cs="Times New Roman"/>
              </w:rPr>
              <w:t>iilor care includ:</w:t>
            </w:r>
            <w:r w:rsidRPr="008C5F1C">
              <w:rPr>
                <w:rFonts w:ascii="Times New Roman" w:hAnsi="Times New Roman" w:cs="Times New Roman"/>
              </w:rPr>
              <w:t xml:space="preserve"> </w:t>
            </w:r>
          </w:p>
          <w:p w14:paraId="0B20591D" w14:textId="77777777" w:rsidR="00653571" w:rsidRPr="008C5F1C" w:rsidRDefault="00653571" w:rsidP="008131FB">
            <w:pPr>
              <w:pStyle w:val="ListParagraph"/>
              <w:numPr>
                <w:ilvl w:val="0"/>
                <w:numId w:val="64"/>
              </w:numPr>
              <w:spacing w:before="0" w:line="240" w:lineRule="auto"/>
              <w:jc w:val="both"/>
              <w:rPr>
                <w:sz w:val="22"/>
                <w:lang w:val="ro-RO"/>
              </w:rPr>
            </w:pPr>
            <w:r w:rsidRPr="008C5F1C">
              <w:rPr>
                <w:sz w:val="22"/>
                <w:lang w:val="ro-RO"/>
              </w:rPr>
              <w:t>Dezvoltarea infrastructurii pentru deplas</w:t>
            </w:r>
            <w:r w:rsidR="00BA7827" w:rsidRPr="008C5F1C">
              <w:rPr>
                <w:sz w:val="22"/>
                <w:lang w:val="ro-RO"/>
              </w:rPr>
              <w:t>ă</w:t>
            </w:r>
            <w:r w:rsidRPr="008C5F1C">
              <w:rPr>
                <w:sz w:val="22"/>
                <w:lang w:val="ro-RO"/>
              </w:rPr>
              <w:t>ri nemotorizate</w:t>
            </w:r>
            <w:r w:rsidR="00333C71" w:rsidRPr="008C5F1C">
              <w:rPr>
                <w:sz w:val="22"/>
                <w:lang w:val="ro-RO"/>
              </w:rPr>
              <w:t xml:space="preserve">: </w:t>
            </w:r>
            <w:r w:rsidR="00B922B6" w:rsidRPr="008C5F1C">
              <w:rPr>
                <w:sz w:val="22"/>
                <w:lang w:val="ro-RO"/>
              </w:rPr>
              <w:t>dezvoltarea</w:t>
            </w:r>
            <w:r w:rsidRPr="008C5F1C">
              <w:rPr>
                <w:sz w:val="22"/>
                <w:lang w:val="ro-RO"/>
              </w:rPr>
              <w:t xml:space="preserve">, extinderea infrastructurii pentru mersul cu bicicleta, amenajarea de zone pietonale, introducerea de sisteme de </w:t>
            </w:r>
            <w:proofErr w:type="spellStart"/>
            <w:r w:rsidRPr="008C5F1C">
              <w:rPr>
                <w:sz w:val="22"/>
                <w:lang w:val="ro-RO"/>
              </w:rPr>
              <w:t>bike-sharing</w:t>
            </w:r>
            <w:proofErr w:type="spellEnd"/>
            <w:r w:rsidRPr="008C5F1C">
              <w:rPr>
                <w:sz w:val="22"/>
                <w:lang w:val="ro-RO"/>
              </w:rPr>
              <w:t>, sisteme de monitorizare etc.</w:t>
            </w:r>
            <w:r w:rsidR="00C50C26" w:rsidRPr="008C5F1C">
              <w:rPr>
                <w:sz w:val="22"/>
                <w:lang w:val="ro-RO"/>
              </w:rPr>
              <w:t>;</w:t>
            </w:r>
          </w:p>
          <w:p w14:paraId="73076428" w14:textId="742DA99D" w:rsidR="00653571" w:rsidRPr="008C5F1C" w:rsidRDefault="00653571" w:rsidP="008131FB">
            <w:pPr>
              <w:pStyle w:val="ListParagraph"/>
              <w:numPr>
                <w:ilvl w:val="0"/>
                <w:numId w:val="64"/>
              </w:numPr>
              <w:spacing w:before="0" w:line="240" w:lineRule="auto"/>
              <w:jc w:val="both"/>
              <w:rPr>
                <w:sz w:val="22"/>
                <w:lang w:val="ro-RO"/>
              </w:rPr>
            </w:pPr>
            <w:r w:rsidRPr="008C5F1C">
              <w:rPr>
                <w:sz w:val="22"/>
                <w:lang w:val="ro-RO"/>
              </w:rPr>
              <w:t xml:space="preserve">Dezvoltarea </w:t>
            </w:r>
            <w:r w:rsidR="00106240" w:rsidRPr="008C5F1C">
              <w:rPr>
                <w:sz w:val="22"/>
                <w:lang w:val="ro-RO"/>
              </w:rPr>
              <w:t>ș</w:t>
            </w:r>
            <w:r w:rsidRPr="008C5F1C">
              <w:rPr>
                <w:sz w:val="22"/>
                <w:lang w:val="ro-RO"/>
              </w:rPr>
              <w:t>i optimizarea sistemelor de transport public</w:t>
            </w:r>
            <w:r w:rsidR="005A27A8" w:rsidRPr="008C5F1C">
              <w:rPr>
                <w:sz w:val="22"/>
                <w:lang w:val="ro-RO"/>
              </w:rPr>
              <w:t>, inclusiv prin investi</w:t>
            </w:r>
            <w:r w:rsidR="00E22FF2" w:rsidRPr="008C5F1C">
              <w:rPr>
                <w:sz w:val="22"/>
                <w:lang w:val="ro-RO"/>
              </w:rPr>
              <w:t>ț</w:t>
            </w:r>
            <w:r w:rsidR="005A27A8" w:rsidRPr="008C5F1C">
              <w:rPr>
                <w:sz w:val="22"/>
                <w:lang w:val="ro-RO"/>
              </w:rPr>
              <w:t xml:space="preserve">ii în material rulant, mijloace de transport </w:t>
            </w:r>
            <w:r w:rsidR="00106240" w:rsidRPr="008C5F1C">
              <w:rPr>
                <w:sz w:val="22"/>
                <w:lang w:val="ro-RO"/>
              </w:rPr>
              <w:t>ș</w:t>
            </w:r>
            <w:r w:rsidR="005A27A8" w:rsidRPr="008C5F1C">
              <w:rPr>
                <w:sz w:val="22"/>
                <w:lang w:val="ro-RO"/>
              </w:rPr>
              <w:t>i infrastructura necesară acestora</w:t>
            </w:r>
            <w:r w:rsidR="0039758D" w:rsidRPr="008C5F1C">
              <w:rPr>
                <w:sz w:val="22"/>
                <w:lang w:val="ro-RO"/>
              </w:rPr>
              <w:t xml:space="preserve">, inclusiv </w:t>
            </w:r>
            <w:proofErr w:type="spellStart"/>
            <w:r w:rsidR="0039758D" w:rsidRPr="008C5F1C">
              <w:rPr>
                <w:sz w:val="22"/>
                <w:lang w:val="ro-RO"/>
              </w:rPr>
              <w:t>park</w:t>
            </w:r>
            <w:proofErr w:type="spellEnd"/>
            <w:r w:rsidR="0039758D" w:rsidRPr="008C5F1C">
              <w:rPr>
                <w:sz w:val="22"/>
                <w:lang w:val="ro-RO"/>
              </w:rPr>
              <w:t xml:space="preserve"> &amp; </w:t>
            </w:r>
            <w:proofErr w:type="spellStart"/>
            <w:r w:rsidR="0039758D" w:rsidRPr="008C5F1C">
              <w:rPr>
                <w:sz w:val="22"/>
                <w:lang w:val="ro-RO"/>
              </w:rPr>
              <w:t>ride</w:t>
            </w:r>
            <w:proofErr w:type="spellEnd"/>
            <w:r w:rsidR="005A27A8" w:rsidRPr="008C5F1C">
              <w:rPr>
                <w:sz w:val="22"/>
                <w:lang w:val="ro-RO"/>
              </w:rPr>
              <w:t>;</w:t>
            </w:r>
            <w:r w:rsidRPr="008C5F1C">
              <w:rPr>
                <w:sz w:val="22"/>
                <w:lang w:val="ro-RO"/>
              </w:rPr>
              <w:t xml:space="preserve"> </w:t>
            </w:r>
          </w:p>
          <w:p w14:paraId="7D9A3C54" w14:textId="77777777" w:rsidR="00653571" w:rsidRPr="008C5F1C" w:rsidRDefault="00653571" w:rsidP="008131FB">
            <w:pPr>
              <w:pStyle w:val="ListParagraph"/>
              <w:numPr>
                <w:ilvl w:val="0"/>
                <w:numId w:val="64"/>
              </w:numPr>
              <w:spacing w:before="0" w:line="240" w:lineRule="auto"/>
              <w:jc w:val="both"/>
              <w:rPr>
                <w:sz w:val="22"/>
                <w:lang w:val="ro-RO"/>
              </w:rPr>
            </w:pPr>
            <w:r w:rsidRPr="008C5F1C">
              <w:rPr>
                <w:sz w:val="22"/>
                <w:lang w:val="ro-RO"/>
              </w:rPr>
              <w:t>Dezvoltarea unor culoare de mobilitate urban</w:t>
            </w:r>
            <w:r w:rsidR="00BA7827" w:rsidRPr="008C5F1C">
              <w:rPr>
                <w:sz w:val="22"/>
                <w:lang w:val="ro-RO"/>
              </w:rPr>
              <w:t>ă</w:t>
            </w:r>
            <w:r w:rsidRPr="008C5F1C">
              <w:rPr>
                <w:sz w:val="22"/>
                <w:lang w:val="ro-RO"/>
              </w:rPr>
              <w:t xml:space="preserve"> durabil</w:t>
            </w:r>
            <w:r w:rsidR="00BA7827" w:rsidRPr="008C5F1C">
              <w:rPr>
                <w:sz w:val="22"/>
                <w:lang w:val="ro-RO"/>
              </w:rPr>
              <w:t>ă</w:t>
            </w:r>
            <w:r w:rsidRPr="008C5F1C">
              <w:rPr>
                <w:sz w:val="22"/>
                <w:lang w:val="ro-RO"/>
              </w:rPr>
              <w:t>, inclusiv linii de tramvai metropolitane</w:t>
            </w:r>
            <w:r w:rsidR="00C50C26" w:rsidRPr="008C5F1C">
              <w:rPr>
                <w:sz w:val="22"/>
                <w:lang w:val="ro-RO"/>
              </w:rPr>
              <w:t>;</w:t>
            </w:r>
          </w:p>
          <w:p w14:paraId="21094EA4" w14:textId="77777777" w:rsidR="00B35F3D" w:rsidRPr="008C5F1C" w:rsidRDefault="00C50C26" w:rsidP="008131FB">
            <w:pPr>
              <w:pStyle w:val="ListParagraph"/>
              <w:numPr>
                <w:ilvl w:val="0"/>
                <w:numId w:val="64"/>
              </w:numPr>
              <w:spacing w:before="0" w:line="240" w:lineRule="auto"/>
              <w:jc w:val="both"/>
              <w:rPr>
                <w:sz w:val="22"/>
                <w:lang w:val="ro-RO"/>
              </w:rPr>
            </w:pPr>
            <w:r w:rsidRPr="008C5F1C">
              <w:rPr>
                <w:sz w:val="22"/>
                <w:lang w:val="ro-RO"/>
              </w:rPr>
              <w:t>Dezvoltarea de i</w:t>
            </w:r>
            <w:r w:rsidR="00653571" w:rsidRPr="008C5F1C">
              <w:rPr>
                <w:sz w:val="22"/>
                <w:lang w:val="ro-RO"/>
              </w:rPr>
              <w:t>nfrastructuri pentru combustibili alternativi</w:t>
            </w:r>
            <w:r w:rsidRPr="008C5F1C">
              <w:rPr>
                <w:sz w:val="22"/>
                <w:lang w:val="ro-RO"/>
              </w:rPr>
              <w:t>;</w:t>
            </w:r>
            <w:r w:rsidR="00653571" w:rsidRPr="008C5F1C">
              <w:rPr>
                <w:sz w:val="22"/>
                <w:lang w:val="ro-RO"/>
              </w:rPr>
              <w:t xml:space="preserve"> </w:t>
            </w:r>
          </w:p>
          <w:p w14:paraId="7D1AA13F" w14:textId="2E384FA6" w:rsidR="00CF0A34" w:rsidRPr="008C5F1C" w:rsidRDefault="00653571" w:rsidP="008131FB">
            <w:pPr>
              <w:pStyle w:val="ListParagraph"/>
              <w:numPr>
                <w:ilvl w:val="0"/>
                <w:numId w:val="60"/>
              </w:numPr>
              <w:spacing w:before="0" w:line="240" w:lineRule="auto"/>
              <w:jc w:val="both"/>
              <w:rPr>
                <w:szCs w:val="20"/>
                <w:lang w:val="ro-RO"/>
              </w:rPr>
            </w:pPr>
            <w:r w:rsidRPr="008C5F1C">
              <w:rPr>
                <w:sz w:val="22"/>
                <w:lang w:val="ro-RO"/>
              </w:rPr>
              <w:lastRenderedPageBreak/>
              <w:t>Dezvoltarea sistemelor de management a mobilit</w:t>
            </w:r>
            <w:r w:rsidR="00BA7827" w:rsidRPr="008C5F1C">
              <w:rPr>
                <w:sz w:val="22"/>
                <w:lang w:val="ro-RO"/>
              </w:rPr>
              <w:t>ă</w:t>
            </w:r>
            <w:r w:rsidR="00E22FF2" w:rsidRPr="008C5F1C">
              <w:rPr>
                <w:sz w:val="22"/>
                <w:lang w:val="ro-RO"/>
              </w:rPr>
              <w:t>ț</w:t>
            </w:r>
            <w:r w:rsidRPr="008C5F1C">
              <w:rPr>
                <w:sz w:val="22"/>
                <w:lang w:val="ro-RO"/>
              </w:rPr>
              <w:t>ii urbane</w:t>
            </w:r>
            <w:r w:rsidR="004B2337" w:rsidRPr="008C5F1C">
              <w:rPr>
                <w:sz w:val="22"/>
                <w:lang w:val="ro-RO"/>
              </w:rPr>
              <w:t>, cum ar fi s</w:t>
            </w:r>
            <w:r w:rsidRPr="008C5F1C">
              <w:rPr>
                <w:sz w:val="22"/>
                <w:lang w:val="ro-RO"/>
              </w:rPr>
              <w:t xml:space="preserve">isteme de management </w:t>
            </w:r>
            <w:r w:rsidR="003375CA" w:rsidRPr="008C5F1C">
              <w:rPr>
                <w:sz w:val="22"/>
                <w:lang w:val="ro-RO"/>
              </w:rPr>
              <w:t xml:space="preserve">al </w:t>
            </w:r>
            <w:r w:rsidRPr="008C5F1C">
              <w:rPr>
                <w:sz w:val="22"/>
                <w:lang w:val="ro-RO"/>
              </w:rPr>
              <w:t>traf</w:t>
            </w:r>
            <w:r w:rsidR="003375CA" w:rsidRPr="008C5F1C">
              <w:rPr>
                <w:sz w:val="22"/>
                <w:lang w:val="ro-RO"/>
              </w:rPr>
              <w:t>i</w:t>
            </w:r>
            <w:r w:rsidR="004B2337" w:rsidRPr="008C5F1C">
              <w:rPr>
                <w:sz w:val="22"/>
                <w:lang w:val="ro-RO"/>
              </w:rPr>
              <w:t>c</w:t>
            </w:r>
            <w:r w:rsidR="003375CA" w:rsidRPr="008C5F1C">
              <w:rPr>
                <w:sz w:val="22"/>
                <w:lang w:val="ro-RO"/>
              </w:rPr>
              <w:t>ului</w:t>
            </w:r>
            <w:r w:rsidR="004B2337" w:rsidRPr="008C5F1C">
              <w:rPr>
                <w:sz w:val="22"/>
                <w:lang w:val="ro-RO"/>
              </w:rPr>
              <w:t>, a</w:t>
            </w:r>
            <w:r w:rsidRPr="008C5F1C">
              <w:rPr>
                <w:sz w:val="22"/>
                <w:lang w:val="ro-RO"/>
              </w:rPr>
              <w:t>plica</w:t>
            </w:r>
            <w:r w:rsidR="00E22FF2" w:rsidRPr="008C5F1C">
              <w:rPr>
                <w:sz w:val="22"/>
                <w:lang w:val="ro-RO"/>
              </w:rPr>
              <w:t>ț</w:t>
            </w:r>
            <w:r w:rsidRPr="008C5F1C">
              <w:rPr>
                <w:sz w:val="22"/>
                <w:lang w:val="ro-RO"/>
              </w:rPr>
              <w:t xml:space="preserve">ii </w:t>
            </w:r>
            <w:r w:rsidR="003375CA" w:rsidRPr="008C5F1C">
              <w:rPr>
                <w:sz w:val="22"/>
                <w:lang w:val="en-US"/>
              </w:rPr>
              <w:t>“</w:t>
            </w:r>
            <w:proofErr w:type="spellStart"/>
            <w:r w:rsidRPr="008C5F1C">
              <w:rPr>
                <w:sz w:val="22"/>
                <w:lang w:val="ro-RO"/>
              </w:rPr>
              <w:t>mobility</w:t>
            </w:r>
            <w:proofErr w:type="spellEnd"/>
            <w:r w:rsidRPr="008C5F1C">
              <w:rPr>
                <w:sz w:val="22"/>
                <w:lang w:val="ro-RO"/>
              </w:rPr>
              <w:t xml:space="preserve"> as a service</w:t>
            </w:r>
            <w:r w:rsidR="003375CA" w:rsidRPr="008C5F1C">
              <w:rPr>
                <w:sz w:val="22"/>
                <w:lang w:val="ro-RO"/>
              </w:rPr>
              <w:t>”,</w:t>
            </w:r>
            <w:r w:rsidR="0039758D" w:rsidRPr="008C5F1C">
              <w:rPr>
                <w:sz w:val="22"/>
                <w:lang w:val="ro-RO"/>
              </w:rPr>
              <w:t xml:space="preserve"> etc.</w:t>
            </w:r>
            <w:r w:rsidR="004B2337" w:rsidRPr="008C5F1C">
              <w:rPr>
                <w:sz w:val="22"/>
                <w:lang w:val="ro-RO"/>
              </w:rPr>
              <w:t xml:space="preserve"> </w:t>
            </w:r>
          </w:p>
        </w:tc>
      </w:tr>
    </w:tbl>
    <w:p w14:paraId="48865CE5" w14:textId="77777777" w:rsidR="00653571" w:rsidRPr="008C5F1C" w:rsidRDefault="00653571" w:rsidP="00653571">
      <w:pPr>
        <w:spacing w:before="120" w:after="120" w:line="360" w:lineRule="auto"/>
        <w:rPr>
          <w:rFonts w:ascii="Times New Roman" w:eastAsia="Times New Roman" w:hAnsi="Times New Roman" w:cs="Times New Roman"/>
          <w:b/>
          <w:i/>
          <w:iCs/>
          <w:noProof/>
          <w:sz w:val="24"/>
          <w:szCs w:val="24"/>
        </w:rPr>
      </w:pPr>
      <w:r w:rsidRPr="008C5F1C">
        <w:rPr>
          <w:rFonts w:ascii="Times New Roman" w:eastAsia="Times New Roman" w:hAnsi="Times New Roman" w:cs="Times New Roman"/>
          <w:i/>
          <w:noProof/>
          <w:sz w:val="24"/>
          <w:szCs w:val="24"/>
        </w:rPr>
        <w:lastRenderedPageBreak/>
        <w:t>The main target groups - Article 17(3)(d)(iii):</w:t>
      </w:r>
    </w:p>
    <w:p w14:paraId="65A687F8" w14:textId="77777777" w:rsidR="00653571" w:rsidRPr="008C5F1C" w:rsidRDefault="00582EDB" w:rsidP="0065357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iCs/>
          <w:noProof/>
          <w:sz w:val="24"/>
          <w:szCs w:val="24"/>
        </w:rPr>
      </w:pPr>
      <w:r w:rsidRPr="008C5F1C">
        <w:rPr>
          <w:rFonts w:ascii="Times New Roman" w:eastAsia="Times New Roman" w:hAnsi="Times New Roman" w:cs="Times New Roman"/>
          <w:i/>
          <w:iCs/>
          <w:noProof/>
          <w:sz w:val="24"/>
          <w:szCs w:val="24"/>
        </w:rPr>
        <w:t>Popula</w:t>
      </w:r>
      <w:r w:rsidR="00E22FF2" w:rsidRPr="008C5F1C">
        <w:rPr>
          <w:rFonts w:ascii="Times New Roman" w:eastAsia="Times New Roman" w:hAnsi="Times New Roman" w:cs="Times New Roman"/>
          <w:i/>
          <w:iCs/>
          <w:noProof/>
          <w:sz w:val="24"/>
          <w:szCs w:val="24"/>
        </w:rPr>
        <w:t>ț</w:t>
      </w:r>
      <w:r w:rsidRPr="008C5F1C">
        <w:rPr>
          <w:rFonts w:ascii="Times New Roman" w:eastAsia="Times New Roman" w:hAnsi="Times New Roman" w:cs="Times New Roman"/>
          <w:i/>
          <w:iCs/>
          <w:noProof/>
          <w:sz w:val="24"/>
          <w:szCs w:val="24"/>
        </w:rPr>
        <w:t xml:space="preserve">ia din zonele urbane </w:t>
      </w:r>
      <w:r w:rsidR="00106240" w:rsidRPr="008C5F1C">
        <w:rPr>
          <w:rFonts w:ascii="Times New Roman" w:eastAsia="Times New Roman" w:hAnsi="Times New Roman" w:cs="Times New Roman"/>
          <w:i/>
          <w:iCs/>
          <w:noProof/>
          <w:sz w:val="24"/>
          <w:szCs w:val="24"/>
        </w:rPr>
        <w:t>ș</w:t>
      </w:r>
      <w:r w:rsidRPr="008C5F1C">
        <w:rPr>
          <w:rFonts w:ascii="Times New Roman" w:eastAsia="Times New Roman" w:hAnsi="Times New Roman" w:cs="Times New Roman"/>
          <w:i/>
          <w:iCs/>
          <w:noProof/>
          <w:sz w:val="24"/>
          <w:szCs w:val="24"/>
        </w:rPr>
        <w:t>i periurbane beneficiare</w:t>
      </w:r>
    </w:p>
    <w:p w14:paraId="21604C38" w14:textId="77777777" w:rsidR="00B11C00" w:rsidRPr="008C5F1C" w:rsidRDefault="005A27A8" w:rsidP="00653571">
      <w:pPr>
        <w:spacing w:before="120" w:after="120" w:line="360" w:lineRule="auto"/>
        <w:rPr>
          <w:rFonts w:ascii="Times New Roman" w:eastAsia="Times New Roman" w:hAnsi="Times New Roman" w:cs="Times New Roman"/>
          <w:noProof/>
        </w:rPr>
      </w:pPr>
      <w:r w:rsidRPr="008C5F1C">
        <w:rPr>
          <w:rFonts w:ascii="Times New Roman" w:eastAsia="Times New Roman" w:hAnsi="Times New Roman" w:cs="Times New Roman"/>
          <w:noProof/>
        </w:rPr>
        <w:t>Popula</w:t>
      </w:r>
      <w:r w:rsidR="00E22FF2" w:rsidRPr="008C5F1C">
        <w:rPr>
          <w:rFonts w:ascii="Times New Roman" w:eastAsia="Times New Roman" w:hAnsi="Times New Roman" w:cs="Times New Roman"/>
          <w:noProof/>
        </w:rPr>
        <w:t>ț</w:t>
      </w:r>
      <w:r w:rsidRPr="008C5F1C">
        <w:rPr>
          <w:rFonts w:ascii="Times New Roman" w:eastAsia="Times New Roman" w:hAnsi="Times New Roman" w:cs="Times New Roman"/>
          <w:noProof/>
        </w:rPr>
        <w:t>ia din localită</w:t>
      </w:r>
      <w:r w:rsidR="00E22FF2" w:rsidRPr="008C5F1C">
        <w:rPr>
          <w:rFonts w:ascii="Times New Roman" w:eastAsia="Times New Roman" w:hAnsi="Times New Roman" w:cs="Times New Roman"/>
          <w:noProof/>
        </w:rPr>
        <w:t>ț</w:t>
      </w:r>
      <w:r w:rsidRPr="008C5F1C">
        <w:rPr>
          <w:rFonts w:ascii="Times New Roman" w:eastAsia="Times New Roman" w:hAnsi="Times New Roman" w:cs="Times New Roman"/>
          <w:noProof/>
        </w:rPr>
        <w:t>ile deservite de infrastructura îmbunătă</w:t>
      </w:r>
      <w:r w:rsidR="00E22FF2" w:rsidRPr="008C5F1C">
        <w:rPr>
          <w:rFonts w:ascii="Times New Roman" w:eastAsia="Times New Roman" w:hAnsi="Times New Roman" w:cs="Times New Roman"/>
          <w:noProof/>
        </w:rPr>
        <w:t>ț</w:t>
      </w:r>
      <w:r w:rsidRPr="008C5F1C">
        <w:rPr>
          <w:rFonts w:ascii="Times New Roman" w:eastAsia="Times New Roman" w:hAnsi="Times New Roman" w:cs="Times New Roman"/>
          <w:noProof/>
        </w:rPr>
        <w:t>ită</w:t>
      </w:r>
    </w:p>
    <w:p w14:paraId="40BB2509" w14:textId="64D6D96E" w:rsidR="00653571" w:rsidRPr="008C5F1C" w:rsidRDefault="00653571" w:rsidP="00653571">
      <w:pPr>
        <w:spacing w:before="120" w:after="120" w:line="360" w:lineRule="auto"/>
        <w:rPr>
          <w:rFonts w:ascii="Times New Roman" w:eastAsia="Times New Roman" w:hAnsi="Times New Roman" w:cs="Times New Roman"/>
          <w:i/>
          <w:noProof/>
          <w:sz w:val="24"/>
          <w:szCs w:val="24"/>
        </w:rPr>
      </w:pPr>
      <w:r w:rsidRPr="008C5F1C">
        <w:rPr>
          <w:rFonts w:ascii="Times New Roman" w:eastAsia="Times New Roman" w:hAnsi="Times New Roman" w:cs="Times New Roman"/>
          <w:i/>
          <w:noProof/>
          <w:sz w:val="24"/>
          <w:szCs w:val="24"/>
        </w:rPr>
        <w:t>Specific territories tageted, including the planned use of territorial tools – Article 17(3)(d)(iv)</w:t>
      </w:r>
    </w:p>
    <w:p w14:paraId="1845C35C" w14:textId="6D9157DC" w:rsidR="00647EF4" w:rsidRPr="008C5F1C" w:rsidRDefault="00647EF4" w:rsidP="00647EF4">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iCs/>
          <w:noProof/>
          <w:sz w:val="24"/>
          <w:szCs w:val="24"/>
        </w:rPr>
      </w:pPr>
      <w:r w:rsidRPr="008C5F1C">
        <w:rPr>
          <w:rFonts w:ascii="Times New Roman" w:eastAsia="Times New Roman" w:hAnsi="Times New Roman" w:cs="Times New Roman"/>
          <w:i/>
          <w:iCs/>
          <w:noProof/>
          <w:sz w:val="24"/>
          <w:szCs w:val="24"/>
        </w:rPr>
        <w:t>Zone metropolitane, zone urbane funcționale, cartiere urbane.</w:t>
      </w:r>
    </w:p>
    <w:p w14:paraId="6688B258" w14:textId="35B8C65B" w:rsidR="00653571" w:rsidRPr="008C5F1C" w:rsidRDefault="00647EF4" w:rsidP="00F664A9">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noProof/>
          <w:sz w:val="24"/>
        </w:rPr>
      </w:pPr>
      <w:r w:rsidRPr="008C5F1C">
        <w:rPr>
          <w:rFonts w:ascii="Times New Roman" w:eastAsia="Times New Roman" w:hAnsi="Times New Roman" w:cs="Times New Roman"/>
          <w:iCs/>
          <w:noProof/>
          <w:szCs w:val="20"/>
        </w:rPr>
        <w:t xml:space="preserve">Accesarea fondurilor va continua să fie condiționată de existența Strategiilor Integrate de Dezvoltare Urbană (SIDU) și de justificări bazate pe dovezi în ceea ce privește oportunitatea și rolul investițiilor în ansamblul dezvoltării. În funcție de situație, SIDU vor fi însoțite de Planuri de Mobilitate Urbană Durabilă sau de alte  și alte strategii relevante la nivel regional sau local. </w:t>
      </w:r>
    </w:p>
    <w:p w14:paraId="252EBF46" w14:textId="77777777" w:rsidR="00653571" w:rsidRPr="008C5F1C" w:rsidRDefault="00653571" w:rsidP="00653571">
      <w:pPr>
        <w:spacing w:before="120" w:after="120" w:line="360" w:lineRule="auto"/>
        <w:rPr>
          <w:rFonts w:ascii="Times New Roman" w:eastAsia="Times New Roman" w:hAnsi="Times New Roman" w:cs="Times New Roman"/>
          <w:b/>
          <w:i/>
          <w:iCs/>
          <w:noProof/>
          <w:sz w:val="24"/>
          <w:szCs w:val="24"/>
        </w:rPr>
      </w:pPr>
      <w:r w:rsidRPr="008C5F1C">
        <w:rPr>
          <w:rFonts w:ascii="Times New Roman" w:eastAsia="Times New Roman" w:hAnsi="Times New Roman" w:cs="Times New Roman"/>
          <w:i/>
          <w:noProof/>
          <w:sz w:val="24"/>
          <w:szCs w:val="24"/>
        </w:rPr>
        <w:t>The interregional and transnational actions  –Article – 17(3)(d)(v)</w:t>
      </w:r>
    </w:p>
    <w:p w14:paraId="0D6CAA16" w14:textId="77777777" w:rsidR="00653571" w:rsidRPr="008C5F1C" w:rsidRDefault="00653571" w:rsidP="0065357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rPr>
      </w:pPr>
      <w:r w:rsidRPr="008C5F1C">
        <w:rPr>
          <w:rFonts w:ascii="Times New Roman" w:eastAsia="Times New Roman" w:hAnsi="Times New Roman" w:cs="Times New Roman"/>
          <w:i/>
          <w:iCs/>
          <w:noProof/>
          <w:sz w:val="24"/>
          <w:szCs w:val="24"/>
        </w:rPr>
        <w:t>Nu este cazul</w:t>
      </w:r>
    </w:p>
    <w:p w14:paraId="1CC5D6AD" w14:textId="77777777" w:rsidR="00653571" w:rsidRPr="008C5F1C" w:rsidRDefault="00653571" w:rsidP="00653571">
      <w:pPr>
        <w:spacing w:before="120" w:after="120" w:line="360" w:lineRule="auto"/>
        <w:rPr>
          <w:rFonts w:ascii="Times New Roman" w:eastAsia="Times New Roman" w:hAnsi="Times New Roman" w:cs="Times New Roman"/>
          <w:b/>
          <w:i/>
          <w:iCs/>
          <w:noProof/>
          <w:sz w:val="24"/>
          <w:szCs w:val="24"/>
        </w:rPr>
      </w:pPr>
      <w:r w:rsidRPr="008C5F1C">
        <w:rPr>
          <w:rFonts w:ascii="Times New Roman" w:eastAsia="Times New Roman" w:hAnsi="Times New Roman" w:cs="Times New Roman"/>
          <w:i/>
          <w:noProof/>
          <w:sz w:val="24"/>
          <w:szCs w:val="24"/>
        </w:rPr>
        <w:t>The planned use of financial instruments – Article – 17(3)(d)(vi)</w:t>
      </w:r>
    </w:p>
    <w:p w14:paraId="6CC965AA" w14:textId="77777777" w:rsidR="00653571" w:rsidRPr="008C5F1C" w:rsidRDefault="00653571" w:rsidP="0065357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rPr>
      </w:pPr>
      <w:r w:rsidRPr="008C5F1C">
        <w:rPr>
          <w:rFonts w:ascii="Times New Roman" w:eastAsia="Times New Roman" w:hAnsi="Times New Roman" w:cs="Times New Roman"/>
          <w:i/>
          <w:iCs/>
          <w:noProof/>
          <w:sz w:val="24"/>
          <w:szCs w:val="24"/>
        </w:rPr>
        <w:t>Nu este cazul</w:t>
      </w:r>
    </w:p>
    <w:p w14:paraId="054E1B27" w14:textId="77777777" w:rsidR="00653571" w:rsidRPr="008C5F1C" w:rsidRDefault="00653571" w:rsidP="00653571">
      <w:pPr>
        <w:pStyle w:val="Heading4"/>
        <w:numPr>
          <w:ilvl w:val="0"/>
          <w:numId w:val="0"/>
        </w:numPr>
        <w:ind w:left="851" w:hanging="851"/>
        <w:rPr>
          <w:rFonts w:cs="Times New Roman"/>
          <w:b/>
          <w:bCs/>
          <w:lang w:val="ro-RO"/>
        </w:rPr>
      </w:pPr>
      <w:r w:rsidRPr="008C5F1C">
        <w:rPr>
          <w:rFonts w:cs="Times New Roman"/>
          <w:b/>
          <w:bCs/>
          <w:lang w:val="ro-RO"/>
        </w:rPr>
        <w:t xml:space="preserve">2.A.3.2 </w:t>
      </w:r>
      <w:proofErr w:type="spellStart"/>
      <w:r w:rsidRPr="008C5F1C">
        <w:rPr>
          <w:rFonts w:cs="Times New Roman"/>
          <w:b/>
          <w:bCs/>
          <w:lang w:val="ro-RO"/>
        </w:rPr>
        <w:t>Indicators</w:t>
      </w:r>
      <w:proofErr w:type="spellEnd"/>
    </w:p>
    <w:p w14:paraId="20746C54" w14:textId="77777777" w:rsidR="00653571" w:rsidRPr="008C5F1C" w:rsidRDefault="00653571" w:rsidP="00653571">
      <w:pPr>
        <w:rPr>
          <w:rFonts w:ascii="Times New Roman" w:hAnsi="Times New Roman" w:cs="Times New Roman"/>
          <w:b/>
          <w:bCs/>
          <w:i/>
          <w:u w:val="single"/>
        </w:rPr>
      </w:pPr>
      <w:proofErr w:type="spellStart"/>
      <w:r w:rsidRPr="008C5F1C">
        <w:rPr>
          <w:rFonts w:ascii="Times New Roman" w:hAnsi="Times New Roman" w:cs="Times New Roman"/>
          <w:i/>
        </w:rPr>
        <w:t>Reference</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Article</w:t>
      </w:r>
      <w:proofErr w:type="spellEnd"/>
      <w:r w:rsidRPr="008C5F1C">
        <w:rPr>
          <w:rFonts w:ascii="Times New Roman" w:hAnsi="Times New Roman" w:cs="Times New Roman"/>
          <w:i/>
        </w:rPr>
        <w:t xml:space="preserve"> 17(3)(d)(ii) CPR </w:t>
      </w:r>
    </w:p>
    <w:tbl>
      <w:tblPr>
        <w:tblW w:w="50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8"/>
        <w:gridCol w:w="1221"/>
        <w:gridCol w:w="626"/>
        <w:gridCol w:w="874"/>
        <w:gridCol w:w="546"/>
        <w:gridCol w:w="2203"/>
        <w:gridCol w:w="1170"/>
        <w:gridCol w:w="1094"/>
        <w:gridCol w:w="1325"/>
      </w:tblGrid>
      <w:tr w:rsidR="00653571" w:rsidRPr="008C5F1C" w14:paraId="3B20279F" w14:textId="77777777" w:rsidTr="00534127">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2D6C9F18" w14:textId="77777777" w:rsidR="00653571" w:rsidRPr="008C5F1C" w:rsidRDefault="00653571" w:rsidP="00534127">
            <w:pPr>
              <w:rPr>
                <w:rFonts w:ascii="Times New Roman" w:hAnsi="Times New Roman" w:cs="Times New Roman"/>
                <w:b/>
              </w:rPr>
            </w:pPr>
            <w:r w:rsidRPr="008C5F1C">
              <w:rPr>
                <w:rFonts w:ascii="Times New Roman" w:hAnsi="Times New Roman" w:cs="Times New Roman"/>
                <w:b/>
                <w:iCs/>
              </w:rPr>
              <w:t xml:space="preserve">Table 2: Output </w:t>
            </w:r>
            <w:proofErr w:type="spellStart"/>
            <w:r w:rsidRPr="008C5F1C">
              <w:rPr>
                <w:rFonts w:ascii="Times New Roman" w:hAnsi="Times New Roman" w:cs="Times New Roman"/>
                <w:b/>
                <w:iCs/>
              </w:rPr>
              <w:t>indicators</w:t>
            </w:r>
            <w:proofErr w:type="spellEnd"/>
          </w:p>
        </w:tc>
      </w:tr>
      <w:tr w:rsidR="00653571" w:rsidRPr="008C5F1C" w14:paraId="74E60F88" w14:textId="77777777" w:rsidTr="00534127">
        <w:trPr>
          <w:trHeight w:val="1122"/>
        </w:trPr>
        <w:tc>
          <w:tcPr>
            <w:tcW w:w="386" w:type="pct"/>
            <w:tcBorders>
              <w:top w:val="single" w:sz="4" w:space="0" w:color="auto"/>
              <w:left w:val="single" w:sz="4" w:space="0" w:color="auto"/>
              <w:bottom w:val="single" w:sz="4" w:space="0" w:color="auto"/>
              <w:right w:val="single" w:sz="4" w:space="0" w:color="auto"/>
            </w:tcBorders>
            <w:hideMark/>
          </w:tcPr>
          <w:p w14:paraId="5B9CD8AD"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Priority</w:t>
            </w:r>
            <w:proofErr w:type="spellEnd"/>
            <w:r w:rsidRPr="008C5F1C">
              <w:rPr>
                <w:rFonts w:ascii="Times New Roman" w:hAnsi="Times New Roman" w:cs="Times New Roman"/>
                <w:b/>
                <w:sz w:val="16"/>
                <w:szCs w:val="16"/>
              </w:rPr>
              <w:t xml:space="preserve"> </w:t>
            </w:r>
          </w:p>
        </w:tc>
        <w:tc>
          <w:tcPr>
            <w:tcW w:w="622" w:type="pct"/>
            <w:tcBorders>
              <w:top w:val="single" w:sz="4" w:space="0" w:color="auto"/>
              <w:left w:val="single" w:sz="4" w:space="0" w:color="auto"/>
              <w:bottom w:val="single" w:sz="4" w:space="0" w:color="auto"/>
              <w:right w:val="single" w:sz="4" w:space="0" w:color="auto"/>
            </w:tcBorders>
            <w:hideMark/>
          </w:tcPr>
          <w:p w14:paraId="2B313D7D"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 xml:space="preserve">Specific </w:t>
            </w:r>
            <w:proofErr w:type="spellStart"/>
            <w:r w:rsidRPr="008C5F1C">
              <w:rPr>
                <w:rFonts w:ascii="Times New Roman" w:hAnsi="Times New Roman" w:cs="Times New Roman"/>
                <w:b/>
                <w:sz w:val="16"/>
                <w:szCs w:val="16"/>
              </w:rPr>
              <w:t>objective</w:t>
            </w:r>
            <w:proofErr w:type="spellEnd"/>
            <w:r w:rsidRPr="008C5F1C">
              <w:rPr>
                <w:rFonts w:ascii="Times New Roman" w:hAnsi="Times New Roman" w:cs="Times New Roman"/>
                <w:b/>
                <w:sz w:val="16"/>
                <w:szCs w:val="16"/>
              </w:rPr>
              <w:t xml:space="preserve"> (Investment for </w:t>
            </w:r>
            <w:proofErr w:type="spellStart"/>
            <w:r w:rsidRPr="008C5F1C">
              <w:rPr>
                <w:rFonts w:ascii="Times New Roman" w:hAnsi="Times New Roman" w:cs="Times New Roman"/>
                <w:b/>
                <w:sz w:val="16"/>
                <w:szCs w:val="16"/>
              </w:rPr>
              <w:t>Jobs</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and</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Growth</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goal</w:t>
            </w:r>
            <w:proofErr w:type="spellEnd"/>
            <w:r w:rsidRPr="008C5F1C">
              <w:rPr>
                <w:rFonts w:ascii="Times New Roman" w:hAnsi="Times New Roman" w:cs="Times New Roman"/>
                <w:b/>
                <w:sz w:val="16"/>
                <w:szCs w:val="16"/>
              </w:rPr>
              <w:t xml:space="preserve"> or EMFF)</w:t>
            </w:r>
          </w:p>
        </w:tc>
        <w:tc>
          <w:tcPr>
            <w:tcW w:w="319" w:type="pct"/>
            <w:tcBorders>
              <w:top w:val="single" w:sz="4" w:space="0" w:color="auto"/>
              <w:left w:val="single" w:sz="4" w:space="0" w:color="auto"/>
              <w:bottom w:val="single" w:sz="4" w:space="0" w:color="auto"/>
              <w:right w:val="single" w:sz="4" w:space="0" w:color="auto"/>
            </w:tcBorders>
            <w:hideMark/>
          </w:tcPr>
          <w:p w14:paraId="1B10B9AE"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Fund</w:t>
            </w:r>
          </w:p>
        </w:tc>
        <w:tc>
          <w:tcPr>
            <w:tcW w:w="445" w:type="pct"/>
            <w:tcBorders>
              <w:top w:val="single" w:sz="4" w:space="0" w:color="auto"/>
              <w:left w:val="single" w:sz="4" w:space="0" w:color="auto"/>
              <w:bottom w:val="single" w:sz="4" w:space="0" w:color="auto"/>
              <w:right w:val="single" w:sz="4" w:space="0" w:color="auto"/>
            </w:tcBorders>
            <w:hideMark/>
          </w:tcPr>
          <w:p w14:paraId="6BB016CF"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Category</w:t>
            </w:r>
            <w:proofErr w:type="spellEnd"/>
            <w:r w:rsidRPr="008C5F1C">
              <w:rPr>
                <w:rFonts w:ascii="Times New Roman" w:hAnsi="Times New Roman" w:cs="Times New Roman"/>
                <w:b/>
                <w:sz w:val="16"/>
                <w:szCs w:val="16"/>
              </w:rPr>
              <w:t xml:space="preserve"> of </w:t>
            </w:r>
            <w:proofErr w:type="spellStart"/>
            <w:r w:rsidRPr="008C5F1C">
              <w:rPr>
                <w:rFonts w:ascii="Times New Roman" w:hAnsi="Times New Roman" w:cs="Times New Roman"/>
                <w:b/>
                <w:sz w:val="16"/>
                <w:szCs w:val="16"/>
              </w:rPr>
              <w:t>region</w:t>
            </w:r>
            <w:proofErr w:type="spellEnd"/>
          </w:p>
        </w:tc>
        <w:tc>
          <w:tcPr>
            <w:tcW w:w="278" w:type="pct"/>
            <w:tcBorders>
              <w:top w:val="single" w:sz="4" w:space="0" w:color="auto"/>
              <w:left w:val="single" w:sz="4" w:space="0" w:color="auto"/>
              <w:bottom w:val="single" w:sz="4" w:space="0" w:color="auto"/>
              <w:right w:val="single" w:sz="4" w:space="0" w:color="auto"/>
            </w:tcBorders>
            <w:hideMark/>
          </w:tcPr>
          <w:p w14:paraId="5D67F1CB"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ID [5]</w:t>
            </w:r>
          </w:p>
        </w:tc>
        <w:tc>
          <w:tcPr>
            <w:tcW w:w="1122" w:type="pct"/>
            <w:tcBorders>
              <w:top w:val="single" w:sz="4" w:space="0" w:color="auto"/>
              <w:left w:val="single" w:sz="4" w:space="0" w:color="auto"/>
              <w:bottom w:val="single" w:sz="4" w:space="0" w:color="auto"/>
              <w:right w:val="single" w:sz="4" w:space="0" w:color="auto"/>
            </w:tcBorders>
            <w:hideMark/>
          </w:tcPr>
          <w:p w14:paraId="77B3D67A"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 xml:space="preserve">Indicator [255] </w:t>
            </w:r>
          </w:p>
        </w:tc>
        <w:tc>
          <w:tcPr>
            <w:tcW w:w="596" w:type="pct"/>
            <w:tcBorders>
              <w:top w:val="single" w:sz="4" w:space="0" w:color="auto"/>
              <w:left w:val="single" w:sz="4" w:space="0" w:color="auto"/>
              <w:bottom w:val="single" w:sz="4" w:space="0" w:color="auto"/>
              <w:right w:val="single" w:sz="4" w:space="0" w:color="auto"/>
            </w:tcBorders>
            <w:hideMark/>
          </w:tcPr>
          <w:p w14:paraId="49380F70"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Measurement</w:t>
            </w:r>
            <w:proofErr w:type="spellEnd"/>
            <w:r w:rsidRPr="008C5F1C">
              <w:rPr>
                <w:rFonts w:ascii="Times New Roman" w:hAnsi="Times New Roman" w:cs="Times New Roman"/>
                <w:b/>
                <w:sz w:val="16"/>
                <w:szCs w:val="16"/>
              </w:rPr>
              <w:t xml:space="preserve"> unit</w:t>
            </w:r>
          </w:p>
        </w:tc>
        <w:tc>
          <w:tcPr>
            <w:tcW w:w="557" w:type="pct"/>
            <w:tcBorders>
              <w:top w:val="single" w:sz="4" w:space="0" w:color="auto"/>
              <w:left w:val="single" w:sz="4" w:space="0" w:color="auto"/>
              <w:bottom w:val="single" w:sz="4" w:space="0" w:color="auto"/>
              <w:right w:val="single" w:sz="4" w:space="0" w:color="auto"/>
            </w:tcBorders>
          </w:tcPr>
          <w:p w14:paraId="06B5251E"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Milestone</w:t>
            </w:r>
            <w:proofErr w:type="spellEnd"/>
            <w:r w:rsidRPr="008C5F1C">
              <w:rPr>
                <w:rFonts w:ascii="Times New Roman" w:hAnsi="Times New Roman" w:cs="Times New Roman"/>
                <w:b/>
                <w:sz w:val="16"/>
                <w:szCs w:val="16"/>
              </w:rPr>
              <w:t xml:space="preserve"> (2024)</w:t>
            </w:r>
          </w:p>
          <w:p w14:paraId="6E5D92D0" w14:textId="77777777" w:rsidR="00653571" w:rsidRPr="008C5F1C" w:rsidRDefault="00653571" w:rsidP="00534127">
            <w:pPr>
              <w:rPr>
                <w:rFonts w:ascii="Times New Roman" w:hAnsi="Times New Roman" w:cs="Times New Roman"/>
                <w:b/>
                <w:sz w:val="16"/>
                <w:szCs w:val="16"/>
              </w:rPr>
            </w:pPr>
          </w:p>
        </w:tc>
        <w:tc>
          <w:tcPr>
            <w:tcW w:w="674" w:type="pct"/>
            <w:tcBorders>
              <w:top w:val="single" w:sz="4" w:space="0" w:color="auto"/>
              <w:left w:val="single" w:sz="4" w:space="0" w:color="auto"/>
              <w:bottom w:val="single" w:sz="4" w:space="0" w:color="auto"/>
              <w:right w:val="single" w:sz="4" w:space="0" w:color="auto"/>
            </w:tcBorders>
          </w:tcPr>
          <w:p w14:paraId="16D62821"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Target (2029)</w:t>
            </w:r>
          </w:p>
          <w:p w14:paraId="30CE497D" w14:textId="77777777" w:rsidR="00653571" w:rsidRPr="008C5F1C" w:rsidRDefault="00653571" w:rsidP="00534127">
            <w:pPr>
              <w:rPr>
                <w:rFonts w:ascii="Times New Roman" w:hAnsi="Times New Roman" w:cs="Times New Roman"/>
                <w:b/>
                <w:sz w:val="16"/>
                <w:szCs w:val="16"/>
              </w:rPr>
            </w:pPr>
          </w:p>
        </w:tc>
      </w:tr>
      <w:tr w:rsidR="00653571" w:rsidRPr="008C5F1C" w14:paraId="6453EB2F" w14:textId="77777777" w:rsidTr="00534127">
        <w:trPr>
          <w:trHeight w:val="340"/>
        </w:trPr>
        <w:tc>
          <w:tcPr>
            <w:tcW w:w="386" w:type="pct"/>
            <w:tcBorders>
              <w:top w:val="single" w:sz="4" w:space="0" w:color="auto"/>
              <w:left w:val="single" w:sz="4" w:space="0" w:color="auto"/>
              <w:bottom w:val="single" w:sz="4" w:space="0" w:color="auto"/>
              <w:right w:val="single" w:sz="4" w:space="0" w:color="auto"/>
            </w:tcBorders>
          </w:tcPr>
          <w:p w14:paraId="38EECD6B" w14:textId="77777777" w:rsidR="00653571" w:rsidRPr="008C5F1C" w:rsidRDefault="00904C61" w:rsidP="00534127">
            <w:pPr>
              <w:rPr>
                <w:rFonts w:ascii="Times New Roman" w:hAnsi="Times New Roman" w:cs="Times New Roman"/>
                <w:bCs/>
                <w:iCs/>
                <w:sz w:val="16"/>
                <w:szCs w:val="16"/>
              </w:rPr>
            </w:pPr>
            <w:r w:rsidRPr="008C5F1C">
              <w:rPr>
                <w:rFonts w:ascii="Times New Roman" w:hAnsi="Times New Roman" w:cs="Times New Roman"/>
                <w:bCs/>
                <w:iCs/>
                <w:sz w:val="16"/>
                <w:szCs w:val="16"/>
              </w:rPr>
              <w:t>3</w:t>
            </w:r>
          </w:p>
        </w:tc>
        <w:tc>
          <w:tcPr>
            <w:tcW w:w="622" w:type="pct"/>
            <w:tcBorders>
              <w:top w:val="single" w:sz="4" w:space="0" w:color="auto"/>
              <w:left w:val="single" w:sz="4" w:space="0" w:color="auto"/>
              <w:bottom w:val="single" w:sz="4" w:space="0" w:color="auto"/>
              <w:right w:val="single" w:sz="4" w:space="0" w:color="auto"/>
            </w:tcBorders>
          </w:tcPr>
          <w:p w14:paraId="3C4B42D6"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bCs/>
                <w:iCs/>
                <w:sz w:val="16"/>
                <w:szCs w:val="16"/>
              </w:rPr>
              <w:t>b (viii) Promovarea mobilit</w:t>
            </w:r>
            <w:r w:rsidR="00BA7827" w:rsidRPr="008C5F1C">
              <w:rPr>
                <w:rFonts w:ascii="Times New Roman" w:hAnsi="Times New Roman" w:cs="Times New Roman"/>
                <w:bCs/>
                <w:iCs/>
                <w:sz w:val="16"/>
                <w:szCs w:val="16"/>
              </w:rPr>
              <w:t>ă</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 xml:space="preserve">ii urbane </w:t>
            </w:r>
            <w:proofErr w:type="spellStart"/>
            <w:r w:rsidRPr="008C5F1C">
              <w:rPr>
                <w:rFonts w:ascii="Times New Roman" w:hAnsi="Times New Roman" w:cs="Times New Roman"/>
                <w:bCs/>
                <w:iCs/>
                <w:sz w:val="16"/>
                <w:szCs w:val="16"/>
              </w:rPr>
              <w:t>multimodale</w:t>
            </w:r>
            <w:proofErr w:type="spellEnd"/>
            <w:r w:rsidRPr="008C5F1C">
              <w:rPr>
                <w:rFonts w:ascii="Times New Roman" w:hAnsi="Times New Roman" w:cs="Times New Roman"/>
                <w:bCs/>
                <w:iCs/>
                <w:sz w:val="16"/>
                <w:szCs w:val="16"/>
              </w:rPr>
              <w:t xml:space="preserve"> sustenabile</w:t>
            </w:r>
          </w:p>
        </w:tc>
        <w:tc>
          <w:tcPr>
            <w:tcW w:w="319" w:type="pct"/>
            <w:tcBorders>
              <w:top w:val="single" w:sz="4" w:space="0" w:color="auto"/>
              <w:left w:val="single" w:sz="4" w:space="0" w:color="auto"/>
              <w:bottom w:val="single" w:sz="4" w:space="0" w:color="auto"/>
              <w:right w:val="single" w:sz="4" w:space="0" w:color="auto"/>
            </w:tcBorders>
          </w:tcPr>
          <w:p w14:paraId="2E4FD1BA"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noProof/>
                <w:sz w:val="16"/>
                <w:szCs w:val="16"/>
              </w:rPr>
              <w:t>FEDR</w:t>
            </w:r>
          </w:p>
        </w:tc>
        <w:tc>
          <w:tcPr>
            <w:tcW w:w="445" w:type="pct"/>
            <w:tcBorders>
              <w:top w:val="single" w:sz="4" w:space="0" w:color="auto"/>
              <w:left w:val="single" w:sz="4" w:space="0" w:color="auto"/>
              <w:bottom w:val="single" w:sz="4" w:space="0" w:color="auto"/>
              <w:right w:val="single" w:sz="4" w:space="0" w:color="auto"/>
            </w:tcBorders>
          </w:tcPr>
          <w:p w14:paraId="472D9912"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noProof/>
                <w:sz w:val="16"/>
                <w:szCs w:val="16"/>
              </w:rPr>
              <w:t>Mai pu</w:t>
            </w:r>
            <w:r w:rsidR="00E22FF2" w:rsidRPr="008C5F1C">
              <w:rPr>
                <w:rFonts w:ascii="Times New Roman" w:hAnsi="Times New Roman" w:cs="Times New Roman"/>
                <w:noProof/>
                <w:sz w:val="16"/>
                <w:szCs w:val="16"/>
              </w:rPr>
              <w:t>ț</w:t>
            </w:r>
            <w:r w:rsidRPr="008C5F1C">
              <w:rPr>
                <w:rFonts w:ascii="Times New Roman" w:hAnsi="Times New Roman" w:cs="Times New Roman"/>
                <w:noProof/>
                <w:sz w:val="16"/>
                <w:szCs w:val="16"/>
              </w:rPr>
              <w:t>in dezvoltate</w:t>
            </w:r>
          </w:p>
        </w:tc>
        <w:tc>
          <w:tcPr>
            <w:tcW w:w="278" w:type="pct"/>
            <w:tcBorders>
              <w:top w:val="single" w:sz="4" w:space="0" w:color="auto"/>
              <w:left w:val="single" w:sz="4" w:space="0" w:color="auto"/>
              <w:bottom w:val="single" w:sz="4" w:space="0" w:color="auto"/>
              <w:right w:val="single" w:sz="4" w:space="0" w:color="auto"/>
            </w:tcBorders>
          </w:tcPr>
          <w:p w14:paraId="3B5632D6"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bCs/>
                <w:iCs/>
                <w:sz w:val="16"/>
                <w:szCs w:val="16"/>
              </w:rPr>
              <w:t xml:space="preserve">RCO 55 </w:t>
            </w:r>
          </w:p>
          <w:p w14:paraId="74E919C6" w14:textId="77777777" w:rsidR="00653571" w:rsidRPr="008C5F1C" w:rsidRDefault="00653571" w:rsidP="00534127">
            <w:pPr>
              <w:rPr>
                <w:rFonts w:ascii="Times New Roman" w:hAnsi="Times New Roman" w:cs="Times New Roman"/>
                <w:bCs/>
                <w:iCs/>
                <w:sz w:val="16"/>
                <w:szCs w:val="16"/>
              </w:rPr>
            </w:pPr>
          </w:p>
        </w:tc>
        <w:tc>
          <w:tcPr>
            <w:tcW w:w="1122" w:type="pct"/>
            <w:tcBorders>
              <w:top w:val="single" w:sz="4" w:space="0" w:color="auto"/>
              <w:left w:val="single" w:sz="4" w:space="0" w:color="auto"/>
              <w:bottom w:val="single" w:sz="4" w:space="0" w:color="auto"/>
              <w:right w:val="single" w:sz="4" w:space="0" w:color="auto"/>
            </w:tcBorders>
          </w:tcPr>
          <w:p w14:paraId="2D8EBF8F"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bCs/>
                <w:iCs/>
                <w:sz w:val="16"/>
                <w:szCs w:val="16"/>
              </w:rPr>
              <w:t xml:space="preserve">RCO 55 – Lungimea liniilor de tramvai </w:t>
            </w:r>
            <w:r w:rsidR="00106240" w:rsidRPr="008C5F1C">
              <w:rPr>
                <w:rFonts w:ascii="Times New Roman" w:hAnsi="Times New Roman" w:cs="Times New Roman"/>
                <w:bCs/>
                <w:iCs/>
                <w:sz w:val="16"/>
                <w:szCs w:val="16"/>
              </w:rPr>
              <w:t>ș</w:t>
            </w:r>
            <w:r w:rsidRPr="008C5F1C">
              <w:rPr>
                <w:rFonts w:ascii="Times New Roman" w:hAnsi="Times New Roman" w:cs="Times New Roman"/>
                <w:bCs/>
                <w:iCs/>
                <w:sz w:val="16"/>
                <w:szCs w:val="16"/>
              </w:rPr>
              <w:t>i metrou – noi</w:t>
            </w:r>
          </w:p>
          <w:p w14:paraId="5857A9E3" w14:textId="77777777" w:rsidR="00653571" w:rsidRPr="008C5F1C" w:rsidRDefault="00653571" w:rsidP="00534127">
            <w:pPr>
              <w:rPr>
                <w:rFonts w:ascii="Times New Roman" w:hAnsi="Times New Roman" w:cs="Times New Roman"/>
                <w:bCs/>
                <w:iCs/>
                <w:sz w:val="16"/>
                <w:szCs w:val="16"/>
              </w:rPr>
            </w:pPr>
          </w:p>
        </w:tc>
        <w:tc>
          <w:tcPr>
            <w:tcW w:w="596" w:type="pct"/>
            <w:tcBorders>
              <w:top w:val="single" w:sz="4" w:space="0" w:color="auto"/>
              <w:left w:val="single" w:sz="4" w:space="0" w:color="auto"/>
              <w:bottom w:val="single" w:sz="4" w:space="0" w:color="auto"/>
              <w:right w:val="single" w:sz="4" w:space="0" w:color="auto"/>
            </w:tcBorders>
          </w:tcPr>
          <w:p w14:paraId="361D5A9C" w14:textId="77777777" w:rsidR="00653571" w:rsidRPr="008C5F1C" w:rsidRDefault="00D06630" w:rsidP="00534127">
            <w:pPr>
              <w:rPr>
                <w:rFonts w:ascii="Times New Roman" w:hAnsi="Times New Roman" w:cs="Times New Roman"/>
                <w:bCs/>
                <w:iCs/>
                <w:sz w:val="16"/>
                <w:szCs w:val="16"/>
              </w:rPr>
            </w:pPr>
            <w:r w:rsidRPr="008C5F1C">
              <w:rPr>
                <w:rFonts w:ascii="Times New Roman" w:hAnsi="Times New Roman" w:cs="Times New Roman"/>
                <w:bCs/>
                <w:iCs/>
                <w:sz w:val="16"/>
                <w:szCs w:val="16"/>
              </w:rPr>
              <w:t>km</w:t>
            </w:r>
          </w:p>
        </w:tc>
        <w:tc>
          <w:tcPr>
            <w:tcW w:w="557" w:type="pct"/>
            <w:tcBorders>
              <w:top w:val="single" w:sz="4" w:space="0" w:color="auto"/>
              <w:left w:val="single" w:sz="4" w:space="0" w:color="auto"/>
              <w:bottom w:val="single" w:sz="4" w:space="0" w:color="auto"/>
              <w:right w:val="single" w:sz="4" w:space="0" w:color="auto"/>
            </w:tcBorders>
          </w:tcPr>
          <w:p w14:paraId="1F29D0CA" w14:textId="630FB8C5" w:rsidR="00653571" w:rsidRPr="008C5F1C" w:rsidRDefault="004E0F10" w:rsidP="004E0F10">
            <w:pPr>
              <w:jc w:val="center"/>
              <w:rPr>
                <w:rFonts w:ascii="Times New Roman" w:hAnsi="Times New Roman" w:cs="Times New Roman"/>
                <w:bCs/>
                <w:iCs/>
                <w:sz w:val="16"/>
                <w:szCs w:val="16"/>
              </w:rPr>
            </w:pPr>
            <w:r w:rsidRPr="008C5F1C">
              <w:rPr>
                <w:rFonts w:ascii="Times New Roman" w:hAnsi="Times New Roman" w:cs="Times New Roman"/>
                <w:bCs/>
                <w:iCs/>
                <w:sz w:val="16"/>
                <w:szCs w:val="16"/>
              </w:rPr>
              <w:t>0</w:t>
            </w:r>
          </w:p>
        </w:tc>
        <w:tc>
          <w:tcPr>
            <w:tcW w:w="674" w:type="pct"/>
            <w:tcBorders>
              <w:top w:val="single" w:sz="4" w:space="0" w:color="auto"/>
              <w:left w:val="single" w:sz="4" w:space="0" w:color="auto"/>
              <w:bottom w:val="single" w:sz="4" w:space="0" w:color="auto"/>
              <w:right w:val="single" w:sz="4" w:space="0" w:color="auto"/>
            </w:tcBorders>
          </w:tcPr>
          <w:p w14:paraId="223B9F1D" w14:textId="188EFC12" w:rsidR="00653571" w:rsidRPr="008C5F1C" w:rsidRDefault="00B11C00" w:rsidP="004E0F10">
            <w:pPr>
              <w:jc w:val="center"/>
              <w:rPr>
                <w:rFonts w:ascii="Times New Roman" w:hAnsi="Times New Roman" w:cs="Times New Roman"/>
                <w:bCs/>
                <w:iCs/>
                <w:sz w:val="16"/>
                <w:szCs w:val="16"/>
              </w:rPr>
            </w:pPr>
            <w:r w:rsidRPr="008C5F1C">
              <w:rPr>
                <w:rFonts w:ascii="Times New Roman" w:hAnsi="Times New Roman" w:cs="Times New Roman"/>
                <w:bCs/>
                <w:iCs/>
                <w:sz w:val="16"/>
                <w:szCs w:val="16"/>
              </w:rPr>
              <w:t>1</w:t>
            </w:r>
          </w:p>
        </w:tc>
      </w:tr>
      <w:tr w:rsidR="00653571" w:rsidRPr="008C5F1C" w14:paraId="51644364" w14:textId="77777777" w:rsidTr="00534127">
        <w:trPr>
          <w:trHeight w:val="340"/>
        </w:trPr>
        <w:tc>
          <w:tcPr>
            <w:tcW w:w="386" w:type="pct"/>
            <w:tcBorders>
              <w:top w:val="single" w:sz="4" w:space="0" w:color="auto"/>
              <w:left w:val="single" w:sz="4" w:space="0" w:color="auto"/>
              <w:bottom w:val="single" w:sz="4" w:space="0" w:color="auto"/>
              <w:right w:val="single" w:sz="4" w:space="0" w:color="auto"/>
            </w:tcBorders>
          </w:tcPr>
          <w:p w14:paraId="02724724" w14:textId="77777777" w:rsidR="00653571" w:rsidRPr="008C5F1C" w:rsidRDefault="00904C61" w:rsidP="00534127">
            <w:pPr>
              <w:rPr>
                <w:rFonts w:ascii="Times New Roman" w:hAnsi="Times New Roman" w:cs="Times New Roman"/>
                <w:bCs/>
                <w:iCs/>
                <w:sz w:val="16"/>
                <w:szCs w:val="16"/>
              </w:rPr>
            </w:pPr>
            <w:r w:rsidRPr="008C5F1C">
              <w:rPr>
                <w:rFonts w:ascii="Times New Roman" w:hAnsi="Times New Roman" w:cs="Times New Roman"/>
                <w:bCs/>
                <w:iCs/>
                <w:sz w:val="16"/>
                <w:szCs w:val="16"/>
              </w:rPr>
              <w:t>3</w:t>
            </w:r>
          </w:p>
        </w:tc>
        <w:tc>
          <w:tcPr>
            <w:tcW w:w="622" w:type="pct"/>
            <w:tcBorders>
              <w:top w:val="single" w:sz="4" w:space="0" w:color="auto"/>
              <w:left w:val="single" w:sz="4" w:space="0" w:color="auto"/>
              <w:bottom w:val="single" w:sz="4" w:space="0" w:color="auto"/>
              <w:right w:val="single" w:sz="4" w:space="0" w:color="auto"/>
            </w:tcBorders>
          </w:tcPr>
          <w:p w14:paraId="751FD41E"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bCs/>
                <w:iCs/>
                <w:sz w:val="16"/>
                <w:szCs w:val="16"/>
              </w:rPr>
              <w:t>b (viii) Promovarea mobilit</w:t>
            </w:r>
            <w:r w:rsidR="00BA7827" w:rsidRPr="008C5F1C">
              <w:rPr>
                <w:rFonts w:ascii="Times New Roman" w:hAnsi="Times New Roman" w:cs="Times New Roman"/>
                <w:bCs/>
                <w:iCs/>
                <w:sz w:val="16"/>
                <w:szCs w:val="16"/>
              </w:rPr>
              <w:t>ă</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 xml:space="preserve">ii urbane </w:t>
            </w:r>
            <w:proofErr w:type="spellStart"/>
            <w:r w:rsidRPr="008C5F1C">
              <w:rPr>
                <w:rFonts w:ascii="Times New Roman" w:hAnsi="Times New Roman" w:cs="Times New Roman"/>
                <w:bCs/>
                <w:iCs/>
                <w:sz w:val="16"/>
                <w:szCs w:val="16"/>
              </w:rPr>
              <w:t>multimodale</w:t>
            </w:r>
            <w:proofErr w:type="spellEnd"/>
            <w:r w:rsidRPr="008C5F1C">
              <w:rPr>
                <w:rFonts w:ascii="Times New Roman" w:hAnsi="Times New Roman" w:cs="Times New Roman"/>
                <w:bCs/>
                <w:iCs/>
                <w:sz w:val="16"/>
                <w:szCs w:val="16"/>
              </w:rPr>
              <w:t xml:space="preserve"> sustenabile</w:t>
            </w:r>
          </w:p>
        </w:tc>
        <w:tc>
          <w:tcPr>
            <w:tcW w:w="319" w:type="pct"/>
            <w:tcBorders>
              <w:top w:val="single" w:sz="4" w:space="0" w:color="auto"/>
              <w:left w:val="single" w:sz="4" w:space="0" w:color="auto"/>
              <w:bottom w:val="single" w:sz="4" w:space="0" w:color="auto"/>
              <w:right w:val="single" w:sz="4" w:space="0" w:color="auto"/>
            </w:tcBorders>
          </w:tcPr>
          <w:p w14:paraId="61196AE6" w14:textId="77777777" w:rsidR="00653571" w:rsidRPr="008C5F1C" w:rsidRDefault="00653571" w:rsidP="00534127">
            <w:pPr>
              <w:rPr>
                <w:rFonts w:ascii="Times New Roman" w:hAnsi="Times New Roman" w:cs="Times New Roman"/>
                <w:noProof/>
                <w:sz w:val="16"/>
                <w:szCs w:val="16"/>
              </w:rPr>
            </w:pPr>
            <w:r w:rsidRPr="008C5F1C">
              <w:rPr>
                <w:rFonts w:ascii="Times New Roman" w:hAnsi="Times New Roman" w:cs="Times New Roman"/>
                <w:noProof/>
                <w:sz w:val="16"/>
                <w:szCs w:val="16"/>
              </w:rPr>
              <w:t>FEDR</w:t>
            </w:r>
          </w:p>
        </w:tc>
        <w:tc>
          <w:tcPr>
            <w:tcW w:w="445" w:type="pct"/>
            <w:tcBorders>
              <w:top w:val="single" w:sz="4" w:space="0" w:color="auto"/>
              <w:left w:val="single" w:sz="4" w:space="0" w:color="auto"/>
              <w:bottom w:val="single" w:sz="4" w:space="0" w:color="auto"/>
              <w:right w:val="single" w:sz="4" w:space="0" w:color="auto"/>
            </w:tcBorders>
          </w:tcPr>
          <w:p w14:paraId="2726EEF8" w14:textId="77777777" w:rsidR="00653571" w:rsidRPr="008C5F1C" w:rsidRDefault="00653571" w:rsidP="00534127">
            <w:pPr>
              <w:rPr>
                <w:rFonts w:ascii="Times New Roman" w:hAnsi="Times New Roman" w:cs="Times New Roman"/>
                <w:noProof/>
                <w:sz w:val="16"/>
                <w:szCs w:val="16"/>
              </w:rPr>
            </w:pPr>
            <w:r w:rsidRPr="008C5F1C">
              <w:rPr>
                <w:rFonts w:ascii="Times New Roman" w:hAnsi="Times New Roman" w:cs="Times New Roman"/>
                <w:noProof/>
                <w:sz w:val="16"/>
                <w:szCs w:val="16"/>
              </w:rPr>
              <w:t>Mai pu</w:t>
            </w:r>
            <w:r w:rsidR="00E22FF2" w:rsidRPr="008C5F1C">
              <w:rPr>
                <w:rFonts w:ascii="Times New Roman" w:hAnsi="Times New Roman" w:cs="Times New Roman"/>
                <w:noProof/>
                <w:sz w:val="16"/>
                <w:szCs w:val="16"/>
              </w:rPr>
              <w:t>ț</w:t>
            </w:r>
            <w:r w:rsidRPr="008C5F1C">
              <w:rPr>
                <w:rFonts w:ascii="Times New Roman" w:hAnsi="Times New Roman" w:cs="Times New Roman"/>
                <w:noProof/>
                <w:sz w:val="16"/>
                <w:szCs w:val="16"/>
              </w:rPr>
              <w:t>in dezvoltate</w:t>
            </w:r>
          </w:p>
        </w:tc>
        <w:tc>
          <w:tcPr>
            <w:tcW w:w="278" w:type="pct"/>
            <w:tcBorders>
              <w:top w:val="single" w:sz="4" w:space="0" w:color="auto"/>
              <w:left w:val="single" w:sz="4" w:space="0" w:color="auto"/>
              <w:bottom w:val="single" w:sz="4" w:space="0" w:color="auto"/>
              <w:right w:val="single" w:sz="4" w:space="0" w:color="auto"/>
            </w:tcBorders>
          </w:tcPr>
          <w:p w14:paraId="1BAA6BC6"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bCs/>
                <w:iCs/>
                <w:sz w:val="16"/>
                <w:szCs w:val="16"/>
              </w:rPr>
              <w:t xml:space="preserve">RCO 56 </w:t>
            </w:r>
          </w:p>
          <w:p w14:paraId="73F54FF0" w14:textId="77777777" w:rsidR="00653571" w:rsidRPr="008C5F1C" w:rsidRDefault="00653571" w:rsidP="00534127">
            <w:pPr>
              <w:rPr>
                <w:rFonts w:ascii="Times New Roman" w:hAnsi="Times New Roman" w:cs="Times New Roman"/>
                <w:bCs/>
                <w:iCs/>
                <w:sz w:val="16"/>
                <w:szCs w:val="16"/>
              </w:rPr>
            </w:pPr>
          </w:p>
        </w:tc>
        <w:tc>
          <w:tcPr>
            <w:tcW w:w="1122" w:type="pct"/>
            <w:tcBorders>
              <w:top w:val="single" w:sz="4" w:space="0" w:color="auto"/>
              <w:left w:val="single" w:sz="4" w:space="0" w:color="auto"/>
              <w:bottom w:val="single" w:sz="4" w:space="0" w:color="auto"/>
              <w:right w:val="single" w:sz="4" w:space="0" w:color="auto"/>
            </w:tcBorders>
          </w:tcPr>
          <w:p w14:paraId="25088F31"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bCs/>
                <w:iCs/>
                <w:sz w:val="16"/>
                <w:szCs w:val="16"/>
              </w:rPr>
              <w:t xml:space="preserve">RCO 56 – Lungimea liniilor de tramvai </w:t>
            </w:r>
            <w:r w:rsidR="00106240" w:rsidRPr="008C5F1C">
              <w:rPr>
                <w:rFonts w:ascii="Times New Roman" w:hAnsi="Times New Roman" w:cs="Times New Roman"/>
                <w:bCs/>
                <w:iCs/>
                <w:sz w:val="16"/>
                <w:szCs w:val="16"/>
              </w:rPr>
              <w:t>ș</w:t>
            </w:r>
            <w:r w:rsidRPr="008C5F1C">
              <w:rPr>
                <w:rFonts w:ascii="Times New Roman" w:hAnsi="Times New Roman" w:cs="Times New Roman"/>
                <w:bCs/>
                <w:iCs/>
                <w:sz w:val="16"/>
                <w:szCs w:val="16"/>
              </w:rPr>
              <w:t>i metrou – reconstruite/modernizate</w:t>
            </w:r>
          </w:p>
        </w:tc>
        <w:tc>
          <w:tcPr>
            <w:tcW w:w="596" w:type="pct"/>
            <w:tcBorders>
              <w:top w:val="single" w:sz="4" w:space="0" w:color="auto"/>
              <w:left w:val="single" w:sz="4" w:space="0" w:color="auto"/>
              <w:bottom w:val="single" w:sz="4" w:space="0" w:color="auto"/>
              <w:right w:val="single" w:sz="4" w:space="0" w:color="auto"/>
            </w:tcBorders>
          </w:tcPr>
          <w:p w14:paraId="546A1EF2" w14:textId="77777777" w:rsidR="00653571" w:rsidRPr="008C5F1C" w:rsidRDefault="00D06630" w:rsidP="00534127">
            <w:pPr>
              <w:rPr>
                <w:rFonts w:ascii="Times New Roman" w:hAnsi="Times New Roman" w:cs="Times New Roman"/>
                <w:bCs/>
                <w:iCs/>
                <w:sz w:val="16"/>
                <w:szCs w:val="16"/>
              </w:rPr>
            </w:pPr>
            <w:r w:rsidRPr="008C5F1C">
              <w:rPr>
                <w:rFonts w:ascii="Times New Roman" w:hAnsi="Times New Roman" w:cs="Times New Roman"/>
                <w:bCs/>
                <w:iCs/>
                <w:sz w:val="16"/>
                <w:szCs w:val="16"/>
              </w:rPr>
              <w:t>km</w:t>
            </w:r>
          </w:p>
        </w:tc>
        <w:tc>
          <w:tcPr>
            <w:tcW w:w="557" w:type="pct"/>
            <w:tcBorders>
              <w:top w:val="single" w:sz="4" w:space="0" w:color="auto"/>
              <w:left w:val="single" w:sz="4" w:space="0" w:color="auto"/>
              <w:bottom w:val="single" w:sz="4" w:space="0" w:color="auto"/>
              <w:right w:val="single" w:sz="4" w:space="0" w:color="auto"/>
            </w:tcBorders>
          </w:tcPr>
          <w:p w14:paraId="06320315" w14:textId="22D02DCE" w:rsidR="00653571" w:rsidRPr="008C5F1C" w:rsidRDefault="009A7CCC" w:rsidP="00B11C00">
            <w:pPr>
              <w:jc w:val="center"/>
              <w:rPr>
                <w:rFonts w:ascii="Times New Roman" w:hAnsi="Times New Roman" w:cs="Times New Roman"/>
                <w:bCs/>
                <w:iCs/>
                <w:sz w:val="16"/>
                <w:szCs w:val="16"/>
              </w:rPr>
            </w:pPr>
            <w:r w:rsidRPr="008C5F1C">
              <w:rPr>
                <w:rFonts w:ascii="Times New Roman" w:hAnsi="Times New Roman" w:cs="Times New Roman"/>
                <w:bCs/>
                <w:iCs/>
                <w:sz w:val="16"/>
                <w:szCs w:val="16"/>
              </w:rPr>
              <w:t>0</w:t>
            </w:r>
          </w:p>
        </w:tc>
        <w:tc>
          <w:tcPr>
            <w:tcW w:w="674" w:type="pct"/>
            <w:tcBorders>
              <w:top w:val="single" w:sz="4" w:space="0" w:color="auto"/>
              <w:left w:val="single" w:sz="4" w:space="0" w:color="auto"/>
              <w:bottom w:val="single" w:sz="4" w:space="0" w:color="auto"/>
              <w:right w:val="single" w:sz="4" w:space="0" w:color="auto"/>
            </w:tcBorders>
          </w:tcPr>
          <w:p w14:paraId="47ACF5F3" w14:textId="4154589D" w:rsidR="00653571" w:rsidRPr="008C5F1C" w:rsidRDefault="009A7CCC" w:rsidP="00B11C00">
            <w:pPr>
              <w:jc w:val="center"/>
              <w:rPr>
                <w:rFonts w:ascii="Times New Roman" w:hAnsi="Times New Roman" w:cs="Times New Roman"/>
                <w:bCs/>
                <w:iCs/>
                <w:sz w:val="16"/>
                <w:szCs w:val="16"/>
              </w:rPr>
            </w:pPr>
            <w:r w:rsidRPr="008C5F1C">
              <w:rPr>
                <w:rFonts w:ascii="Times New Roman" w:hAnsi="Times New Roman" w:cs="Times New Roman"/>
                <w:bCs/>
                <w:iCs/>
                <w:sz w:val="16"/>
                <w:szCs w:val="16"/>
              </w:rPr>
              <w:t>5</w:t>
            </w:r>
          </w:p>
        </w:tc>
      </w:tr>
      <w:tr w:rsidR="00653571" w:rsidRPr="008C5F1C" w14:paraId="27FDCB21" w14:textId="77777777" w:rsidTr="00534127">
        <w:trPr>
          <w:trHeight w:val="340"/>
        </w:trPr>
        <w:tc>
          <w:tcPr>
            <w:tcW w:w="386" w:type="pct"/>
            <w:tcBorders>
              <w:top w:val="single" w:sz="4" w:space="0" w:color="auto"/>
              <w:left w:val="single" w:sz="4" w:space="0" w:color="auto"/>
              <w:bottom w:val="single" w:sz="4" w:space="0" w:color="auto"/>
              <w:right w:val="single" w:sz="4" w:space="0" w:color="auto"/>
            </w:tcBorders>
          </w:tcPr>
          <w:p w14:paraId="0E7A448C" w14:textId="77777777" w:rsidR="00653571" w:rsidRPr="008C5F1C" w:rsidRDefault="00904C61" w:rsidP="00534127">
            <w:pPr>
              <w:rPr>
                <w:rFonts w:ascii="Times New Roman" w:hAnsi="Times New Roman" w:cs="Times New Roman"/>
                <w:bCs/>
                <w:iCs/>
                <w:sz w:val="16"/>
                <w:szCs w:val="16"/>
              </w:rPr>
            </w:pPr>
            <w:r w:rsidRPr="008C5F1C">
              <w:rPr>
                <w:rFonts w:ascii="Times New Roman" w:hAnsi="Times New Roman" w:cs="Times New Roman"/>
                <w:bCs/>
                <w:iCs/>
                <w:sz w:val="16"/>
                <w:szCs w:val="16"/>
              </w:rPr>
              <w:t>3</w:t>
            </w:r>
          </w:p>
        </w:tc>
        <w:tc>
          <w:tcPr>
            <w:tcW w:w="622" w:type="pct"/>
            <w:tcBorders>
              <w:top w:val="single" w:sz="4" w:space="0" w:color="auto"/>
              <w:left w:val="single" w:sz="4" w:space="0" w:color="auto"/>
              <w:bottom w:val="single" w:sz="4" w:space="0" w:color="auto"/>
              <w:right w:val="single" w:sz="4" w:space="0" w:color="auto"/>
            </w:tcBorders>
          </w:tcPr>
          <w:p w14:paraId="03A473F3"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bCs/>
                <w:iCs/>
                <w:sz w:val="16"/>
                <w:szCs w:val="16"/>
              </w:rPr>
              <w:t>b (viii) Promovarea mobilit</w:t>
            </w:r>
            <w:r w:rsidR="00BA7827" w:rsidRPr="008C5F1C">
              <w:rPr>
                <w:rFonts w:ascii="Times New Roman" w:hAnsi="Times New Roman" w:cs="Times New Roman"/>
                <w:bCs/>
                <w:iCs/>
                <w:sz w:val="16"/>
                <w:szCs w:val="16"/>
              </w:rPr>
              <w:t>ă</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 xml:space="preserve">ii urbane </w:t>
            </w:r>
            <w:proofErr w:type="spellStart"/>
            <w:r w:rsidRPr="008C5F1C">
              <w:rPr>
                <w:rFonts w:ascii="Times New Roman" w:hAnsi="Times New Roman" w:cs="Times New Roman"/>
                <w:bCs/>
                <w:iCs/>
                <w:sz w:val="16"/>
                <w:szCs w:val="16"/>
              </w:rPr>
              <w:lastRenderedPageBreak/>
              <w:t>multimodale</w:t>
            </w:r>
            <w:proofErr w:type="spellEnd"/>
            <w:r w:rsidRPr="008C5F1C">
              <w:rPr>
                <w:rFonts w:ascii="Times New Roman" w:hAnsi="Times New Roman" w:cs="Times New Roman"/>
                <w:bCs/>
                <w:iCs/>
                <w:sz w:val="16"/>
                <w:szCs w:val="16"/>
              </w:rPr>
              <w:t xml:space="preserve"> sustenabile</w:t>
            </w:r>
          </w:p>
        </w:tc>
        <w:tc>
          <w:tcPr>
            <w:tcW w:w="319" w:type="pct"/>
            <w:tcBorders>
              <w:top w:val="single" w:sz="4" w:space="0" w:color="auto"/>
              <w:left w:val="single" w:sz="4" w:space="0" w:color="auto"/>
              <w:bottom w:val="single" w:sz="4" w:space="0" w:color="auto"/>
              <w:right w:val="single" w:sz="4" w:space="0" w:color="auto"/>
            </w:tcBorders>
          </w:tcPr>
          <w:p w14:paraId="5700D085" w14:textId="77777777" w:rsidR="00653571" w:rsidRPr="008C5F1C" w:rsidRDefault="00653571" w:rsidP="00534127">
            <w:pPr>
              <w:rPr>
                <w:rFonts w:ascii="Times New Roman" w:hAnsi="Times New Roman" w:cs="Times New Roman"/>
                <w:noProof/>
                <w:sz w:val="16"/>
                <w:szCs w:val="16"/>
              </w:rPr>
            </w:pPr>
            <w:r w:rsidRPr="008C5F1C">
              <w:rPr>
                <w:rFonts w:ascii="Times New Roman" w:hAnsi="Times New Roman" w:cs="Times New Roman"/>
                <w:noProof/>
                <w:sz w:val="16"/>
                <w:szCs w:val="16"/>
              </w:rPr>
              <w:lastRenderedPageBreak/>
              <w:t>FEDR</w:t>
            </w:r>
          </w:p>
        </w:tc>
        <w:tc>
          <w:tcPr>
            <w:tcW w:w="445" w:type="pct"/>
            <w:tcBorders>
              <w:top w:val="single" w:sz="4" w:space="0" w:color="auto"/>
              <w:left w:val="single" w:sz="4" w:space="0" w:color="auto"/>
              <w:bottom w:val="single" w:sz="4" w:space="0" w:color="auto"/>
              <w:right w:val="single" w:sz="4" w:space="0" w:color="auto"/>
            </w:tcBorders>
          </w:tcPr>
          <w:p w14:paraId="554C74B4" w14:textId="77777777" w:rsidR="00653571" w:rsidRPr="008C5F1C" w:rsidRDefault="00653571" w:rsidP="00534127">
            <w:pPr>
              <w:rPr>
                <w:rFonts w:ascii="Times New Roman" w:hAnsi="Times New Roman" w:cs="Times New Roman"/>
                <w:noProof/>
                <w:sz w:val="16"/>
                <w:szCs w:val="16"/>
              </w:rPr>
            </w:pPr>
            <w:r w:rsidRPr="008C5F1C">
              <w:rPr>
                <w:rFonts w:ascii="Times New Roman" w:hAnsi="Times New Roman" w:cs="Times New Roman"/>
                <w:noProof/>
                <w:sz w:val="16"/>
                <w:szCs w:val="16"/>
              </w:rPr>
              <w:t>Mai pu</w:t>
            </w:r>
            <w:r w:rsidR="00E22FF2" w:rsidRPr="008C5F1C">
              <w:rPr>
                <w:rFonts w:ascii="Times New Roman" w:hAnsi="Times New Roman" w:cs="Times New Roman"/>
                <w:noProof/>
                <w:sz w:val="16"/>
                <w:szCs w:val="16"/>
              </w:rPr>
              <w:t>ț</w:t>
            </w:r>
            <w:r w:rsidRPr="008C5F1C">
              <w:rPr>
                <w:rFonts w:ascii="Times New Roman" w:hAnsi="Times New Roman" w:cs="Times New Roman"/>
                <w:noProof/>
                <w:sz w:val="16"/>
                <w:szCs w:val="16"/>
              </w:rPr>
              <w:t>in dezvoltate</w:t>
            </w:r>
          </w:p>
        </w:tc>
        <w:tc>
          <w:tcPr>
            <w:tcW w:w="278" w:type="pct"/>
            <w:tcBorders>
              <w:top w:val="single" w:sz="4" w:space="0" w:color="auto"/>
              <w:left w:val="single" w:sz="4" w:space="0" w:color="auto"/>
              <w:bottom w:val="single" w:sz="4" w:space="0" w:color="auto"/>
              <w:right w:val="single" w:sz="4" w:space="0" w:color="auto"/>
            </w:tcBorders>
          </w:tcPr>
          <w:p w14:paraId="7125F6ED"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bCs/>
                <w:iCs/>
                <w:sz w:val="16"/>
                <w:szCs w:val="16"/>
              </w:rPr>
              <w:t xml:space="preserve">RCO 57 </w:t>
            </w:r>
          </w:p>
          <w:p w14:paraId="587EE49F" w14:textId="77777777" w:rsidR="00653571" w:rsidRPr="008C5F1C" w:rsidRDefault="00653571" w:rsidP="00534127">
            <w:pPr>
              <w:rPr>
                <w:rFonts w:ascii="Times New Roman" w:hAnsi="Times New Roman" w:cs="Times New Roman"/>
                <w:bCs/>
                <w:iCs/>
                <w:sz w:val="16"/>
                <w:szCs w:val="16"/>
              </w:rPr>
            </w:pPr>
          </w:p>
        </w:tc>
        <w:tc>
          <w:tcPr>
            <w:tcW w:w="1122" w:type="pct"/>
            <w:tcBorders>
              <w:top w:val="single" w:sz="4" w:space="0" w:color="auto"/>
              <w:left w:val="single" w:sz="4" w:space="0" w:color="auto"/>
              <w:bottom w:val="single" w:sz="4" w:space="0" w:color="auto"/>
              <w:right w:val="single" w:sz="4" w:space="0" w:color="auto"/>
            </w:tcBorders>
          </w:tcPr>
          <w:p w14:paraId="171591CA" w14:textId="23EA3324"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bCs/>
                <w:iCs/>
                <w:sz w:val="16"/>
                <w:szCs w:val="16"/>
              </w:rPr>
              <w:t xml:space="preserve">RCO 57 – </w:t>
            </w:r>
            <w:r w:rsidR="0039758D" w:rsidRPr="008C5F1C">
              <w:rPr>
                <w:rFonts w:ascii="Times New Roman" w:hAnsi="Times New Roman" w:cs="Times New Roman"/>
                <w:bCs/>
                <w:iCs/>
                <w:sz w:val="16"/>
                <w:szCs w:val="16"/>
              </w:rPr>
              <w:t xml:space="preserve">Capacitate totala transport pasageri in vehicule ecologice destinate </w:t>
            </w:r>
            <w:proofErr w:type="spellStart"/>
            <w:r w:rsidR="0039758D" w:rsidRPr="008C5F1C">
              <w:rPr>
                <w:rFonts w:ascii="Times New Roman" w:hAnsi="Times New Roman" w:cs="Times New Roman"/>
                <w:bCs/>
                <w:iCs/>
                <w:sz w:val="16"/>
                <w:szCs w:val="16"/>
              </w:rPr>
              <w:t>TPUrban</w:t>
            </w:r>
            <w:proofErr w:type="spellEnd"/>
            <w:r w:rsidR="0039758D" w:rsidRPr="008C5F1C">
              <w:rPr>
                <w:rFonts w:ascii="Times New Roman" w:hAnsi="Times New Roman" w:cs="Times New Roman"/>
                <w:bCs/>
                <w:iCs/>
                <w:sz w:val="16"/>
                <w:szCs w:val="16"/>
              </w:rPr>
              <w:t xml:space="preserve">/ </w:t>
            </w:r>
            <w:proofErr w:type="spellStart"/>
            <w:r w:rsidR="0039758D" w:rsidRPr="008C5F1C">
              <w:rPr>
                <w:rFonts w:ascii="Times New Roman" w:hAnsi="Times New Roman" w:cs="Times New Roman"/>
                <w:bCs/>
                <w:iCs/>
                <w:sz w:val="16"/>
                <w:szCs w:val="16"/>
              </w:rPr>
              <w:t>TPMetropolitan</w:t>
            </w:r>
            <w:proofErr w:type="spellEnd"/>
          </w:p>
        </w:tc>
        <w:tc>
          <w:tcPr>
            <w:tcW w:w="596" w:type="pct"/>
            <w:tcBorders>
              <w:top w:val="single" w:sz="4" w:space="0" w:color="auto"/>
              <w:left w:val="single" w:sz="4" w:space="0" w:color="auto"/>
              <w:bottom w:val="single" w:sz="4" w:space="0" w:color="auto"/>
              <w:right w:val="single" w:sz="4" w:space="0" w:color="auto"/>
            </w:tcBorders>
          </w:tcPr>
          <w:p w14:paraId="3186A6AF" w14:textId="77777777" w:rsidR="00653571" w:rsidRPr="008C5F1C" w:rsidRDefault="00D06630" w:rsidP="00534127">
            <w:pPr>
              <w:rPr>
                <w:rFonts w:ascii="Times New Roman" w:hAnsi="Times New Roman" w:cs="Times New Roman"/>
                <w:bCs/>
                <w:iCs/>
                <w:sz w:val="16"/>
                <w:szCs w:val="16"/>
              </w:rPr>
            </w:pPr>
            <w:r w:rsidRPr="008C5F1C">
              <w:rPr>
                <w:rFonts w:ascii="Times New Roman" w:hAnsi="Times New Roman" w:cs="Times New Roman"/>
                <w:bCs/>
                <w:iCs/>
                <w:sz w:val="16"/>
                <w:szCs w:val="16"/>
              </w:rPr>
              <w:t>pasageri</w:t>
            </w:r>
          </w:p>
        </w:tc>
        <w:tc>
          <w:tcPr>
            <w:tcW w:w="557" w:type="pct"/>
            <w:tcBorders>
              <w:top w:val="single" w:sz="4" w:space="0" w:color="auto"/>
              <w:left w:val="single" w:sz="4" w:space="0" w:color="auto"/>
              <w:bottom w:val="single" w:sz="4" w:space="0" w:color="auto"/>
              <w:right w:val="single" w:sz="4" w:space="0" w:color="auto"/>
            </w:tcBorders>
          </w:tcPr>
          <w:p w14:paraId="15B5592D" w14:textId="5BD8598C" w:rsidR="00653571" w:rsidRPr="008C5F1C" w:rsidRDefault="009B746B" w:rsidP="00B11C00">
            <w:pPr>
              <w:jc w:val="center"/>
              <w:rPr>
                <w:rFonts w:ascii="Times New Roman" w:hAnsi="Times New Roman" w:cs="Times New Roman"/>
                <w:bCs/>
                <w:iCs/>
                <w:sz w:val="16"/>
                <w:szCs w:val="16"/>
              </w:rPr>
            </w:pPr>
            <w:r w:rsidRPr="008C5F1C">
              <w:rPr>
                <w:rFonts w:ascii="Times New Roman" w:hAnsi="Times New Roman" w:cs="Times New Roman"/>
                <w:bCs/>
                <w:iCs/>
                <w:sz w:val="16"/>
                <w:szCs w:val="16"/>
              </w:rPr>
              <w:t>6.165</w:t>
            </w:r>
          </w:p>
        </w:tc>
        <w:tc>
          <w:tcPr>
            <w:tcW w:w="674" w:type="pct"/>
            <w:tcBorders>
              <w:top w:val="single" w:sz="4" w:space="0" w:color="auto"/>
              <w:left w:val="single" w:sz="4" w:space="0" w:color="auto"/>
              <w:bottom w:val="single" w:sz="4" w:space="0" w:color="auto"/>
              <w:right w:val="single" w:sz="4" w:space="0" w:color="auto"/>
            </w:tcBorders>
          </w:tcPr>
          <w:p w14:paraId="692ABF67" w14:textId="389E866F" w:rsidR="00653571" w:rsidRPr="008C5F1C" w:rsidRDefault="009B746B" w:rsidP="00B11C00">
            <w:pPr>
              <w:jc w:val="center"/>
              <w:rPr>
                <w:rFonts w:ascii="Times New Roman" w:hAnsi="Times New Roman" w:cs="Times New Roman"/>
                <w:bCs/>
                <w:iCs/>
                <w:sz w:val="16"/>
                <w:szCs w:val="16"/>
              </w:rPr>
            </w:pPr>
            <w:r w:rsidRPr="008C5F1C">
              <w:rPr>
                <w:rFonts w:ascii="Times New Roman" w:hAnsi="Times New Roman" w:cs="Times New Roman"/>
                <w:bCs/>
                <w:iCs/>
                <w:sz w:val="16"/>
                <w:szCs w:val="16"/>
              </w:rPr>
              <w:t>12.330</w:t>
            </w:r>
          </w:p>
        </w:tc>
      </w:tr>
      <w:tr w:rsidR="00653571" w:rsidRPr="008C5F1C" w14:paraId="46A35D9B" w14:textId="77777777" w:rsidTr="00534127">
        <w:trPr>
          <w:trHeight w:val="340"/>
        </w:trPr>
        <w:tc>
          <w:tcPr>
            <w:tcW w:w="386" w:type="pct"/>
            <w:tcBorders>
              <w:top w:val="single" w:sz="4" w:space="0" w:color="auto"/>
              <w:left w:val="single" w:sz="4" w:space="0" w:color="auto"/>
              <w:bottom w:val="single" w:sz="4" w:space="0" w:color="auto"/>
              <w:right w:val="single" w:sz="4" w:space="0" w:color="auto"/>
            </w:tcBorders>
          </w:tcPr>
          <w:p w14:paraId="4E667C5E" w14:textId="77777777" w:rsidR="00653571" w:rsidRPr="008C5F1C" w:rsidRDefault="00904C61" w:rsidP="00534127">
            <w:pPr>
              <w:rPr>
                <w:rFonts w:ascii="Times New Roman" w:hAnsi="Times New Roman" w:cs="Times New Roman"/>
                <w:bCs/>
                <w:iCs/>
                <w:sz w:val="16"/>
                <w:szCs w:val="16"/>
              </w:rPr>
            </w:pPr>
            <w:r w:rsidRPr="008C5F1C">
              <w:rPr>
                <w:rFonts w:ascii="Times New Roman" w:hAnsi="Times New Roman" w:cs="Times New Roman"/>
                <w:bCs/>
                <w:iCs/>
                <w:sz w:val="16"/>
                <w:szCs w:val="16"/>
              </w:rPr>
              <w:t>3</w:t>
            </w:r>
          </w:p>
        </w:tc>
        <w:tc>
          <w:tcPr>
            <w:tcW w:w="622" w:type="pct"/>
            <w:tcBorders>
              <w:top w:val="single" w:sz="4" w:space="0" w:color="auto"/>
              <w:left w:val="single" w:sz="4" w:space="0" w:color="auto"/>
              <w:bottom w:val="single" w:sz="4" w:space="0" w:color="auto"/>
              <w:right w:val="single" w:sz="4" w:space="0" w:color="auto"/>
            </w:tcBorders>
          </w:tcPr>
          <w:p w14:paraId="4CBDF1A6"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bCs/>
                <w:iCs/>
                <w:sz w:val="16"/>
                <w:szCs w:val="16"/>
              </w:rPr>
              <w:t>b (viii) Promovarea mobilit</w:t>
            </w:r>
            <w:r w:rsidR="00BA7827" w:rsidRPr="008C5F1C">
              <w:rPr>
                <w:rFonts w:ascii="Times New Roman" w:hAnsi="Times New Roman" w:cs="Times New Roman"/>
                <w:bCs/>
                <w:iCs/>
                <w:sz w:val="16"/>
                <w:szCs w:val="16"/>
              </w:rPr>
              <w:t>ă</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 xml:space="preserve">ii urbane </w:t>
            </w:r>
            <w:proofErr w:type="spellStart"/>
            <w:r w:rsidRPr="008C5F1C">
              <w:rPr>
                <w:rFonts w:ascii="Times New Roman" w:hAnsi="Times New Roman" w:cs="Times New Roman"/>
                <w:bCs/>
                <w:iCs/>
                <w:sz w:val="16"/>
                <w:szCs w:val="16"/>
              </w:rPr>
              <w:t>multimodale</w:t>
            </w:r>
            <w:proofErr w:type="spellEnd"/>
            <w:r w:rsidRPr="008C5F1C">
              <w:rPr>
                <w:rFonts w:ascii="Times New Roman" w:hAnsi="Times New Roman" w:cs="Times New Roman"/>
                <w:bCs/>
                <w:iCs/>
                <w:sz w:val="16"/>
                <w:szCs w:val="16"/>
              </w:rPr>
              <w:t xml:space="preserve"> sustenabile</w:t>
            </w:r>
          </w:p>
        </w:tc>
        <w:tc>
          <w:tcPr>
            <w:tcW w:w="319" w:type="pct"/>
            <w:tcBorders>
              <w:top w:val="single" w:sz="4" w:space="0" w:color="auto"/>
              <w:left w:val="single" w:sz="4" w:space="0" w:color="auto"/>
              <w:bottom w:val="single" w:sz="4" w:space="0" w:color="auto"/>
              <w:right w:val="single" w:sz="4" w:space="0" w:color="auto"/>
            </w:tcBorders>
          </w:tcPr>
          <w:p w14:paraId="2DEC3C6E" w14:textId="77777777" w:rsidR="00653571" w:rsidRPr="008C5F1C" w:rsidRDefault="00653571" w:rsidP="00534127">
            <w:pPr>
              <w:rPr>
                <w:rFonts w:ascii="Times New Roman" w:hAnsi="Times New Roman" w:cs="Times New Roman"/>
                <w:noProof/>
                <w:sz w:val="16"/>
                <w:szCs w:val="16"/>
              </w:rPr>
            </w:pPr>
            <w:r w:rsidRPr="008C5F1C">
              <w:rPr>
                <w:rFonts w:ascii="Times New Roman" w:hAnsi="Times New Roman" w:cs="Times New Roman"/>
                <w:noProof/>
                <w:sz w:val="16"/>
                <w:szCs w:val="16"/>
              </w:rPr>
              <w:t>FEDR</w:t>
            </w:r>
          </w:p>
        </w:tc>
        <w:tc>
          <w:tcPr>
            <w:tcW w:w="445" w:type="pct"/>
            <w:tcBorders>
              <w:top w:val="single" w:sz="4" w:space="0" w:color="auto"/>
              <w:left w:val="single" w:sz="4" w:space="0" w:color="auto"/>
              <w:bottom w:val="single" w:sz="4" w:space="0" w:color="auto"/>
              <w:right w:val="single" w:sz="4" w:space="0" w:color="auto"/>
            </w:tcBorders>
          </w:tcPr>
          <w:p w14:paraId="5AD71A9B" w14:textId="77777777" w:rsidR="00653571" w:rsidRPr="008C5F1C" w:rsidRDefault="00653571" w:rsidP="00534127">
            <w:pPr>
              <w:rPr>
                <w:rFonts w:ascii="Times New Roman" w:hAnsi="Times New Roman" w:cs="Times New Roman"/>
                <w:noProof/>
                <w:sz w:val="16"/>
                <w:szCs w:val="16"/>
              </w:rPr>
            </w:pPr>
            <w:r w:rsidRPr="008C5F1C">
              <w:rPr>
                <w:rFonts w:ascii="Times New Roman" w:hAnsi="Times New Roman" w:cs="Times New Roman"/>
                <w:noProof/>
                <w:sz w:val="16"/>
                <w:szCs w:val="16"/>
              </w:rPr>
              <w:t>Mai pu</w:t>
            </w:r>
            <w:r w:rsidR="00E22FF2" w:rsidRPr="008C5F1C">
              <w:rPr>
                <w:rFonts w:ascii="Times New Roman" w:hAnsi="Times New Roman" w:cs="Times New Roman"/>
                <w:noProof/>
                <w:sz w:val="16"/>
                <w:szCs w:val="16"/>
              </w:rPr>
              <w:t>ț</w:t>
            </w:r>
            <w:r w:rsidRPr="008C5F1C">
              <w:rPr>
                <w:rFonts w:ascii="Times New Roman" w:hAnsi="Times New Roman" w:cs="Times New Roman"/>
                <w:noProof/>
                <w:sz w:val="16"/>
                <w:szCs w:val="16"/>
              </w:rPr>
              <w:t>in dezvoltate</w:t>
            </w:r>
          </w:p>
        </w:tc>
        <w:tc>
          <w:tcPr>
            <w:tcW w:w="278" w:type="pct"/>
            <w:tcBorders>
              <w:top w:val="single" w:sz="4" w:space="0" w:color="auto"/>
              <w:left w:val="single" w:sz="4" w:space="0" w:color="auto"/>
              <w:bottom w:val="single" w:sz="4" w:space="0" w:color="auto"/>
              <w:right w:val="single" w:sz="4" w:space="0" w:color="auto"/>
            </w:tcBorders>
          </w:tcPr>
          <w:p w14:paraId="09249390"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bCs/>
                <w:iCs/>
                <w:sz w:val="16"/>
                <w:szCs w:val="16"/>
              </w:rPr>
              <w:t xml:space="preserve">RCO 58 </w:t>
            </w:r>
          </w:p>
          <w:p w14:paraId="5B3DBA53" w14:textId="77777777" w:rsidR="00653571" w:rsidRPr="008C5F1C" w:rsidRDefault="00653571" w:rsidP="00534127">
            <w:pPr>
              <w:rPr>
                <w:rFonts w:ascii="Times New Roman" w:hAnsi="Times New Roman" w:cs="Times New Roman"/>
                <w:bCs/>
                <w:iCs/>
                <w:sz w:val="16"/>
                <w:szCs w:val="16"/>
              </w:rPr>
            </w:pPr>
          </w:p>
        </w:tc>
        <w:tc>
          <w:tcPr>
            <w:tcW w:w="1122" w:type="pct"/>
            <w:tcBorders>
              <w:top w:val="single" w:sz="4" w:space="0" w:color="auto"/>
              <w:left w:val="single" w:sz="4" w:space="0" w:color="auto"/>
              <w:bottom w:val="single" w:sz="4" w:space="0" w:color="auto"/>
              <w:right w:val="single" w:sz="4" w:space="0" w:color="auto"/>
            </w:tcBorders>
          </w:tcPr>
          <w:p w14:paraId="6A21F923"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bCs/>
                <w:iCs/>
                <w:sz w:val="16"/>
                <w:szCs w:val="16"/>
              </w:rPr>
              <w:t>RCO 58 – Piste ciclabile care beneficiaz</w:t>
            </w:r>
            <w:r w:rsidR="00BA7827" w:rsidRPr="008C5F1C">
              <w:rPr>
                <w:rFonts w:ascii="Times New Roman" w:hAnsi="Times New Roman" w:cs="Times New Roman"/>
                <w:bCs/>
                <w:iCs/>
                <w:sz w:val="16"/>
                <w:szCs w:val="16"/>
              </w:rPr>
              <w:t>ă</w:t>
            </w:r>
            <w:r w:rsidRPr="008C5F1C">
              <w:rPr>
                <w:rFonts w:ascii="Times New Roman" w:hAnsi="Times New Roman" w:cs="Times New Roman"/>
                <w:bCs/>
                <w:iCs/>
                <w:sz w:val="16"/>
                <w:szCs w:val="16"/>
              </w:rPr>
              <w:t xml:space="preserve"> de sprijin</w:t>
            </w:r>
          </w:p>
        </w:tc>
        <w:tc>
          <w:tcPr>
            <w:tcW w:w="596" w:type="pct"/>
            <w:tcBorders>
              <w:top w:val="single" w:sz="4" w:space="0" w:color="auto"/>
              <w:left w:val="single" w:sz="4" w:space="0" w:color="auto"/>
              <w:bottom w:val="single" w:sz="4" w:space="0" w:color="auto"/>
              <w:right w:val="single" w:sz="4" w:space="0" w:color="auto"/>
            </w:tcBorders>
          </w:tcPr>
          <w:p w14:paraId="345F9EA3" w14:textId="77777777" w:rsidR="00653571" w:rsidRPr="008C5F1C" w:rsidRDefault="00BE23A8" w:rsidP="00534127">
            <w:pPr>
              <w:rPr>
                <w:rFonts w:ascii="Times New Roman" w:hAnsi="Times New Roman" w:cs="Times New Roman"/>
                <w:bCs/>
                <w:iCs/>
                <w:sz w:val="16"/>
                <w:szCs w:val="16"/>
              </w:rPr>
            </w:pPr>
            <w:r w:rsidRPr="008C5F1C">
              <w:rPr>
                <w:rFonts w:ascii="Times New Roman" w:hAnsi="Times New Roman" w:cs="Times New Roman"/>
                <w:bCs/>
                <w:iCs/>
                <w:sz w:val="16"/>
                <w:szCs w:val="16"/>
              </w:rPr>
              <w:t>Km</w:t>
            </w:r>
          </w:p>
        </w:tc>
        <w:tc>
          <w:tcPr>
            <w:tcW w:w="557" w:type="pct"/>
            <w:tcBorders>
              <w:top w:val="single" w:sz="4" w:space="0" w:color="auto"/>
              <w:left w:val="single" w:sz="4" w:space="0" w:color="auto"/>
              <w:bottom w:val="single" w:sz="4" w:space="0" w:color="auto"/>
              <w:right w:val="single" w:sz="4" w:space="0" w:color="auto"/>
            </w:tcBorders>
          </w:tcPr>
          <w:p w14:paraId="5355B4C5" w14:textId="1AB8A6C2" w:rsidR="00653571" w:rsidRPr="008C5F1C" w:rsidRDefault="009A7CCC" w:rsidP="00B11C00">
            <w:pPr>
              <w:jc w:val="center"/>
              <w:rPr>
                <w:rFonts w:ascii="Times New Roman" w:hAnsi="Times New Roman" w:cs="Times New Roman"/>
                <w:bCs/>
                <w:iCs/>
                <w:sz w:val="16"/>
                <w:szCs w:val="16"/>
              </w:rPr>
            </w:pPr>
            <w:r w:rsidRPr="008C5F1C">
              <w:rPr>
                <w:rFonts w:ascii="Times New Roman" w:hAnsi="Times New Roman" w:cs="Times New Roman"/>
                <w:bCs/>
                <w:iCs/>
                <w:sz w:val="16"/>
                <w:szCs w:val="16"/>
              </w:rPr>
              <w:t>0</w:t>
            </w:r>
          </w:p>
        </w:tc>
        <w:tc>
          <w:tcPr>
            <w:tcW w:w="674" w:type="pct"/>
            <w:tcBorders>
              <w:top w:val="single" w:sz="4" w:space="0" w:color="auto"/>
              <w:left w:val="single" w:sz="4" w:space="0" w:color="auto"/>
              <w:bottom w:val="single" w:sz="4" w:space="0" w:color="auto"/>
              <w:right w:val="single" w:sz="4" w:space="0" w:color="auto"/>
            </w:tcBorders>
          </w:tcPr>
          <w:p w14:paraId="1A04D671" w14:textId="19C3168A" w:rsidR="00653571" w:rsidRPr="008C5F1C" w:rsidRDefault="009B746B" w:rsidP="00B11C00">
            <w:pPr>
              <w:jc w:val="center"/>
              <w:rPr>
                <w:rFonts w:ascii="Times New Roman" w:hAnsi="Times New Roman" w:cs="Times New Roman"/>
                <w:bCs/>
                <w:iCs/>
                <w:sz w:val="16"/>
                <w:szCs w:val="16"/>
              </w:rPr>
            </w:pPr>
            <w:r w:rsidRPr="008C5F1C">
              <w:rPr>
                <w:rFonts w:ascii="Times New Roman" w:hAnsi="Times New Roman" w:cs="Times New Roman"/>
                <w:bCs/>
                <w:iCs/>
                <w:sz w:val="16"/>
                <w:szCs w:val="16"/>
              </w:rPr>
              <w:t>250</w:t>
            </w:r>
          </w:p>
        </w:tc>
      </w:tr>
      <w:tr w:rsidR="00653571" w:rsidRPr="008C5F1C" w14:paraId="1FDFFC1B" w14:textId="77777777" w:rsidTr="00534127">
        <w:trPr>
          <w:trHeight w:val="340"/>
        </w:trPr>
        <w:tc>
          <w:tcPr>
            <w:tcW w:w="386" w:type="pct"/>
            <w:tcBorders>
              <w:top w:val="single" w:sz="4" w:space="0" w:color="auto"/>
              <w:left w:val="single" w:sz="4" w:space="0" w:color="auto"/>
              <w:bottom w:val="single" w:sz="4" w:space="0" w:color="auto"/>
              <w:right w:val="single" w:sz="4" w:space="0" w:color="auto"/>
            </w:tcBorders>
          </w:tcPr>
          <w:p w14:paraId="044AD1C3" w14:textId="77777777" w:rsidR="00653571" w:rsidRPr="008C5F1C" w:rsidRDefault="00904C61" w:rsidP="00534127">
            <w:pPr>
              <w:rPr>
                <w:rFonts w:ascii="Times New Roman" w:hAnsi="Times New Roman" w:cs="Times New Roman"/>
                <w:bCs/>
                <w:iCs/>
                <w:sz w:val="16"/>
                <w:szCs w:val="16"/>
              </w:rPr>
            </w:pPr>
            <w:r w:rsidRPr="008C5F1C">
              <w:rPr>
                <w:rFonts w:ascii="Times New Roman" w:hAnsi="Times New Roman" w:cs="Times New Roman"/>
                <w:bCs/>
                <w:iCs/>
                <w:sz w:val="16"/>
                <w:szCs w:val="16"/>
              </w:rPr>
              <w:t>3</w:t>
            </w:r>
          </w:p>
        </w:tc>
        <w:tc>
          <w:tcPr>
            <w:tcW w:w="622" w:type="pct"/>
            <w:tcBorders>
              <w:top w:val="single" w:sz="4" w:space="0" w:color="auto"/>
              <w:left w:val="single" w:sz="4" w:space="0" w:color="auto"/>
              <w:bottom w:val="single" w:sz="4" w:space="0" w:color="auto"/>
              <w:right w:val="single" w:sz="4" w:space="0" w:color="auto"/>
            </w:tcBorders>
          </w:tcPr>
          <w:p w14:paraId="455DE022"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bCs/>
                <w:iCs/>
                <w:sz w:val="16"/>
                <w:szCs w:val="16"/>
              </w:rPr>
              <w:t>b (viii) Promovarea mobilit</w:t>
            </w:r>
            <w:r w:rsidR="00BA7827" w:rsidRPr="008C5F1C">
              <w:rPr>
                <w:rFonts w:ascii="Times New Roman" w:hAnsi="Times New Roman" w:cs="Times New Roman"/>
                <w:bCs/>
                <w:iCs/>
                <w:sz w:val="16"/>
                <w:szCs w:val="16"/>
              </w:rPr>
              <w:t>ă</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 xml:space="preserve">ii urbane </w:t>
            </w:r>
            <w:proofErr w:type="spellStart"/>
            <w:r w:rsidRPr="008C5F1C">
              <w:rPr>
                <w:rFonts w:ascii="Times New Roman" w:hAnsi="Times New Roman" w:cs="Times New Roman"/>
                <w:bCs/>
                <w:iCs/>
                <w:sz w:val="16"/>
                <w:szCs w:val="16"/>
              </w:rPr>
              <w:t>multimodale</w:t>
            </w:r>
            <w:proofErr w:type="spellEnd"/>
            <w:r w:rsidRPr="008C5F1C">
              <w:rPr>
                <w:rFonts w:ascii="Times New Roman" w:hAnsi="Times New Roman" w:cs="Times New Roman"/>
                <w:bCs/>
                <w:iCs/>
                <w:sz w:val="16"/>
                <w:szCs w:val="16"/>
              </w:rPr>
              <w:t xml:space="preserve"> sustenabile</w:t>
            </w:r>
          </w:p>
        </w:tc>
        <w:tc>
          <w:tcPr>
            <w:tcW w:w="319" w:type="pct"/>
            <w:tcBorders>
              <w:top w:val="single" w:sz="4" w:space="0" w:color="auto"/>
              <w:left w:val="single" w:sz="4" w:space="0" w:color="auto"/>
              <w:bottom w:val="single" w:sz="4" w:space="0" w:color="auto"/>
              <w:right w:val="single" w:sz="4" w:space="0" w:color="auto"/>
            </w:tcBorders>
          </w:tcPr>
          <w:p w14:paraId="3D6C5E54" w14:textId="77777777" w:rsidR="00653571" w:rsidRPr="008C5F1C" w:rsidRDefault="00653571" w:rsidP="00534127">
            <w:pPr>
              <w:rPr>
                <w:rFonts w:ascii="Times New Roman" w:hAnsi="Times New Roman" w:cs="Times New Roman"/>
                <w:noProof/>
                <w:sz w:val="16"/>
                <w:szCs w:val="16"/>
              </w:rPr>
            </w:pPr>
            <w:r w:rsidRPr="008C5F1C">
              <w:rPr>
                <w:rFonts w:ascii="Times New Roman" w:hAnsi="Times New Roman" w:cs="Times New Roman"/>
                <w:noProof/>
                <w:sz w:val="16"/>
                <w:szCs w:val="16"/>
              </w:rPr>
              <w:t>FEDR</w:t>
            </w:r>
          </w:p>
        </w:tc>
        <w:tc>
          <w:tcPr>
            <w:tcW w:w="445" w:type="pct"/>
            <w:tcBorders>
              <w:top w:val="single" w:sz="4" w:space="0" w:color="auto"/>
              <w:left w:val="single" w:sz="4" w:space="0" w:color="auto"/>
              <w:bottom w:val="single" w:sz="4" w:space="0" w:color="auto"/>
              <w:right w:val="single" w:sz="4" w:space="0" w:color="auto"/>
            </w:tcBorders>
          </w:tcPr>
          <w:p w14:paraId="016B9E87" w14:textId="77777777" w:rsidR="00653571" w:rsidRPr="008C5F1C" w:rsidRDefault="00653571" w:rsidP="00534127">
            <w:pPr>
              <w:rPr>
                <w:rFonts w:ascii="Times New Roman" w:hAnsi="Times New Roman" w:cs="Times New Roman"/>
                <w:noProof/>
                <w:sz w:val="16"/>
                <w:szCs w:val="16"/>
              </w:rPr>
            </w:pPr>
            <w:r w:rsidRPr="008C5F1C">
              <w:rPr>
                <w:rFonts w:ascii="Times New Roman" w:hAnsi="Times New Roman" w:cs="Times New Roman"/>
                <w:noProof/>
                <w:sz w:val="16"/>
                <w:szCs w:val="16"/>
              </w:rPr>
              <w:t>Mai pu</w:t>
            </w:r>
            <w:r w:rsidR="00E22FF2" w:rsidRPr="008C5F1C">
              <w:rPr>
                <w:rFonts w:ascii="Times New Roman" w:hAnsi="Times New Roman" w:cs="Times New Roman"/>
                <w:noProof/>
                <w:sz w:val="16"/>
                <w:szCs w:val="16"/>
              </w:rPr>
              <w:t>ț</w:t>
            </w:r>
            <w:r w:rsidRPr="008C5F1C">
              <w:rPr>
                <w:rFonts w:ascii="Times New Roman" w:hAnsi="Times New Roman" w:cs="Times New Roman"/>
                <w:noProof/>
                <w:sz w:val="16"/>
                <w:szCs w:val="16"/>
              </w:rPr>
              <w:t>in dezvoltate</w:t>
            </w:r>
          </w:p>
        </w:tc>
        <w:tc>
          <w:tcPr>
            <w:tcW w:w="278" w:type="pct"/>
            <w:tcBorders>
              <w:top w:val="single" w:sz="4" w:space="0" w:color="auto"/>
              <w:left w:val="single" w:sz="4" w:space="0" w:color="auto"/>
              <w:bottom w:val="single" w:sz="4" w:space="0" w:color="auto"/>
              <w:right w:val="single" w:sz="4" w:space="0" w:color="auto"/>
            </w:tcBorders>
          </w:tcPr>
          <w:p w14:paraId="18AD44A3"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bCs/>
                <w:iCs/>
                <w:sz w:val="16"/>
                <w:szCs w:val="16"/>
              </w:rPr>
              <w:t xml:space="preserve">RCO 59 </w:t>
            </w:r>
          </w:p>
          <w:p w14:paraId="4A2EDF68" w14:textId="77777777" w:rsidR="00653571" w:rsidRPr="008C5F1C" w:rsidRDefault="00653571" w:rsidP="00534127">
            <w:pPr>
              <w:rPr>
                <w:rFonts w:ascii="Times New Roman" w:hAnsi="Times New Roman" w:cs="Times New Roman"/>
                <w:bCs/>
                <w:iCs/>
                <w:sz w:val="16"/>
                <w:szCs w:val="16"/>
              </w:rPr>
            </w:pPr>
          </w:p>
        </w:tc>
        <w:tc>
          <w:tcPr>
            <w:tcW w:w="1122" w:type="pct"/>
            <w:tcBorders>
              <w:top w:val="single" w:sz="4" w:space="0" w:color="auto"/>
              <w:left w:val="single" w:sz="4" w:space="0" w:color="auto"/>
              <w:bottom w:val="single" w:sz="4" w:space="0" w:color="auto"/>
              <w:right w:val="single" w:sz="4" w:space="0" w:color="auto"/>
            </w:tcBorders>
          </w:tcPr>
          <w:p w14:paraId="033D74FC"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bCs/>
                <w:iCs/>
                <w:sz w:val="16"/>
                <w:szCs w:val="16"/>
              </w:rPr>
              <w:t>RCO 59 – Infrastructuri pentru carburan</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i alternativi (puncte de realimentare/reînc</w:t>
            </w:r>
            <w:r w:rsidR="00BA7827" w:rsidRPr="008C5F1C">
              <w:rPr>
                <w:rFonts w:ascii="Times New Roman" w:hAnsi="Times New Roman" w:cs="Times New Roman"/>
                <w:bCs/>
                <w:iCs/>
                <w:sz w:val="16"/>
                <w:szCs w:val="16"/>
              </w:rPr>
              <w:t>ă</w:t>
            </w:r>
            <w:r w:rsidRPr="008C5F1C">
              <w:rPr>
                <w:rFonts w:ascii="Times New Roman" w:hAnsi="Times New Roman" w:cs="Times New Roman"/>
                <w:bCs/>
                <w:iCs/>
                <w:sz w:val="16"/>
                <w:szCs w:val="16"/>
              </w:rPr>
              <w:t>rcare) care beneficiaz</w:t>
            </w:r>
            <w:r w:rsidR="00BA7827" w:rsidRPr="008C5F1C">
              <w:rPr>
                <w:rFonts w:ascii="Times New Roman" w:hAnsi="Times New Roman" w:cs="Times New Roman"/>
                <w:bCs/>
                <w:iCs/>
                <w:sz w:val="16"/>
                <w:szCs w:val="16"/>
              </w:rPr>
              <w:t>ă</w:t>
            </w:r>
            <w:r w:rsidRPr="008C5F1C">
              <w:rPr>
                <w:rFonts w:ascii="Times New Roman" w:hAnsi="Times New Roman" w:cs="Times New Roman"/>
                <w:bCs/>
                <w:iCs/>
                <w:sz w:val="16"/>
                <w:szCs w:val="16"/>
              </w:rPr>
              <w:t xml:space="preserve"> de sprijin</w:t>
            </w:r>
          </w:p>
        </w:tc>
        <w:tc>
          <w:tcPr>
            <w:tcW w:w="596" w:type="pct"/>
            <w:tcBorders>
              <w:top w:val="single" w:sz="4" w:space="0" w:color="auto"/>
              <w:left w:val="single" w:sz="4" w:space="0" w:color="auto"/>
              <w:bottom w:val="single" w:sz="4" w:space="0" w:color="auto"/>
              <w:right w:val="single" w:sz="4" w:space="0" w:color="auto"/>
            </w:tcBorders>
          </w:tcPr>
          <w:p w14:paraId="67BD9B65" w14:textId="77777777" w:rsidR="00653571" w:rsidRPr="008C5F1C" w:rsidRDefault="00244895" w:rsidP="00534127">
            <w:pPr>
              <w:rPr>
                <w:rFonts w:ascii="Times New Roman" w:hAnsi="Times New Roman" w:cs="Times New Roman"/>
                <w:bCs/>
                <w:iCs/>
                <w:sz w:val="16"/>
                <w:szCs w:val="16"/>
              </w:rPr>
            </w:pPr>
            <w:proofErr w:type="spellStart"/>
            <w:r w:rsidRPr="008C5F1C">
              <w:rPr>
                <w:rFonts w:ascii="Times New Roman" w:hAnsi="Times New Roman" w:cs="Times New Roman"/>
                <w:bCs/>
                <w:iCs/>
                <w:sz w:val="16"/>
                <w:szCs w:val="16"/>
              </w:rPr>
              <w:t>Refuelling</w:t>
            </w:r>
            <w:proofErr w:type="spellEnd"/>
            <w:r w:rsidRPr="008C5F1C">
              <w:rPr>
                <w:rFonts w:ascii="Times New Roman" w:hAnsi="Times New Roman" w:cs="Times New Roman"/>
                <w:bCs/>
                <w:iCs/>
                <w:sz w:val="16"/>
                <w:szCs w:val="16"/>
              </w:rPr>
              <w:t xml:space="preserve"> / </w:t>
            </w:r>
            <w:proofErr w:type="spellStart"/>
            <w:r w:rsidRPr="008C5F1C">
              <w:rPr>
                <w:rFonts w:ascii="Times New Roman" w:hAnsi="Times New Roman" w:cs="Times New Roman"/>
                <w:bCs/>
                <w:iCs/>
                <w:sz w:val="16"/>
                <w:szCs w:val="16"/>
              </w:rPr>
              <w:t>recharging</w:t>
            </w:r>
            <w:proofErr w:type="spellEnd"/>
            <w:r w:rsidRPr="008C5F1C">
              <w:rPr>
                <w:rFonts w:ascii="Times New Roman" w:hAnsi="Times New Roman" w:cs="Times New Roman"/>
                <w:bCs/>
                <w:iCs/>
                <w:sz w:val="16"/>
                <w:szCs w:val="16"/>
              </w:rPr>
              <w:t xml:space="preserve"> </w:t>
            </w:r>
            <w:proofErr w:type="spellStart"/>
            <w:r w:rsidRPr="008C5F1C">
              <w:rPr>
                <w:rFonts w:ascii="Times New Roman" w:hAnsi="Times New Roman" w:cs="Times New Roman"/>
                <w:bCs/>
                <w:iCs/>
                <w:sz w:val="16"/>
                <w:szCs w:val="16"/>
              </w:rPr>
              <w:t>points</w:t>
            </w:r>
            <w:proofErr w:type="spellEnd"/>
          </w:p>
        </w:tc>
        <w:tc>
          <w:tcPr>
            <w:tcW w:w="557" w:type="pct"/>
            <w:tcBorders>
              <w:top w:val="single" w:sz="4" w:space="0" w:color="auto"/>
              <w:left w:val="single" w:sz="4" w:space="0" w:color="auto"/>
              <w:bottom w:val="single" w:sz="4" w:space="0" w:color="auto"/>
              <w:right w:val="single" w:sz="4" w:space="0" w:color="auto"/>
            </w:tcBorders>
          </w:tcPr>
          <w:p w14:paraId="6FFF6634" w14:textId="63A175B0" w:rsidR="00653571" w:rsidRPr="008C5F1C" w:rsidRDefault="009A7CCC" w:rsidP="00B11C00">
            <w:pPr>
              <w:jc w:val="center"/>
              <w:rPr>
                <w:rFonts w:ascii="Times New Roman" w:hAnsi="Times New Roman" w:cs="Times New Roman"/>
                <w:bCs/>
                <w:iCs/>
                <w:sz w:val="16"/>
                <w:szCs w:val="16"/>
              </w:rPr>
            </w:pPr>
            <w:r w:rsidRPr="008C5F1C">
              <w:rPr>
                <w:rFonts w:ascii="Times New Roman" w:hAnsi="Times New Roman" w:cs="Times New Roman"/>
                <w:bCs/>
                <w:iCs/>
                <w:sz w:val="16"/>
                <w:szCs w:val="16"/>
              </w:rPr>
              <w:t>0</w:t>
            </w:r>
          </w:p>
        </w:tc>
        <w:tc>
          <w:tcPr>
            <w:tcW w:w="674" w:type="pct"/>
            <w:tcBorders>
              <w:top w:val="single" w:sz="4" w:space="0" w:color="auto"/>
              <w:left w:val="single" w:sz="4" w:space="0" w:color="auto"/>
              <w:bottom w:val="single" w:sz="4" w:space="0" w:color="auto"/>
              <w:right w:val="single" w:sz="4" w:space="0" w:color="auto"/>
            </w:tcBorders>
          </w:tcPr>
          <w:p w14:paraId="3400DB0B" w14:textId="04798229" w:rsidR="00653571" w:rsidRPr="008C5F1C" w:rsidRDefault="009A7CCC" w:rsidP="00B11C00">
            <w:pPr>
              <w:jc w:val="center"/>
              <w:rPr>
                <w:rFonts w:ascii="Times New Roman" w:hAnsi="Times New Roman" w:cs="Times New Roman"/>
                <w:bCs/>
                <w:iCs/>
                <w:sz w:val="16"/>
                <w:szCs w:val="16"/>
              </w:rPr>
            </w:pPr>
            <w:r w:rsidRPr="008C5F1C">
              <w:rPr>
                <w:rFonts w:ascii="Times New Roman" w:hAnsi="Times New Roman" w:cs="Times New Roman"/>
                <w:bCs/>
                <w:iCs/>
                <w:sz w:val="16"/>
                <w:szCs w:val="16"/>
              </w:rPr>
              <w:t>200</w:t>
            </w:r>
          </w:p>
        </w:tc>
      </w:tr>
      <w:tr w:rsidR="00653571" w:rsidRPr="008C5F1C" w14:paraId="699943FF" w14:textId="77777777" w:rsidTr="00534127">
        <w:trPr>
          <w:trHeight w:val="340"/>
        </w:trPr>
        <w:tc>
          <w:tcPr>
            <w:tcW w:w="386" w:type="pct"/>
            <w:tcBorders>
              <w:top w:val="single" w:sz="4" w:space="0" w:color="auto"/>
              <w:left w:val="single" w:sz="4" w:space="0" w:color="auto"/>
              <w:bottom w:val="single" w:sz="4" w:space="0" w:color="auto"/>
              <w:right w:val="single" w:sz="4" w:space="0" w:color="auto"/>
            </w:tcBorders>
          </w:tcPr>
          <w:p w14:paraId="6ED759BE" w14:textId="77777777" w:rsidR="00653571" w:rsidRPr="008C5F1C" w:rsidRDefault="00904C61" w:rsidP="00534127">
            <w:pPr>
              <w:rPr>
                <w:rFonts w:ascii="Times New Roman" w:hAnsi="Times New Roman" w:cs="Times New Roman"/>
                <w:bCs/>
                <w:iCs/>
                <w:sz w:val="16"/>
                <w:szCs w:val="16"/>
              </w:rPr>
            </w:pPr>
            <w:r w:rsidRPr="008C5F1C">
              <w:rPr>
                <w:rFonts w:ascii="Times New Roman" w:hAnsi="Times New Roman" w:cs="Times New Roman"/>
                <w:bCs/>
                <w:iCs/>
                <w:sz w:val="16"/>
                <w:szCs w:val="16"/>
              </w:rPr>
              <w:t>3</w:t>
            </w:r>
          </w:p>
        </w:tc>
        <w:tc>
          <w:tcPr>
            <w:tcW w:w="622" w:type="pct"/>
            <w:tcBorders>
              <w:top w:val="single" w:sz="4" w:space="0" w:color="auto"/>
              <w:left w:val="single" w:sz="4" w:space="0" w:color="auto"/>
              <w:bottom w:val="single" w:sz="4" w:space="0" w:color="auto"/>
              <w:right w:val="single" w:sz="4" w:space="0" w:color="auto"/>
            </w:tcBorders>
          </w:tcPr>
          <w:p w14:paraId="569AC83B"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bCs/>
                <w:iCs/>
                <w:sz w:val="16"/>
                <w:szCs w:val="16"/>
              </w:rPr>
              <w:t>b (viii) Promovarea mobilit</w:t>
            </w:r>
            <w:r w:rsidR="00BA7827" w:rsidRPr="008C5F1C">
              <w:rPr>
                <w:rFonts w:ascii="Times New Roman" w:hAnsi="Times New Roman" w:cs="Times New Roman"/>
                <w:bCs/>
                <w:iCs/>
                <w:sz w:val="16"/>
                <w:szCs w:val="16"/>
              </w:rPr>
              <w:t>ă</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 xml:space="preserve">ii urbane </w:t>
            </w:r>
            <w:proofErr w:type="spellStart"/>
            <w:r w:rsidRPr="008C5F1C">
              <w:rPr>
                <w:rFonts w:ascii="Times New Roman" w:hAnsi="Times New Roman" w:cs="Times New Roman"/>
                <w:bCs/>
                <w:iCs/>
                <w:sz w:val="16"/>
                <w:szCs w:val="16"/>
              </w:rPr>
              <w:t>multimodale</w:t>
            </w:r>
            <w:proofErr w:type="spellEnd"/>
            <w:r w:rsidRPr="008C5F1C">
              <w:rPr>
                <w:rFonts w:ascii="Times New Roman" w:hAnsi="Times New Roman" w:cs="Times New Roman"/>
                <w:bCs/>
                <w:iCs/>
                <w:sz w:val="16"/>
                <w:szCs w:val="16"/>
              </w:rPr>
              <w:t xml:space="preserve"> sustenabile</w:t>
            </w:r>
          </w:p>
        </w:tc>
        <w:tc>
          <w:tcPr>
            <w:tcW w:w="319" w:type="pct"/>
            <w:tcBorders>
              <w:top w:val="single" w:sz="4" w:space="0" w:color="auto"/>
              <w:left w:val="single" w:sz="4" w:space="0" w:color="auto"/>
              <w:bottom w:val="single" w:sz="4" w:space="0" w:color="auto"/>
              <w:right w:val="single" w:sz="4" w:space="0" w:color="auto"/>
            </w:tcBorders>
          </w:tcPr>
          <w:p w14:paraId="0B00632B" w14:textId="77777777" w:rsidR="00653571" w:rsidRPr="008C5F1C" w:rsidRDefault="00653571" w:rsidP="00534127">
            <w:pPr>
              <w:rPr>
                <w:rFonts w:ascii="Times New Roman" w:hAnsi="Times New Roman" w:cs="Times New Roman"/>
                <w:noProof/>
                <w:sz w:val="16"/>
                <w:szCs w:val="16"/>
              </w:rPr>
            </w:pPr>
            <w:r w:rsidRPr="008C5F1C">
              <w:rPr>
                <w:rFonts w:ascii="Times New Roman" w:hAnsi="Times New Roman" w:cs="Times New Roman"/>
                <w:noProof/>
                <w:sz w:val="16"/>
                <w:szCs w:val="16"/>
              </w:rPr>
              <w:t>FEDR</w:t>
            </w:r>
          </w:p>
        </w:tc>
        <w:tc>
          <w:tcPr>
            <w:tcW w:w="445" w:type="pct"/>
            <w:tcBorders>
              <w:top w:val="single" w:sz="4" w:space="0" w:color="auto"/>
              <w:left w:val="single" w:sz="4" w:space="0" w:color="auto"/>
              <w:bottom w:val="single" w:sz="4" w:space="0" w:color="auto"/>
              <w:right w:val="single" w:sz="4" w:space="0" w:color="auto"/>
            </w:tcBorders>
          </w:tcPr>
          <w:p w14:paraId="28E91308" w14:textId="77777777" w:rsidR="00653571" w:rsidRPr="008C5F1C" w:rsidRDefault="00653571" w:rsidP="00534127">
            <w:pPr>
              <w:rPr>
                <w:rFonts w:ascii="Times New Roman" w:hAnsi="Times New Roman" w:cs="Times New Roman"/>
                <w:noProof/>
                <w:sz w:val="16"/>
                <w:szCs w:val="16"/>
              </w:rPr>
            </w:pPr>
            <w:r w:rsidRPr="008C5F1C">
              <w:rPr>
                <w:rFonts w:ascii="Times New Roman" w:hAnsi="Times New Roman" w:cs="Times New Roman"/>
                <w:noProof/>
                <w:sz w:val="16"/>
                <w:szCs w:val="16"/>
              </w:rPr>
              <w:t>Mai pu</w:t>
            </w:r>
            <w:r w:rsidR="00E22FF2" w:rsidRPr="008C5F1C">
              <w:rPr>
                <w:rFonts w:ascii="Times New Roman" w:hAnsi="Times New Roman" w:cs="Times New Roman"/>
                <w:noProof/>
                <w:sz w:val="16"/>
                <w:szCs w:val="16"/>
              </w:rPr>
              <w:t>ț</w:t>
            </w:r>
            <w:r w:rsidRPr="008C5F1C">
              <w:rPr>
                <w:rFonts w:ascii="Times New Roman" w:hAnsi="Times New Roman" w:cs="Times New Roman"/>
                <w:noProof/>
                <w:sz w:val="16"/>
                <w:szCs w:val="16"/>
              </w:rPr>
              <w:t>in dezvoltate</w:t>
            </w:r>
          </w:p>
        </w:tc>
        <w:tc>
          <w:tcPr>
            <w:tcW w:w="278" w:type="pct"/>
            <w:tcBorders>
              <w:top w:val="single" w:sz="4" w:space="0" w:color="auto"/>
              <w:left w:val="single" w:sz="4" w:space="0" w:color="auto"/>
              <w:bottom w:val="single" w:sz="4" w:space="0" w:color="auto"/>
              <w:right w:val="single" w:sz="4" w:space="0" w:color="auto"/>
            </w:tcBorders>
          </w:tcPr>
          <w:p w14:paraId="108BEC68"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bCs/>
                <w:iCs/>
                <w:sz w:val="16"/>
                <w:szCs w:val="16"/>
              </w:rPr>
              <w:t>RCO 60</w:t>
            </w:r>
          </w:p>
        </w:tc>
        <w:tc>
          <w:tcPr>
            <w:tcW w:w="1122" w:type="pct"/>
            <w:tcBorders>
              <w:top w:val="single" w:sz="4" w:space="0" w:color="auto"/>
              <w:left w:val="single" w:sz="4" w:space="0" w:color="auto"/>
              <w:bottom w:val="single" w:sz="4" w:space="0" w:color="auto"/>
              <w:right w:val="single" w:sz="4" w:space="0" w:color="auto"/>
            </w:tcBorders>
          </w:tcPr>
          <w:p w14:paraId="62F904BB"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bCs/>
                <w:iCs/>
                <w:sz w:val="16"/>
                <w:szCs w:val="16"/>
              </w:rPr>
              <w:t>RCO 60 – Ora</w:t>
            </w:r>
            <w:r w:rsidR="00106240" w:rsidRPr="008C5F1C">
              <w:rPr>
                <w:rFonts w:ascii="Times New Roman" w:hAnsi="Times New Roman" w:cs="Times New Roman"/>
                <w:bCs/>
                <w:iCs/>
                <w:sz w:val="16"/>
                <w:szCs w:val="16"/>
              </w:rPr>
              <w:t>ș</w:t>
            </w:r>
            <w:r w:rsidRPr="008C5F1C">
              <w:rPr>
                <w:rFonts w:ascii="Times New Roman" w:hAnsi="Times New Roman" w:cs="Times New Roman"/>
                <w:bCs/>
                <w:iCs/>
                <w:sz w:val="16"/>
                <w:szCs w:val="16"/>
              </w:rPr>
              <w:t xml:space="preserve">e </w:t>
            </w:r>
            <w:r w:rsidR="00106240" w:rsidRPr="008C5F1C">
              <w:rPr>
                <w:rFonts w:ascii="Times New Roman" w:hAnsi="Times New Roman" w:cs="Times New Roman"/>
                <w:bCs/>
                <w:iCs/>
                <w:sz w:val="16"/>
                <w:szCs w:val="16"/>
              </w:rPr>
              <w:t>ș</w:t>
            </w:r>
            <w:r w:rsidRPr="008C5F1C">
              <w:rPr>
                <w:rFonts w:ascii="Times New Roman" w:hAnsi="Times New Roman" w:cs="Times New Roman"/>
                <w:bCs/>
                <w:iCs/>
                <w:sz w:val="16"/>
                <w:szCs w:val="16"/>
              </w:rPr>
              <w:t xml:space="preserve">i </w:t>
            </w:r>
            <w:r w:rsidR="002A78D0" w:rsidRPr="008C5F1C">
              <w:rPr>
                <w:rFonts w:ascii="Times New Roman" w:hAnsi="Times New Roman" w:cs="Times New Roman"/>
                <w:bCs/>
                <w:iCs/>
                <w:sz w:val="16"/>
                <w:szCs w:val="16"/>
              </w:rPr>
              <w:t xml:space="preserve">municipii </w:t>
            </w:r>
            <w:r w:rsidRPr="008C5F1C">
              <w:rPr>
                <w:rFonts w:ascii="Times New Roman" w:hAnsi="Times New Roman" w:cs="Times New Roman"/>
                <w:bCs/>
                <w:iCs/>
                <w:sz w:val="16"/>
                <w:szCs w:val="16"/>
              </w:rPr>
              <w:t xml:space="preserve"> cu sisteme de transport urban digitalizate noi sau modernizate</w:t>
            </w:r>
          </w:p>
        </w:tc>
        <w:tc>
          <w:tcPr>
            <w:tcW w:w="596" w:type="pct"/>
            <w:tcBorders>
              <w:top w:val="single" w:sz="4" w:space="0" w:color="auto"/>
              <w:left w:val="single" w:sz="4" w:space="0" w:color="auto"/>
              <w:bottom w:val="single" w:sz="4" w:space="0" w:color="auto"/>
              <w:right w:val="single" w:sz="4" w:space="0" w:color="auto"/>
            </w:tcBorders>
          </w:tcPr>
          <w:p w14:paraId="0637678F" w14:textId="77777777" w:rsidR="00653571" w:rsidRPr="008C5F1C" w:rsidRDefault="00244895" w:rsidP="00534127">
            <w:pPr>
              <w:rPr>
                <w:rFonts w:ascii="Times New Roman" w:hAnsi="Times New Roman" w:cs="Times New Roman"/>
                <w:bCs/>
                <w:iCs/>
                <w:sz w:val="16"/>
                <w:szCs w:val="16"/>
              </w:rPr>
            </w:pPr>
            <w:r w:rsidRPr="008C5F1C">
              <w:rPr>
                <w:rFonts w:ascii="Times New Roman" w:hAnsi="Times New Roman" w:cs="Times New Roman"/>
                <w:bCs/>
                <w:iCs/>
                <w:sz w:val="16"/>
                <w:szCs w:val="16"/>
              </w:rPr>
              <w:t>Ora</w:t>
            </w:r>
            <w:r w:rsidR="00106240" w:rsidRPr="008C5F1C">
              <w:rPr>
                <w:rFonts w:ascii="Times New Roman" w:hAnsi="Times New Roman" w:cs="Times New Roman"/>
                <w:bCs/>
                <w:iCs/>
                <w:sz w:val="16"/>
                <w:szCs w:val="16"/>
              </w:rPr>
              <w:t>ș</w:t>
            </w:r>
            <w:r w:rsidRPr="008C5F1C">
              <w:rPr>
                <w:rFonts w:ascii="Times New Roman" w:hAnsi="Times New Roman" w:cs="Times New Roman"/>
                <w:bCs/>
                <w:iCs/>
                <w:sz w:val="16"/>
                <w:szCs w:val="16"/>
              </w:rPr>
              <w:t xml:space="preserve">e </w:t>
            </w:r>
            <w:r w:rsidR="00106240" w:rsidRPr="008C5F1C">
              <w:rPr>
                <w:rFonts w:ascii="Times New Roman" w:hAnsi="Times New Roman" w:cs="Times New Roman"/>
                <w:bCs/>
                <w:iCs/>
                <w:sz w:val="16"/>
                <w:szCs w:val="16"/>
              </w:rPr>
              <w:t>ș</w:t>
            </w:r>
            <w:r w:rsidRPr="008C5F1C">
              <w:rPr>
                <w:rFonts w:ascii="Times New Roman" w:hAnsi="Times New Roman" w:cs="Times New Roman"/>
                <w:bCs/>
                <w:iCs/>
                <w:sz w:val="16"/>
                <w:szCs w:val="16"/>
              </w:rPr>
              <w:t xml:space="preserve">i </w:t>
            </w:r>
            <w:r w:rsidR="002A78D0" w:rsidRPr="008C5F1C">
              <w:rPr>
                <w:rFonts w:ascii="Times New Roman" w:hAnsi="Times New Roman" w:cs="Times New Roman"/>
                <w:bCs/>
                <w:iCs/>
                <w:sz w:val="16"/>
                <w:szCs w:val="16"/>
              </w:rPr>
              <w:t>municipii</w:t>
            </w:r>
          </w:p>
        </w:tc>
        <w:tc>
          <w:tcPr>
            <w:tcW w:w="557" w:type="pct"/>
            <w:tcBorders>
              <w:top w:val="single" w:sz="4" w:space="0" w:color="auto"/>
              <w:left w:val="single" w:sz="4" w:space="0" w:color="auto"/>
              <w:bottom w:val="single" w:sz="4" w:space="0" w:color="auto"/>
              <w:right w:val="single" w:sz="4" w:space="0" w:color="auto"/>
            </w:tcBorders>
          </w:tcPr>
          <w:p w14:paraId="168C8276" w14:textId="44831717" w:rsidR="00653571" w:rsidRPr="008C5F1C" w:rsidRDefault="009A7CCC" w:rsidP="00B11C00">
            <w:pPr>
              <w:jc w:val="center"/>
              <w:rPr>
                <w:rFonts w:ascii="Times New Roman" w:hAnsi="Times New Roman" w:cs="Times New Roman"/>
                <w:bCs/>
                <w:iCs/>
                <w:sz w:val="16"/>
                <w:szCs w:val="16"/>
              </w:rPr>
            </w:pPr>
            <w:r w:rsidRPr="008C5F1C">
              <w:rPr>
                <w:rFonts w:ascii="Times New Roman" w:hAnsi="Times New Roman" w:cs="Times New Roman"/>
                <w:bCs/>
                <w:iCs/>
                <w:sz w:val="16"/>
                <w:szCs w:val="16"/>
              </w:rPr>
              <w:t>0</w:t>
            </w:r>
          </w:p>
        </w:tc>
        <w:tc>
          <w:tcPr>
            <w:tcW w:w="674" w:type="pct"/>
            <w:tcBorders>
              <w:top w:val="single" w:sz="4" w:space="0" w:color="auto"/>
              <w:left w:val="single" w:sz="4" w:space="0" w:color="auto"/>
              <w:bottom w:val="single" w:sz="4" w:space="0" w:color="auto"/>
              <w:right w:val="single" w:sz="4" w:space="0" w:color="auto"/>
            </w:tcBorders>
          </w:tcPr>
          <w:p w14:paraId="2775B479" w14:textId="7419B008" w:rsidR="00653571" w:rsidRPr="008C5F1C" w:rsidRDefault="009A7CCC" w:rsidP="00B11C00">
            <w:pPr>
              <w:jc w:val="center"/>
              <w:rPr>
                <w:rFonts w:ascii="Times New Roman" w:hAnsi="Times New Roman" w:cs="Times New Roman"/>
                <w:bCs/>
                <w:iCs/>
                <w:sz w:val="16"/>
                <w:szCs w:val="16"/>
              </w:rPr>
            </w:pPr>
            <w:r w:rsidRPr="008C5F1C">
              <w:rPr>
                <w:rFonts w:ascii="Times New Roman" w:hAnsi="Times New Roman" w:cs="Times New Roman"/>
                <w:bCs/>
                <w:iCs/>
                <w:sz w:val="16"/>
                <w:szCs w:val="16"/>
              </w:rPr>
              <w:t>4</w:t>
            </w:r>
          </w:p>
        </w:tc>
      </w:tr>
    </w:tbl>
    <w:p w14:paraId="37D276C3" w14:textId="77777777" w:rsidR="00653571" w:rsidRPr="008C5F1C" w:rsidRDefault="00653571" w:rsidP="00653571">
      <w:pPr>
        <w:rPr>
          <w:rFonts w:ascii="Times New Roman" w:hAnsi="Times New Roman" w:cs="Times New Roman"/>
        </w:rPr>
      </w:pPr>
    </w:p>
    <w:tbl>
      <w:tblPr>
        <w:tblW w:w="53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6"/>
        <w:gridCol w:w="1033"/>
        <w:gridCol w:w="625"/>
        <w:gridCol w:w="875"/>
        <w:gridCol w:w="538"/>
        <w:gridCol w:w="1142"/>
        <w:gridCol w:w="1158"/>
        <w:gridCol w:w="1016"/>
        <w:gridCol w:w="900"/>
        <w:gridCol w:w="1016"/>
        <w:gridCol w:w="689"/>
        <w:gridCol w:w="594"/>
      </w:tblGrid>
      <w:tr w:rsidR="00653571" w:rsidRPr="008C5F1C" w14:paraId="768F3F5B" w14:textId="77777777" w:rsidTr="00403413">
        <w:trPr>
          <w:trHeight w:val="482"/>
        </w:trPr>
        <w:tc>
          <w:tcPr>
            <w:tcW w:w="5000" w:type="pct"/>
            <w:gridSpan w:val="12"/>
            <w:tcBorders>
              <w:top w:val="single" w:sz="4" w:space="0" w:color="auto"/>
              <w:left w:val="single" w:sz="4" w:space="0" w:color="auto"/>
              <w:bottom w:val="single" w:sz="4" w:space="0" w:color="auto"/>
              <w:right w:val="single" w:sz="4" w:space="0" w:color="auto"/>
            </w:tcBorders>
            <w:hideMark/>
          </w:tcPr>
          <w:p w14:paraId="2022EA9D" w14:textId="77777777" w:rsidR="00653571" w:rsidRPr="008C5F1C" w:rsidRDefault="00653571" w:rsidP="00534127">
            <w:pPr>
              <w:rPr>
                <w:rFonts w:ascii="Times New Roman" w:hAnsi="Times New Roman" w:cs="Times New Roman"/>
                <w:b/>
              </w:rPr>
            </w:pPr>
            <w:r w:rsidRPr="008C5F1C">
              <w:rPr>
                <w:rFonts w:ascii="Times New Roman" w:hAnsi="Times New Roman" w:cs="Times New Roman"/>
                <w:b/>
                <w:iCs/>
              </w:rPr>
              <w:t xml:space="preserve">Table 3: </w:t>
            </w:r>
            <w:proofErr w:type="spellStart"/>
            <w:r w:rsidRPr="008C5F1C">
              <w:rPr>
                <w:rFonts w:ascii="Times New Roman" w:hAnsi="Times New Roman" w:cs="Times New Roman"/>
                <w:b/>
                <w:iCs/>
              </w:rPr>
              <w:t>Result</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indicators</w:t>
            </w:r>
            <w:proofErr w:type="spellEnd"/>
          </w:p>
        </w:tc>
      </w:tr>
      <w:tr w:rsidR="00403413" w:rsidRPr="008C5F1C" w14:paraId="710EE879" w14:textId="77777777" w:rsidTr="00403413">
        <w:trPr>
          <w:trHeight w:val="1124"/>
        </w:trPr>
        <w:tc>
          <w:tcPr>
            <w:tcW w:w="366" w:type="pct"/>
            <w:tcBorders>
              <w:top w:val="single" w:sz="4" w:space="0" w:color="auto"/>
              <w:left w:val="single" w:sz="4" w:space="0" w:color="auto"/>
              <w:bottom w:val="single" w:sz="4" w:space="0" w:color="auto"/>
              <w:right w:val="single" w:sz="4" w:space="0" w:color="auto"/>
            </w:tcBorders>
            <w:hideMark/>
          </w:tcPr>
          <w:p w14:paraId="707E7A58"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Priority</w:t>
            </w:r>
            <w:proofErr w:type="spellEnd"/>
            <w:r w:rsidRPr="008C5F1C">
              <w:rPr>
                <w:rFonts w:ascii="Times New Roman" w:hAnsi="Times New Roman" w:cs="Times New Roman"/>
                <w:b/>
                <w:sz w:val="16"/>
                <w:szCs w:val="16"/>
              </w:rPr>
              <w:t xml:space="preserve"> </w:t>
            </w:r>
          </w:p>
        </w:tc>
        <w:tc>
          <w:tcPr>
            <w:tcW w:w="500" w:type="pct"/>
            <w:tcBorders>
              <w:top w:val="single" w:sz="4" w:space="0" w:color="auto"/>
              <w:left w:val="single" w:sz="4" w:space="0" w:color="auto"/>
              <w:bottom w:val="single" w:sz="4" w:space="0" w:color="auto"/>
              <w:right w:val="single" w:sz="4" w:space="0" w:color="auto"/>
            </w:tcBorders>
            <w:hideMark/>
          </w:tcPr>
          <w:p w14:paraId="3F287E93"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 xml:space="preserve">Specific </w:t>
            </w:r>
            <w:proofErr w:type="spellStart"/>
            <w:r w:rsidRPr="008C5F1C">
              <w:rPr>
                <w:rFonts w:ascii="Times New Roman" w:hAnsi="Times New Roman" w:cs="Times New Roman"/>
                <w:b/>
                <w:sz w:val="16"/>
                <w:szCs w:val="16"/>
              </w:rPr>
              <w:t>objective</w:t>
            </w:r>
            <w:proofErr w:type="spellEnd"/>
            <w:r w:rsidRPr="008C5F1C">
              <w:rPr>
                <w:rFonts w:ascii="Times New Roman" w:hAnsi="Times New Roman" w:cs="Times New Roman"/>
                <w:b/>
                <w:sz w:val="16"/>
                <w:szCs w:val="16"/>
              </w:rPr>
              <w:t xml:space="preserve"> (Investment for </w:t>
            </w:r>
            <w:proofErr w:type="spellStart"/>
            <w:r w:rsidRPr="008C5F1C">
              <w:rPr>
                <w:rFonts w:ascii="Times New Roman" w:hAnsi="Times New Roman" w:cs="Times New Roman"/>
                <w:b/>
                <w:sz w:val="16"/>
                <w:szCs w:val="16"/>
              </w:rPr>
              <w:t>Jobs</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and</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Growth</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goal</w:t>
            </w:r>
            <w:proofErr w:type="spellEnd"/>
            <w:r w:rsidRPr="008C5F1C">
              <w:rPr>
                <w:rFonts w:ascii="Times New Roman" w:hAnsi="Times New Roman" w:cs="Times New Roman"/>
                <w:b/>
                <w:sz w:val="16"/>
                <w:szCs w:val="16"/>
              </w:rPr>
              <w:t xml:space="preserve"> or EMFF)</w:t>
            </w:r>
          </w:p>
        </w:tc>
        <w:tc>
          <w:tcPr>
            <w:tcW w:w="302" w:type="pct"/>
            <w:tcBorders>
              <w:top w:val="single" w:sz="4" w:space="0" w:color="auto"/>
              <w:left w:val="single" w:sz="4" w:space="0" w:color="auto"/>
              <w:bottom w:val="single" w:sz="4" w:space="0" w:color="auto"/>
              <w:right w:val="single" w:sz="4" w:space="0" w:color="auto"/>
            </w:tcBorders>
            <w:hideMark/>
          </w:tcPr>
          <w:p w14:paraId="0F8CA9F1"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Fund</w:t>
            </w:r>
          </w:p>
        </w:tc>
        <w:tc>
          <w:tcPr>
            <w:tcW w:w="423" w:type="pct"/>
            <w:tcBorders>
              <w:top w:val="single" w:sz="4" w:space="0" w:color="auto"/>
              <w:left w:val="single" w:sz="4" w:space="0" w:color="auto"/>
              <w:bottom w:val="single" w:sz="4" w:space="0" w:color="auto"/>
              <w:right w:val="single" w:sz="4" w:space="0" w:color="auto"/>
            </w:tcBorders>
            <w:hideMark/>
          </w:tcPr>
          <w:p w14:paraId="2260428B"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Category</w:t>
            </w:r>
            <w:proofErr w:type="spellEnd"/>
            <w:r w:rsidRPr="008C5F1C">
              <w:rPr>
                <w:rFonts w:ascii="Times New Roman" w:hAnsi="Times New Roman" w:cs="Times New Roman"/>
                <w:b/>
                <w:sz w:val="16"/>
                <w:szCs w:val="16"/>
              </w:rPr>
              <w:t xml:space="preserve"> of </w:t>
            </w:r>
            <w:proofErr w:type="spellStart"/>
            <w:r w:rsidRPr="008C5F1C">
              <w:rPr>
                <w:rFonts w:ascii="Times New Roman" w:hAnsi="Times New Roman" w:cs="Times New Roman"/>
                <w:b/>
                <w:sz w:val="16"/>
                <w:szCs w:val="16"/>
              </w:rPr>
              <w:t>region</w:t>
            </w:r>
            <w:proofErr w:type="spellEnd"/>
            <w:r w:rsidRPr="008C5F1C">
              <w:rPr>
                <w:rFonts w:ascii="Times New Roman" w:hAnsi="Times New Roman" w:cs="Times New Roman"/>
                <w:sz w:val="16"/>
                <w:szCs w:val="16"/>
              </w:rPr>
              <w:t xml:space="preserve"> </w:t>
            </w:r>
          </w:p>
        </w:tc>
        <w:tc>
          <w:tcPr>
            <w:tcW w:w="260" w:type="pct"/>
            <w:tcBorders>
              <w:top w:val="single" w:sz="4" w:space="0" w:color="auto"/>
              <w:left w:val="single" w:sz="4" w:space="0" w:color="auto"/>
              <w:bottom w:val="single" w:sz="4" w:space="0" w:color="auto"/>
              <w:right w:val="single" w:sz="4" w:space="0" w:color="auto"/>
            </w:tcBorders>
            <w:hideMark/>
          </w:tcPr>
          <w:p w14:paraId="61E5869E"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ID [5]</w:t>
            </w:r>
          </w:p>
        </w:tc>
        <w:tc>
          <w:tcPr>
            <w:tcW w:w="552" w:type="pct"/>
            <w:tcBorders>
              <w:top w:val="single" w:sz="4" w:space="0" w:color="auto"/>
              <w:left w:val="single" w:sz="4" w:space="0" w:color="auto"/>
              <w:bottom w:val="single" w:sz="4" w:space="0" w:color="auto"/>
              <w:right w:val="single" w:sz="4" w:space="0" w:color="auto"/>
            </w:tcBorders>
            <w:hideMark/>
          </w:tcPr>
          <w:p w14:paraId="3D6A371C"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Indicator [255]</w:t>
            </w:r>
          </w:p>
        </w:tc>
        <w:tc>
          <w:tcPr>
            <w:tcW w:w="560" w:type="pct"/>
            <w:tcBorders>
              <w:top w:val="single" w:sz="4" w:space="0" w:color="auto"/>
              <w:left w:val="single" w:sz="4" w:space="0" w:color="auto"/>
              <w:bottom w:val="single" w:sz="4" w:space="0" w:color="auto"/>
              <w:right w:val="single" w:sz="4" w:space="0" w:color="auto"/>
            </w:tcBorders>
            <w:hideMark/>
          </w:tcPr>
          <w:p w14:paraId="2ED1139A"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Measurement</w:t>
            </w:r>
            <w:proofErr w:type="spellEnd"/>
            <w:r w:rsidRPr="008C5F1C">
              <w:rPr>
                <w:rFonts w:ascii="Times New Roman" w:hAnsi="Times New Roman" w:cs="Times New Roman"/>
                <w:b/>
                <w:sz w:val="16"/>
                <w:szCs w:val="16"/>
              </w:rPr>
              <w:t xml:space="preserve"> unit</w:t>
            </w:r>
          </w:p>
        </w:tc>
        <w:tc>
          <w:tcPr>
            <w:tcW w:w="491" w:type="pct"/>
            <w:tcBorders>
              <w:top w:val="single" w:sz="4" w:space="0" w:color="auto"/>
              <w:left w:val="single" w:sz="4" w:space="0" w:color="auto"/>
              <w:bottom w:val="single" w:sz="4" w:space="0" w:color="auto"/>
              <w:right w:val="single" w:sz="4" w:space="0" w:color="auto"/>
            </w:tcBorders>
            <w:hideMark/>
          </w:tcPr>
          <w:p w14:paraId="25E9BA09"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Baseline</w:t>
            </w:r>
            <w:proofErr w:type="spellEnd"/>
            <w:r w:rsidRPr="008C5F1C">
              <w:rPr>
                <w:rFonts w:ascii="Times New Roman" w:hAnsi="Times New Roman" w:cs="Times New Roman"/>
                <w:b/>
                <w:sz w:val="16"/>
                <w:szCs w:val="16"/>
              </w:rPr>
              <w:t xml:space="preserve"> or </w:t>
            </w:r>
            <w:proofErr w:type="spellStart"/>
            <w:r w:rsidRPr="008C5F1C">
              <w:rPr>
                <w:rFonts w:ascii="Times New Roman" w:hAnsi="Times New Roman" w:cs="Times New Roman"/>
                <w:b/>
                <w:sz w:val="16"/>
                <w:szCs w:val="16"/>
              </w:rPr>
              <w:t>reference</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value</w:t>
            </w:r>
            <w:proofErr w:type="spellEnd"/>
          </w:p>
        </w:tc>
        <w:tc>
          <w:tcPr>
            <w:tcW w:w="435" w:type="pct"/>
            <w:tcBorders>
              <w:top w:val="single" w:sz="4" w:space="0" w:color="auto"/>
              <w:left w:val="single" w:sz="4" w:space="0" w:color="auto"/>
              <w:bottom w:val="single" w:sz="4" w:space="0" w:color="auto"/>
              <w:right w:val="single" w:sz="4" w:space="0" w:color="auto"/>
            </w:tcBorders>
            <w:hideMark/>
          </w:tcPr>
          <w:p w14:paraId="1292C2DD"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Reference</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year</w:t>
            </w:r>
            <w:proofErr w:type="spellEnd"/>
          </w:p>
        </w:tc>
        <w:tc>
          <w:tcPr>
            <w:tcW w:w="491" w:type="pct"/>
            <w:tcBorders>
              <w:top w:val="single" w:sz="4" w:space="0" w:color="auto"/>
              <w:left w:val="single" w:sz="4" w:space="0" w:color="auto"/>
              <w:bottom w:val="single" w:sz="4" w:space="0" w:color="auto"/>
              <w:right w:val="single" w:sz="4" w:space="0" w:color="auto"/>
            </w:tcBorders>
          </w:tcPr>
          <w:p w14:paraId="234A58BA"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Target (2029)</w:t>
            </w:r>
          </w:p>
          <w:p w14:paraId="763A9323" w14:textId="77777777" w:rsidR="00653571" w:rsidRPr="008C5F1C" w:rsidRDefault="00653571" w:rsidP="00534127">
            <w:pPr>
              <w:rPr>
                <w:rFonts w:ascii="Times New Roman" w:hAnsi="Times New Roman" w:cs="Times New Roman"/>
                <w:b/>
                <w:sz w:val="16"/>
                <w:szCs w:val="16"/>
              </w:rPr>
            </w:pPr>
          </w:p>
        </w:tc>
        <w:tc>
          <w:tcPr>
            <w:tcW w:w="333" w:type="pct"/>
            <w:tcBorders>
              <w:top w:val="single" w:sz="4" w:space="0" w:color="auto"/>
              <w:left w:val="single" w:sz="4" w:space="0" w:color="auto"/>
              <w:bottom w:val="single" w:sz="4" w:space="0" w:color="auto"/>
              <w:right w:val="single" w:sz="4" w:space="0" w:color="auto"/>
            </w:tcBorders>
            <w:hideMark/>
          </w:tcPr>
          <w:p w14:paraId="402B8F10"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Source</w:t>
            </w:r>
            <w:proofErr w:type="spellEnd"/>
            <w:r w:rsidRPr="008C5F1C">
              <w:rPr>
                <w:rFonts w:ascii="Times New Roman" w:hAnsi="Times New Roman" w:cs="Times New Roman"/>
                <w:b/>
                <w:sz w:val="16"/>
                <w:szCs w:val="16"/>
              </w:rPr>
              <w:t xml:space="preserve"> of data [200]</w:t>
            </w:r>
          </w:p>
        </w:tc>
        <w:tc>
          <w:tcPr>
            <w:tcW w:w="288" w:type="pct"/>
            <w:tcBorders>
              <w:top w:val="single" w:sz="4" w:space="0" w:color="auto"/>
              <w:left w:val="single" w:sz="4" w:space="0" w:color="auto"/>
              <w:bottom w:val="single" w:sz="4" w:space="0" w:color="auto"/>
              <w:right w:val="single" w:sz="4" w:space="0" w:color="auto"/>
            </w:tcBorders>
            <w:hideMark/>
          </w:tcPr>
          <w:p w14:paraId="621C41A3"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Comments</w:t>
            </w:r>
            <w:proofErr w:type="spellEnd"/>
            <w:r w:rsidRPr="008C5F1C">
              <w:rPr>
                <w:rFonts w:ascii="Times New Roman" w:hAnsi="Times New Roman" w:cs="Times New Roman"/>
                <w:b/>
                <w:sz w:val="16"/>
                <w:szCs w:val="16"/>
              </w:rPr>
              <w:t xml:space="preserve"> [200]</w:t>
            </w:r>
          </w:p>
        </w:tc>
      </w:tr>
      <w:tr w:rsidR="00403413" w:rsidRPr="008C5F1C" w14:paraId="7EFDB185" w14:textId="77777777" w:rsidTr="00403413">
        <w:trPr>
          <w:trHeight w:val="1354"/>
        </w:trPr>
        <w:tc>
          <w:tcPr>
            <w:tcW w:w="366" w:type="pct"/>
            <w:tcBorders>
              <w:top w:val="single" w:sz="4" w:space="0" w:color="auto"/>
              <w:left w:val="single" w:sz="4" w:space="0" w:color="auto"/>
              <w:bottom w:val="single" w:sz="4" w:space="0" w:color="auto"/>
              <w:right w:val="single" w:sz="4" w:space="0" w:color="auto"/>
            </w:tcBorders>
          </w:tcPr>
          <w:p w14:paraId="63F95720" w14:textId="77777777" w:rsidR="00653571" w:rsidRPr="008C5F1C" w:rsidRDefault="00904C61" w:rsidP="00534127">
            <w:pPr>
              <w:rPr>
                <w:rFonts w:ascii="Times New Roman" w:hAnsi="Times New Roman" w:cs="Times New Roman"/>
                <w:iCs/>
                <w:sz w:val="16"/>
                <w:szCs w:val="16"/>
              </w:rPr>
            </w:pPr>
            <w:r w:rsidRPr="008C5F1C">
              <w:rPr>
                <w:rFonts w:ascii="Times New Roman" w:hAnsi="Times New Roman" w:cs="Times New Roman"/>
                <w:iCs/>
                <w:sz w:val="16"/>
                <w:szCs w:val="16"/>
              </w:rPr>
              <w:t>3</w:t>
            </w:r>
          </w:p>
        </w:tc>
        <w:tc>
          <w:tcPr>
            <w:tcW w:w="500" w:type="pct"/>
            <w:tcBorders>
              <w:top w:val="single" w:sz="4" w:space="0" w:color="auto"/>
              <w:left w:val="single" w:sz="4" w:space="0" w:color="auto"/>
              <w:bottom w:val="single" w:sz="4" w:space="0" w:color="auto"/>
              <w:right w:val="single" w:sz="4" w:space="0" w:color="auto"/>
            </w:tcBorders>
          </w:tcPr>
          <w:p w14:paraId="6F90597D" w14:textId="77777777" w:rsidR="00653571" w:rsidRPr="008C5F1C" w:rsidRDefault="00653571" w:rsidP="00534127">
            <w:pPr>
              <w:rPr>
                <w:rFonts w:ascii="Times New Roman" w:hAnsi="Times New Roman" w:cs="Times New Roman"/>
                <w:iCs/>
                <w:sz w:val="16"/>
                <w:szCs w:val="16"/>
              </w:rPr>
            </w:pPr>
            <w:r w:rsidRPr="008C5F1C">
              <w:rPr>
                <w:rFonts w:ascii="Times New Roman" w:hAnsi="Times New Roman" w:cs="Times New Roman"/>
                <w:bCs/>
                <w:iCs/>
                <w:sz w:val="16"/>
                <w:szCs w:val="16"/>
              </w:rPr>
              <w:t>b (viii) Promovarea mobilit</w:t>
            </w:r>
            <w:r w:rsidR="00BA7827" w:rsidRPr="008C5F1C">
              <w:rPr>
                <w:rFonts w:ascii="Times New Roman" w:hAnsi="Times New Roman" w:cs="Times New Roman"/>
                <w:bCs/>
                <w:iCs/>
                <w:sz w:val="16"/>
                <w:szCs w:val="16"/>
              </w:rPr>
              <w:t>ă</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 xml:space="preserve">ii urbane </w:t>
            </w:r>
            <w:proofErr w:type="spellStart"/>
            <w:r w:rsidRPr="008C5F1C">
              <w:rPr>
                <w:rFonts w:ascii="Times New Roman" w:hAnsi="Times New Roman" w:cs="Times New Roman"/>
                <w:bCs/>
                <w:iCs/>
                <w:sz w:val="16"/>
                <w:szCs w:val="16"/>
              </w:rPr>
              <w:t>multimodale</w:t>
            </w:r>
            <w:proofErr w:type="spellEnd"/>
            <w:r w:rsidRPr="008C5F1C">
              <w:rPr>
                <w:rFonts w:ascii="Times New Roman" w:hAnsi="Times New Roman" w:cs="Times New Roman"/>
                <w:bCs/>
                <w:iCs/>
                <w:sz w:val="16"/>
                <w:szCs w:val="16"/>
              </w:rPr>
              <w:t xml:space="preserve"> sustenabile</w:t>
            </w:r>
          </w:p>
        </w:tc>
        <w:tc>
          <w:tcPr>
            <w:tcW w:w="302" w:type="pct"/>
            <w:tcBorders>
              <w:top w:val="single" w:sz="4" w:space="0" w:color="auto"/>
              <w:left w:val="single" w:sz="4" w:space="0" w:color="auto"/>
              <w:bottom w:val="single" w:sz="4" w:space="0" w:color="auto"/>
              <w:right w:val="single" w:sz="4" w:space="0" w:color="auto"/>
            </w:tcBorders>
          </w:tcPr>
          <w:p w14:paraId="0FC5FBB6" w14:textId="77777777" w:rsidR="00653571" w:rsidRPr="008C5F1C" w:rsidRDefault="00653571" w:rsidP="00534127">
            <w:pPr>
              <w:rPr>
                <w:rFonts w:ascii="Times New Roman" w:hAnsi="Times New Roman" w:cs="Times New Roman"/>
                <w:noProof/>
                <w:sz w:val="16"/>
                <w:szCs w:val="16"/>
              </w:rPr>
            </w:pPr>
            <w:r w:rsidRPr="008C5F1C">
              <w:rPr>
                <w:rFonts w:ascii="Times New Roman" w:hAnsi="Times New Roman" w:cs="Times New Roman"/>
                <w:noProof/>
                <w:sz w:val="16"/>
                <w:szCs w:val="16"/>
              </w:rPr>
              <w:t>FEDR</w:t>
            </w:r>
          </w:p>
        </w:tc>
        <w:tc>
          <w:tcPr>
            <w:tcW w:w="423" w:type="pct"/>
            <w:tcBorders>
              <w:top w:val="single" w:sz="4" w:space="0" w:color="auto"/>
              <w:left w:val="single" w:sz="4" w:space="0" w:color="auto"/>
              <w:bottom w:val="single" w:sz="4" w:space="0" w:color="auto"/>
              <w:right w:val="single" w:sz="4" w:space="0" w:color="auto"/>
            </w:tcBorders>
          </w:tcPr>
          <w:p w14:paraId="39562CCA" w14:textId="77777777" w:rsidR="00653571" w:rsidRPr="008C5F1C" w:rsidRDefault="00653571" w:rsidP="00534127">
            <w:pPr>
              <w:rPr>
                <w:rFonts w:ascii="Times New Roman" w:hAnsi="Times New Roman" w:cs="Times New Roman"/>
                <w:noProof/>
                <w:sz w:val="16"/>
                <w:szCs w:val="16"/>
              </w:rPr>
            </w:pPr>
            <w:r w:rsidRPr="008C5F1C">
              <w:rPr>
                <w:rFonts w:ascii="Times New Roman" w:hAnsi="Times New Roman" w:cs="Times New Roman"/>
                <w:noProof/>
                <w:sz w:val="16"/>
                <w:szCs w:val="16"/>
              </w:rPr>
              <w:t>Mai pu</w:t>
            </w:r>
            <w:r w:rsidR="00E22FF2" w:rsidRPr="008C5F1C">
              <w:rPr>
                <w:rFonts w:ascii="Times New Roman" w:hAnsi="Times New Roman" w:cs="Times New Roman"/>
                <w:noProof/>
                <w:sz w:val="16"/>
                <w:szCs w:val="16"/>
              </w:rPr>
              <w:t>ț</w:t>
            </w:r>
            <w:r w:rsidRPr="008C5F1C">
              <w:rPr>
                <w:rFonts w:ascii="Times New Roman" w:hAnsi="Times New Roman" w:cs="Times New Roman"/>
                <w:noProof/>
                <w:sz w:val="16"/>
                <w:szCs w:val="16"/>
              </w:rPr>
              <w:t>in dezvoltate</w:t>
            </w:r>
          </w:p>
        </w:tc>
        <w:tc>
          <w:tcPr>
            <w:tcW w:w="260" w:type="pct"/>
            <w:tcBorders>
              <w:top w:val="single" w:sz="4" w:space="0" w:color="auto"/>
              <w:left w:val="single" w:sz="4" w:space="0" w:color="auto"/>
              <w:bottom w:val="single" w:sz="4" w:space="0" w:color="auto"/>
              <w:right w:val="single" w:sz="4" w:space="0" w:color="auto"/>
            </w:tcBorders>
          </w:tcPr>
          <w:p w14:paraId="3A0119A6" w14:textId="77777777" w:rsidR="00653571" w:rsidRPr="008C5F1C" w:rsidRDefault="00653571" w:rsidP="00534127">
            <w:pPr>
              <w:rPr>
                <w:rFonts w:ascii="Times New Roman" w:hAnsi="Times New Roman" w:cs="Times New Roman"/>
                <w:iCs/>
                <w:sz w:val="16"/>
                <w:szCs w:val="16"/>
              </w:rPr>
            </w:pPr>
            <w:r w:rsidRPr="008C5F1C">
              <w:rPr>
                <w:rFonts w:ascii="Times New Roman" w:hAnsi="Times New Roman" w:cs="Times New Roman"/>
                <w:iCs/>
                <w:sz w:val="16"/>
                <w:szCs w:val="16"/>
              </w:rPr>
              <w:t xml:space="preserve">RCR 62 </w:t>
            </w:r>
          </w:p>
          <w:p w14:paraId="5741CE18" w14:textId="77777777" w:rsidR="00653571" w:rsidRPr="008C5F1C" w:rsidRDefault="00653571" w:rsidP="00534127">
            <w:pPr>
              <w:rPr>
                <w:rFonts w:ascii="Times New Roman" w:hAnsi="Times New Roman" w:cs="Times New Roman"/>
                <w:iCs/>
                <w:sz w:val="16"/>
                <w:szCs w:val="16"/>
              </w:rPr>
            </w:pPr>
          </w:p>
        </w:tc>
        <w:tc>
          <w:tcPr>
            <w:tcW w:w="552" w:type="pct"/>
            <w:tcBorders>
              <w:top w:val="single" w:sz="4" w:space="0" w:color="auto"/>
              <w:left w:val="single" w:sz="4" w:space="0" w:color="auto"/>
              <w:bottom w:val="single" w:sz="4" w:space="0" w:color="auto"/>
              <w:right w:val="single" w:sz="4" w:space="0" w:color="auto"/>
            </w:tcBorders>
          </w:tcPr>
          <w:p w14:paraId="128C51ED" w14:textId="77777777" w:rsidR="00653571" w:rsidRPr="008C5F1C" w:rsidRDefault="00653571" w:rsidP="00534127">
            <w:pPr>
              <w:rPr>
                <w:rFonts w:ascii="Times New Roman" w:hAnsi="Times New Roman" w:cs="Times New Roman"/>
                <w:iCs/>
                <w:sz w:val="16"/>
                <w:szCs w:val="16"/>
              </w:rPr>
            </w:pPr>
            <w:r w:rsidRPr="008C5F1C">
              <w:rPr>
                <w:rFonts w:ascii="Times New Roman" w:hAnsi="Times New Roman" w:cs="Times New Roman"/>
                <w:iCs/>
                <w:sz w:val="16"/>
                <w:szCs w:val="16"/>
              </w:rPr>
              <w:t>RCR 62 – Num</w:t>
            </w:r>
            <w:r w:rsidR="00BA7827" w:rsidRPr="008C5F1C">
              <w:rPr>
                <w:rFonts w:ascii="Times New Roman" w:hAnsi="Times New Roman" w:cs="Times New Roman"/>
                <w:iCs/>
                <w:sz w:val="16"/>
                <w:szCs w:val="16"/>
              </w:rPr>
              <w:t>ă</w:t>
            </w:r>
            <w:r w:rsidRPr="008C5F1C">
              <w:rPr>
                <w:rFonts w:ascii="Times New Roman" w:hAnsi="Times New Roman" w:cs="Times New Roman"/>
                <w:iCs/>
                <w:sz w:val="16"/>
                <w:szCs w:val="16"/>
              </w:rPr>
              <w:t xml:space="preserve">r anual de pasageri ai transporturilor publice </w:t>
            </w:r>
          </w:p>
        </w:tc>
        <w:tc>
          <w:tcPr>
            <w:tcW w:w="560" w:type="pct"/>
            <w:tcBorders>
              <w:top w:val="single" w:sz="4" w:space="0" w:color="auto"/>
              <w:left w:val="single" w:sz="4" w:space="0" w:color="auto"/>
              <w:bottom w:val="single" w:sz="4" w:space="0" w:color="auto"/>
              <w:right w:val="single" w:sz="4" w:space="0" w:color="auto"/>
            </w:tcBorders>
          </w:tcPr>
          <w:p w14:paraId="2C2FB775" w14:textId="77777777" w:rsidR="00653571" w:rsidRPr="008C5F1C" w:rsidRDefault="00B73131" w:rsidP="00534127">
            <w:pPr>
              <w:rPr>
                <w:rFonts w:ascii="Times New Roman" w:hAnsi="Times New Roman" w:cs="Times New Roman"/>
                <w:iCs/>
                <w:sz w:val="16"/>
                <w:szCs w:val="16"/>
              </w:rPr>
            </w:pPr>
            <w:r w:rsidRPr="008C5F1C">
              <w:rPr>
                <w:rFonts w:ascii="Times New Roman" w:hAnsi="Times New Roman" w:cs="Times New Roman"/>
                <w:iCs/>
                <w:sz w:val="16"/>
                <w:szCs w:val="16"/>
              </w:rPr>
              <w:t>utilizatori</w:t>
            </w:r>
          </w:p>
        </w:tc>
        <w:tc>
          <w:tcPr>
            <w:tcW w:w="491" w:type="pct"/>
            <w:tcBorders>
              <w:top w:val="single" w:sz="4" w:space="0" w:color="auto"/>
              <w:left w:val="single" w:sz="4" w:space="0" w:color="auto"/>
              <w:bottom w:val="single" w:sz="4" w:space="0" w:color="auto"/>
              <w:right w:val="single" w:sz="4" w:space="0" w:color="auto"/>
            </w:tcBorders>
          </w:tcPr>
          <w:p w14:paraId="3D9DCC7C" w14:textId="0E4DC541" w:rsidR="00653571" w:rsidRPr="008C5F1C" w:rsidRDefault="00403413" w:rsidP="00534127">
            <w:pPr>
              <w:rPr>
                <w:rFonts w:ascii="Times New Roman" w:hAnsi="Times New Roman" w:cs="Times New Roman"/>
                <w:iCs/>
                <w:sz w:val="16"/>
                <w:szCs w:val="16"/>
              </w:rPr>
            </w:pPr>
            <w:r w:rsidRPr="008C5F1C">
              <w:rPr>
                <w:rFonts w:ascii="Times New Roman" w:hAnsi="Times New Roman" w:cs="Times New Roman"/>
                <w:iCs/>
                <w:sz w:val="16"/>
                <w:szCs w:val="16"/>
              </w:rPr>
              <w:t>286.420.000</w:t>
            </w:r>
          </w:p>
        </w:tc>
        <w:tc>
          <w:tcPr>
            <w:tcW w:w="435" w:type="pct"/>
            <w:tcBorders>
              <w:top w:val="single" w:sz="4" w:space="0" w:color="auto"/>
              <w:left w:val="single" w:sz="4" w:space="0" w:color="auto"/>
              <w:bottom w:val="single" w:sz="4" w:space="0" w:color="auto"/>
              <w:right w:val="single" w:sz="4" w:space="0" w:color="auto"/>
            </w:tcBorders>
          </w:tcPr>
          <w:p w14:paraId="69BA87BD" w14:textId="057B6796" w:rsidR="00653571" w:rsidRPr="00AB2458" w:rsidRDefault="009A7CCC" w:rsidP="00534127">
            <w:pPr>
              <w:rPr>
                <w:rFonts w:ascii="Times New Roman" w:hAnsi="Times New Roman" w:cs="Times New Roman"/>
                <w:bCs/>
                <w:iCs/>
                <w:sz w:val="16"/>
                <w:szCs w:val="16"/>
              </w:rPr>
            </w:pPr>
            <w:r w:rsidRPr="00AB2458">
              <w:rPr>
                <w:rFonts w:ascii="Times New Roman" w:hAnsi="Times New Roman" w:cs="Times New Roman"/>
                <w:bCs/>
                <w:iCs/>
                <w:sz w:val="16"/>
                <w:szCs w:val="16"/>
              </w:rPr>
              <w:t>2019</w:t>
            </w:r>
          </w:p>
        </w:tc>
        <w:tc>
          <w:tcPr>
            <w:tcW w:w="491" w:type="pct"/>
            <w:tcBorders>
              <w:top w:val="single" w:sz="4" w:space="0" w:color="auto"/>
              <w:left w:val="single" w:sz="4" w:space="0" w:color="auto"/>
              <w:bottom w:val="single" w:sz="4" w:space="0" w:color="auto"/>
              <w:right w:val="single" w:sz="4" w:space="0" w:color="auto"/>
            </w:tcBorders>
          </w:tcPr>
          <w:p w14:paraId="33F63D92" w14:textId="44317212" w:rsidR="00653571" w:rsidRPr="00AB2458" w:rsidRDefault="00403413" w:rsidP="00534127">
            <w:pPr>
              <w:rPr>
                <w:rFonts w:ascii="Times New Roman" w:hAnsi="Times New Roman" w:cs="Times New Roman"/>
                <w:bCs/>
                <w:iCs/>
                <w:sz w:val="16"/>
                <w:szCs w:val="16"/>
              </w:rPr>
            </w:pPr>
            <w:r w:rsidRPr="00AB2458">
              <w:rPr>
                <w:rFonts w:ascii="Times New Roman" w:hAnsi="Times New Roman" w:cs="Times New Roman"/>
                <w:bCs/>
                <w:iCs/>
                <w:sz w:val="16"/>
                <w:szCs w:val="16"/>
              </w:rPr>
              <w:t>286.448.642</w:t>
            </w:r>
          </w:p>
        </w:tc>
        <w:tc>
          <w:tcPr>
            <w:tcW w:w="333" w:type="pct"/>
            <w:tcBorders>
              <w:top w:val="single" w:sz="4" w:space="0" w:color="auto"/>
              <w:left w:val="single" w:sz="4" w:space="0" w:color="auto"/>
              <w:bottom w:val="single" w:sz="4" w:space="0" w:color="auto"/>
              <w:right w:val="single" w:sz="4" w:space="0" w:color="auto"/>
            </w:tcBorders>
          </w:tcPr>
          <w:p w14:paraId="08A4D0B3" w14:textId="77777777" w:rsidR="00653571" w:rsidRPr="008C5F1C" w:rsidRDefault="00653571" w:rsidP="00534127">
            <w:pPr>
              <w:rPr>
                <w:rFonts w:ascii="Times New Roman" w:hAnsi="Times New Roman" w:cs="Times New Roman"/>
                <w:iCs/>
                <w:sz w:val="16"/>
                <w:szCs w:val="16"/>
              </w:rPr>
            </w:pPr>
          </w:p>
        </w:tc>
        <w:tc>
          <w:tcPr>
            <w:tcW w:w="288" w:type="pct"/>
            <w:tcBorders>
              <w:top w:val="single" w:sz="4" w:space="0" w:color="auto"/>
              <w:left w:val="single" w:sz="4" w:space="0" w:color="auto"/>
              <w:bottom w:val="single" w:sz="4" w:space="0" w:color="auto"/>
              <w:right w:val="single" w:sz="4" w:space="0" w:color="auto"/>
            </w:tcBorders>
          </w:tcPr>
          <w:p w14:paraId="35E72185" w14:textId="77777777" w:rsidR="00653571" w:rsidRPr="008C5F1C" w:rsidRDefault="00653571" w:rsidP="00534127">
            <w:pPr>
              <w:rPr>
                <w:rFonts w:ascii="Times New Roman" w:hAnsi="Times New Roman" w:cs="Times New Roman"/>
                <w:iCs/>
                <w:sz w:val="16"/>
                <w:szCs w:val="16"/>
              </w:rPr>
            </w:pPr>
          </w:p>
        </w:tc>
      </w:tr>
      <w:tr w:rsidR="00403413" w:rsidRPr="008C5F1C" w14:paraId="58FE2B10" w14:textId="77777777" w:rsidTr="00403413">
        <w:trPr>
          <w:trHeight w:val="435"/>
        </w:trPr>
        <w:tc>
          <w:tcPr>
            <w:tcW w:w="366" w:type="pct"/>
            <w:tcBorders>
              <w:top w:val="single" w:sz="4" w:space="0" w:color="auto"/>
              <w:left w:val="single" w:sz="4" w:space="0" w:color="auto"/>
              <w:bottom w:val="single" w:sz="4" w:space="0" w:color="auto"/>
              <w:right w:val="single" w:sz="4" w:space="0" w:color="auto"/>
            </w:tcBorders>
          </w:tcPr>
          <w:p w14:paraId="27CD003D" w14:textId="77777777" w:rsidR="00653571" w:rsidRPr="008C5F1C" w:rsidRDefault="00904C61" w:rsidP="00534127">
            <w:pPr>
              <w:rPr>
                <w:rFonts w:ascii="Times New Roman" w:hAnsi="Times New Roman" w:cs="Times New Roman"/>
                <w:iCs/>
                <w:sz w:val="16"/>
                <w:szCs w:val="16"/>
              </w:rPr>
            </w:pPr>
            <w:r w:rsidRPr="008C5F1C">
              <w:rPr>
                <w:rFonts w:ascii="Times New Roman" w:hAnsi="Times New Roman" w:cs="Times New Roman"/>
                <w:iCs/>
                <w:sz w:val="16"/>
                <w:szCs w:val="16"/>
              </w:rPr>
              <w:t>3</w:t>
            </w:r>
          </w:p>
        </w:tc>
        <w:tc>
          <w:tcPr>
            <w:tcW w:w="500" w:type="pct"/>
            <w:tcBorders>
              <w:top w:val="single" w:sz="4" w:space="0" w:color="auto"/>
              <w:left w:val="single" w:sz="4" w:space="0" w:color="auto"/>
              <w:bottom w:val="single" w:sz="4" w:space="0" w:color="auto"/>
              <w:right w:val="single" w:sz="4" w:space="0" w:color="auto"/>
            </w:tcBorders>
          </w:tcPr>
          <w:p w14:paraId="7E8EDF5A" w14:textId="77777777" w:rsidR="00653571" w:rsidRPr="008C5F1C" w:rsidRDefault="00653571" w:rsidP="00534127">
            <w:pPr>
              <w:rPr>
                <w:rFonts w:ascii="Times New Roman" w:hAnsi="Times New Roman" w:cs="Times New Roman"/>
                <w:iCs/>
                <w:sz w:val="16"/>
                <w:szCs w:val="16"/>
              </w:rPr>
            </w:pPr>
            <w:r w:rsidRPr="008C5F1C">
              <w:rPr>
                <w:rFonts w:ascii="Times New Roman" w:hAnsi="Times New Roman" w:cs="Times New Roman"/>
                <w:bCs/>
                <w:iCs/>
                <w:sz w:val="16"/>
                <w:szCs w:val="16"/>
              </w:rPr>
              <w:t>b (viii) Promovarea mobilit</w:t>
            </w:r>
            <w:r w:rsidR="00BA7827" w:rsidRPr="008C5F1C">
              <w:rPr>
                <w:rFonts w:ascii="Times New Roman" w:hAnsi="Times New Roman" w:cs="Times New Roman"/>
                <w:bCs/>
                <w:iCs/>
                <w:sz w:val="16"/>
                <w:szCs w:val="16"/>
              </w:rPr>
              <w:t>ă</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 xml:space="preserve">ii urbane </w:t>
            </w:r>
            <w:proofErr w:type="spellStart"/>
            <w:r w:rsidRPr="008C5F1C">
              <w:rPr>
                <w:rFonts w:ascii="Times New Roman" w:hAnsi="Times New Roman" w:cs="Times New Roman"/>
                <w:bCs/>
                <w:iCs/>
                <w:sz w:val="16"/>
                <w:szCs w:val="16"/>
              </w:rPr>
              <w:t>multimodale</w:t>
            </w:r>
            <w:proofErr w:type="spellEnd"/>
            <w:r w:rsidRPr="008C5F1C">
              <w:rPr>
                <w:rFonts w:ascii="Times New Roman" w:hAnsi="Times New Roman" w:cs="Times New Roman"/>
                <w:bCs/>
                <w:iCs/>
                <w:sz w:val="16"/>
                <w:szCs w:val="16"/>
              </w:rPr>
              <w:t xml:space="preserve"> sustenabile</w:t>
            </w:r>
          </w:p>
        </w:tc>
        <w:tc>
          <w:tcPr>
            <w:tcW w:w="302" w:type="pct"/>
            <w:tcBorders>
              <w:top w:val="single" w:sz="4" w:space="0" w:color="auto"/>
              <w:left w:val="single" w:sz="4" w:space="0" w:color="auto"/>
              <w:bottom w:val="single" w:sz="4" w:space="0" w:color="auto"/>
              <w:right w:val="single" w:sz="4" w:space="0" w:color="auto"/>
            </w:tcBorders>
          </w:tcPr>
          <w:p w14:paraId="4A1B6C91" w14:textId="77777777" w:rsidR="00653571" w:rsidRPr="008C5F1C" w:rsidRDefault="00653571" w:rsidP="00534127">
            <w:pPr>
              <w:rPr>
                <w:rFonts w:ascii="Times New Roman" w:hAnsi="Times New Roman" w:cs="Times New Roman"/>
                <w:noProof/>
                <w:sz w:val="16"/>
                <w:szCs w:val="16"/>
              </w:rPr>
            </w:pPr>
            <w:r w:rsidRPr="008C5F1C">
              <w:rPr>
                <w:rFonts w:ascii="Times New Roman" w:hAnsi="Times New Roman" w:cs="Times New Roman"/>
                <w:noProof/>
                <w:sz w:val="16"/>
                <w:szCs w:val="16"/>
              </w:rPr>
              <w:t>FEDR</w:t>
            </w:r>
          </w:p>
        </w:tc>
        <w:tc>
          <w:tcPr>
            <w:tcW w:w="423" w:type="pct"/>
            <w:tcBorders>
              <w:top w:val="single" w:sz="4" w:space="0" w:color="auto"/>
              <w:left w:val="single" w:sz="4" w:space="0" w:color="auto"/>
              <w:bottom w:val="single" w:sz="4" w:space="0" w:color="auto"/>
              <w:right w:val="single" w:sz="4" w:space="0" w:color="auto"/>
            </w:tcBorders>
          </w:tcPr>
          <w:p w14:paraId="1920CDAC" w14:textId="77777777" w:rsidR="00653571" w:rsidRPr="008C5F1C" w:rsidRDefault="00653571" w:rsidP="00534127">
            <w:pPr>
              <w:rPr>
                <w:rFonts w:ascii="Times New Roman" w:hAnsi="Times New Roman" w:cs="Times New Roman"/>
                <w:noProof/>
                <w:sz w:val="16"/>
                <w:szCs w:val="16"/>
              </w:rPr>
            </w:pPr>
            <w:r w:rsidRPr="008C5F1C">
              <w:rPr>
                <w:rFonts w:ascii="Times New Roman" w:hAnsi="Times New Roman" w:cs="Times New Roman"/>
                <w:noProof/>
                <w:sz w:val="16"/>
                <w:szCs w:val="16"/>
              </w:rPr>
              <w:t>Mai pu</w:t>
            </w:r>
            <w:r w:rsidR="00E22FF2" w:rsidRPr="008C5F1C">
              <w:rPr>
                <w:rFonts w:ascii="Times New Roman" w:hAnsi="Times New Roman" w:cs="Times New Roman"/>
                <w:noProof/>
                <w:sz w:val="16"/>
                <w:szCs w:val="16"/>
              </w:rPr>
              <w:t>ț</w:t>
            </w:r>
            <w:r w:rsidRPr="008C5F1C">
              <w:rPr>
                <w:rFonts w:ascii="Times New Roman" w:hAnsi="Times New Roman" w:cs="Times New Roman"/>
                <w:noProof/>
                <w:sz w:val="16"/>
                <w:szCs w:val="16"/>
              </w:rPr>
              <w:t>in dezvoltate</w:t>
            </w:r>
          </w:p>
        </w:tc>
        <w:tc>
          <w:tcPr>
            <w:tcW w:w="260" w:type="pct"/>
            <w:tcBorders>
              <w:top w:val="single" w:sz="4" w:space="0" w:color="auto"/>
              <w:left w:val="single" w:sz="4" w:space="0" w:color="auto"/>
              <w:bottom w:val="single" w:sz="4" w:space="0" w:color="auto"/>
              <w:right w:val="single" w:sz="4" w:space="0" w:color="auto"/>
            </w:tcBorders>
          </w:tcPr>
          <w:p w14:paraId="1A7EEE8B" w14:textId="77777777" w:rsidR="00653571" w:rsidRPr="008C5F1C" w:rsidRDefault="00653571" w:rsidP="00534127">
            <w:pPr>
              <w:rPr>
                <w:rFonts w:ascii="Times New Roman" w:hAnsi="Times New Roman" w:cs="Times New Roman"/>
                <w:iCs/>
                <w:sz w:val="16"/>
                <w:szCs w:val="16"/>
              </w:rPr>
            </w:pPr>
            <w:r w:rsidRPr="008C5F1C">
              <w:rPr>
                <w:rFonts w:ascii="Times New Roman" w:hAnsi="Times New Roman" w:cs="Times New Roman"/>
                <w:iCs/>
                <w:sz w:val="16"/>
                <w:szCs w:val="16"/>
              </w:rPr>
              <w:t>RCR 64</w:t>
            </w:r>
          </w:p>
        </w:tc>
        <w:tc>
          <w:tcPr>
            <w:tcW w:w="552" w:type="pct"/>
            <w:tcBorders>
              <w:top w:val="single" w:sz="4" w:space="0" w:color="auto"/>
              <w:left w:val="single" w:sz="4" w:space="0" w:color="auto"/>
              <w:bottom w:val="single" w:sz="4" w:space="0" w:color="auto"/>
              <w:right w:val="single" w:sz="4" w:space="0" w:color="auto"/>
            </w:tcBorders>
          </w:tcPr>
          <w:p w14:paraId="129200AC" w14:textId="77777777" w:rsidR="00653571" w:rsidRPr="008C5F1C" w:rsidRDefault="00653571" w:rsidP="00534127">
            <w:pPr>
              <w:rPr>
                <w:rFonts w:ascii="Times New Roman" w:hAnsi="Times New Roman" w:cs="Times New Roman"/>
                <w:iCs/>
                <w:sz w:val="16"/>
                <w:szCs w:val="16"/>
              </w:rPr>
            </w:pPr>
            <w:r w:rsidRPr="008C5F1C">
              <w:rPr>
                <w:rFonts w:ascii="Times New Roman" w:hAnsi="Times New Roman" w:cs="Times New Roman"/>
                <w:iCs/>
                <w:sz w:val="16"/>
                <w:szCs w:val="16"/>
              </w:rPr>
              <w:t>RCR 64 – Num</w:t>
            </w:r>
            <w:r w:rsidR="00BA7827" w:rsidRPr="008C5F1C">
              <w:rPr>
                <w:rFonts w:ascii="Times New Roman" w:hAnsi="Times New Roman" w:cs="Times New Roman"/>
                <w:iCs/>
                <w:sz w:val="16"/>
                <w:szCs w:val="16"/>
              </w:rPr>
              <w:t>ă</w:t>
            </w:r>
            <w:r w:rsidRPr="008C5F1C">
              <w:rPr>
                <w:rFonts w:ascii="Times New Roman" w:hAnsi="Times New Roman" w:cs="Times New Roman"/>
                <w:iCs/>
                <w:sz w:val="16"/>
                <w:szCs w:val="16"/>
              </w:rPr>
              <w:t>rul anual de utilizatori ai pistelor ciclabile</w:t>
            </w:r>
          </w:p>
        </w:tc>
        <w:tc>
          <w:tcPr>
            <w:tcW w:w="560" w:type="pct"/>
            <w:tcBorders>
              <w:top w:val="single" w:sz="4" w:space="0" w:color="auto"/>
              <w:left w:val="single" w:sz="4" w:space="0" w:color="auto"/>
              <w:bottom w:val="single" w:sz="4" w:space="0" w:color="auto"/>
              <w:right w:val="single" w:sz="4" w:space="0" w:color="auto"/>
            </w:tcBorders>
          </w:tcPr>
          <w:p w14:paraId="0630867A" w14:textId="77777777" w:rsidR="00653571" w:rsidRPr="008C5F1C" w:rsidRDefault="00B73131" w:rsidP="00534127">
            <w:pPr>
              <w:rPr>
                <w:rFonts w:ascii="Times New Roman" w:hAnsi="Times New Roman" w:cs="Times New Roman"/>
                <w:iCs/>
                <w:sz w:val="16"/>
                <w:szCs w:val="16"/>
              </w:rPr>
            </w:pPr>
            <w:r w:rsidRPr="008C5F1C">
              <w:rPr>
                <w:rFonts w:ascii="Times New Roman" w:hAnsi="Times New Roman" w:cs="Times New Roman"/>
                <w:iCs/>
                <w:sz w:val="16"/>
                <w:szCs w:val="16"/>
              </w:rPr>
              <w:t>utilizatori</w:t>
            </w:r>
          </w:p>
        </w:tc>
        <w:tc>
          <w:tcPr>
            <w:tcW w:w="491" w:type="pct"/>
            <w:tcBorders>
              <w:top w:val="single" w:sz="4" w:space="0" w:color="auto"/>
              <w:left w:val="single" w:sz="4" w:space="0" w:color="auto"/>
              <w:bottom w:val="single" w:sz="4" w:space="0" w:color="auto"/>
              <w:right w:val="single" w:sz="4" w:space="0" w:color="auto"/>
            </w:tcBorders>
          </w:tcPr>
          <w:p w14:paraId="0EA3AE72" w14:textId="34E85CD4" w:rsidR="00653571" w:rsidRPr="008C5F1C" w:rsidRDefault="009B746B" w:rsidP="00534127">
            <w:pPr>
              <w:rPr>
                <w:rFonts w:ascii="Times New Roman" w:hAnsi="Times New Roman" w:cs="Times New Roman"/>
                <w:iCs/>
                <w:sz w:val="16"/>
                <w:szCs w:val="16"/>
              </w:rPr>
            </w:pPr>
            <w:r w:rsidRPr="008C5F1C">
              <w:rPr>
                <w:rFonts w:ascii="Times New Roman" w:hAnsi="Times New Roman" w:cs="Times New Roman"/>
                <w:iCs/>
                <w:sz w:val="16"/>
                <w:szCs w:val="16"/>
              </w:rPr>
              <w:t>7</w:t>
            </w:r>
            <w:r w:rsidR="009A7CCC" w:rsidRPr="008C5F1C">
              <w:rPr>
                <w:rFonts w:ascii="Times New Roman" w:hAnsi="Times New Roman" w:cs="Times New Roman"/>
                <w:iCs/>
                <w:sz w:val="16"/>
                <w:szCs w:val="16"/>
              </w:rPr>
              <w:t>7.978.922</w:t>
            </w:r>
          </w:p>
        </w:tc>
        <w:tc>
          <w:tcPr>
            <w:tcW w:w="435" w:type="pct"/>
            <w:tcBorders>
              <w:top w:val="single" w:sz="4" w:space="0" w:color="auto"/>
              <w:left w:val="single" w:sz="4" w:space="0" w:color="auto"/>
              <w:bottom w:val="single" w:sz="4" w:space="0" w:color="auto"/>
              <w:right w:val="single" w:sz="4" w:space="0" w:color="auto"/>
            </w:tcBorders>
          </w:tcPr>
          <w:p w14:paraId="386800C4" w14:textId="703DBEE5" w:rsidR="00653571" w:rsidRPr="00AB2458" w:rsidRDefault="009A7CCC" w:rsidP="00534127">
            <w:pPr>
              <w:rPr>
                <w:rFonts w:ascii="Times New Roman" w:hAnsi="Times New Roman" w:cs="Times New Roman"/>
                <w:bCs/>
                <w:iCs/>
                <w:sz w:val="16"/>
                <w:szCs w:val="16"/>
              </w:rPr>
            </w:pPr>
            <w:r w:rsidRPr="00AB2458">
              <w:rPr>
                <w:rFonts w:ascii="Times New Roman" w:hAnsi="Times New Roman" w:cs="Times New Roman"/>
                <w:bCs/>
                <w:iCs/>
                <w:sz w:val="16"/>
                <w:szCs w:val="16"/>
              </w:rPr>
              <w:t>2019</w:t>
            </w:r>
          </w:p>
        </w:tc>
        <w:tc>
          <w:tcPr>
            <w:tcW w:w="491" w:type="pct"/>
            <w:tcBorders>
              <w:top w:val="single" w:sz="4" w:space="0" w:color="auto"/>
              <w:left w:val="single" w:sz="4" w:space="0" w:color="auto"/>
              <w:bottom w:val="single" w:sz="4" w:space="0" w:color="auto"/>
              <w:right w:val="single" w:sz="4" w:space="0" w:color="auto"/>
            </w:tcBorders>
          </w:tcPr>
          <w:p w14:paraId="08F21F45" w14:textId="513E02FD" w:rsidR="00653571" w:rsidRPr="00AB2458" w:rsidRDefault="009A7CCC" w:rsidP="00534127">
            <w:pPr>
              <w:rPr>
                <w:rFonts w:ascii="Times New Roman" w:hAnsi="Times New Roman" w:cs="Times New Roman"/>
                <w:bCs/>
                <w:iCs/>
                <w:sz w:val="16"/>
                <w:szCs w:val="16"/>
              </w:rPr>
            </w:pPr>
            <w:r w:rsidRPr="00AB2458">
              <w:rPr>
                <w:rFonts w:ascii="Times New Roman" w:hAnsi="Times New Roman" w:cs="Times New Roman"/>
                <w:bCs/>
                <w:iCs/>
                <w:sz w:val="16"/>
                <w:szCs w:val="16"/>
              </w:rPr>
              <w:t>21</w:t>
            </w:r>
            <w:r w:rsidR="009B746B" w:rsidRPr="00AB2458">
              <w:rPr>
                <w:rFonts w:ascii="Times New Roman" w:hAnsi="Times New Roman" w:cs="Times New Roman"/>
                <w:bCs/>
                <w:iCs/>
                <w:sz w:val="16"/>
                <w:szCs w:val="16"/>
              </w:rPr>
              <w:t>4</w:t>
            </w:r>
            <w:r w:rsidRPr="00AB2458">
              <w:rPr>
                <w:rFonts w:ascii="Times New Roman" w:hAnsi="Times New Roman" w:cs="Times New Roman"/>
                <w:bCs/>
                <w:iCs/>
                <w:sz w:val="16"/>
                <w:szCs w:val="16"/>
              </w:rPr>
              <w:t>.006.482</w:t>
            </w:r>
          </w:p>
        </w:tc>
        <w:tc>
          <w:tcPr>
            <w:tcW w:w="333" w:type="pct"/>
            <w:tcBorders>
              <w:top w:val="single" w:sz="4" w:space="0" w:color="auto"/>
              <w:left w:val="single" w:sz="4" w:space="0" w:color="auto"/>
              <w:bottom w:val="single" w:sz="4" w:space="0" w:color="auto"/>
              <w:right w:val="single" w:sz="4" w:space="0" w:color="auto"/>
            </w:tcBorders>
          </w:tcPr>
          <w:p w14:paraId="4BA65928" w14:textId="77777777" w:rsidR="00653571" w:rsidRPr="008C5F1C" w:rsidRDefault="00653571" w:rsidP="00534127">
            <w:pPr>
              <w:rPr>
                <w:rFonts w:ascii="Times New Roman" w:hAnsi="Times New Roman" w:cs="Times New Roman"/>
                <w:iCs/>
                <w:sz w:val="16"/>
                <w:szCs w:val="16"/>
              </w:rPr>
            </w:pPr>
          </w:p>
        </w:tc>
        <w:tc>
          <w:tcPr>
            <w:tcW w:w="288" w:type="pct"/>
            <w:tcBorders>
              <w:top w:val="single" w:sz="4" w:space="0" w:color="auto"/>
              <w:left w:val="single" w:sz="4" w:space="0" w:color="auto"/>
              <w:bottom w:val="single" w:sz="4" w:space="0" w:color="auto"/>
              <w:right w:val="single" w:sz="4" w:space="0" w:color="auto"/>
            </w:tcBorders>
          </w:tcPr>
          <w:p w14:paraId="47B72B1F" w14:textId="77777777" w:rsidR="00653571" w:rsidRPr="008C5F1C" w:rsidRDefault="00653571" w:rsidP="00534127">
            <w:pPr>
              <w:rPr>
                <w:rFonts w:ascii="Times New Roman" w:hAnsi="Times New Roman" w:cs="Times New Roman"/>
                <w:iCs/>
                <w:sz w:val="16"/>
                <w:szCs w:val="16"/>
              </w:rPr>
            </w:pPr>
          </w:p>
        </w:tc>
      </w:tr>
    </w:tbl>
    <w:p w14:paraId="29C6E6BF" w14:textId="77777777" w:rsidR="00653571" w:rsidRPr="008C5F1C" w:rsidRDefault="00653571" w:rsidP="00653571">
      <w:pPr>
        <w:rPr>
          <w:rFonts w:ascii="Times New Roman" w:hAnsi="Times New Roman" w:cs="Times New Roman"/>
          <w:b/>
          <w:iCs/>
        </w:rPr>
      </w:pPr>
      <w:r w:rsidRPr="008C5F1C">
        <w:rPr>
          <w:rFonts w:ascii="Times New Roman" w:hAnsi="Times New Roman" w:cs="Times New Roman"/>
          <w:i/>
        </w:rPr>
        <w:t xml:space="preserve">[Point 2.1.1.3 in </w:t>
      </w:r>
      <w:proofErr w:type="spellStart"/>
      <w:r w:rsidRPr="008C5F1C">
        <w:rPr>
          <w:rFonts w:ascii="Times New Roman" w:hAnsi="Times New Roman" w:cs="Times New Roman"/>
          <w:i/>
        </w:rPr>
        <w:t>the</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Commission</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proposal</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has</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been</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moved</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up</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following</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changes</w:t>
      </w:r>
      <w:proofErr w:type="spellEnd"/>
      <w:r w:rsidRPr="008C5F1C">
        <w:rPr>
          <w:rFonts w:ascii="Times New Roman" w:hAnsi="Times New Roman" w:cs="Times New Roman"/>
          <w:i/>
        </w:rPr>
        <w:t xml:space="preserve"> in </w:t>
      </w:r>
      <w:proofErr w:type="spellStart"/>
      <w:r w:rsidRPr="008C5F1C">
        <w:rPr>
          <w:rFonts w:ascii="Times New Roman" w:hAnsi="Times New Roman" w:cs="Times New Roman"/>
          <w:i/>
        </w:rPr>
        <w:t>Article</w:t>
      </w:r>
      <w:proofErr w:type="spellEnd"/>
      <w:r w:rsidRPr="008C5F1C">
        <w:rPr>
          <w:rFonts w:ascii="Times New Roman" w:hAnsi="Times New Roman" w:cs="Times New Roman"/>
          <w:i/>
        </w:rPr>
        <w:t xml:space="preserve"> 17(3)(c) CPR </w:t>
      </w:r>
      <w:proofErr w:type="spellStart"/>
      <w:r w:rsidRPr="008C5F1C">
        <w:rPr>
          <w:rFonts w:ascii="Times New Roman" w:hAnsi="Times New Roman" w:cs="Times New Roman"/>
          <w:i/>
        </w:rPr>
        <w:t>and</w:t>
      </w:r>
      <w:proofErr w:type="spellEnd"/>
      <w:r w:rsidRPr="008C5F1C">
        <w:rPr>
          <w:rFonts w:ascii="Times New Roman" w:hAnsi="Times New Roman" w:cs="Times New Roman"/>
          <w:i/>
        </w:rPr>
        <w:t xml:space="preserve"> it </w:t>
      </w:r>
      <w:proofErr w:type="spellStart"/>
      <w:r w:rsidRPr="008C5F1C">
        <w:rPr>
          <w:rFonts w:ascii="Times New Roman" w:hAnsi="Times New Roman" w:cs="Times New Roman"/>
          <w:i/>
        </w:rPr>
        <w:t>is</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now</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point</w:t>
      </w:r>
      <w:proofErr w:type="spellEnd"/>
      <w:r w:rsidRPr="008C5F1C">
        <w:rPr>
          <w:rFonts w:ascii="Times New Roman" w:hAnsi="Times New Roman" w:cs="Times New Roman"/>
          <w:i/>
        </w:rPr>
        <w:t xml:space="preserve"> 2.1.1.bis]</w:t>
      </w:r>
    </w:p>
    <w:p w14:paraId="4E8EF05F" w14:textId="77777777" w:rsidR="00653571" w:rsidRPr="008C5F1C" w:rsidRDefault="00653571" w:rsidP="00653571">
      <w:pPr>
        <w:rPr>
          <w:rFonts w:ascii="Times New Roman" w:hAnsi="Times New Roman" w:cs="Times New Roman"/>
          <w:b/>
        </w:rPr>
      </w:pPr>
      <w:r w:rsidRPr="008C5F1C">
        <w:rPr>
          <w:rFonts w:ascii="Times New Roman" w:hAnsi="Times New Roman" w:cs="Times New Roman"/>
          <w:b/>
        </w:rPr>
        <w:t xml:space="preserve">2.B.1.2. </w:t>
      </w:r>
      <w:proofErr w:type="spellStart"/>
      <w:r w:rsidRPr="008C5F1C">
        <w:rPr>
          <w:rFonts w:ascii="Times New Roman" w:hAnsi="Times New Roman" w:cs="Times New Roman"/>
          <w:b/>
        </w:rPr>
        <w:t>Indicators</w:t>
      </w:r>
      <w:proofErr w:type="spellEnd"/>
      <w:r w:rsidRPr="008C5F1C">
        <w:rPr>
          <w:rFonts w:ascii="Times New Roman" w:hAnsi="Times New Roman" w:cs="Times New Roman"/>
          <w:b/>
        </w:rPr>
        <w:t xml:space="preserve"> </w:t>
      </w:r>
    </w:p>
    <w:p w14:paraId="5CA8552F" w14:textId="77777777" w:rsidR="00653571" w:rsidRPr="008C5F1C" w:rsidRDefault="00653571" w:rsidP="00653571">
      <w:pPr>
        <w:rPr>
          <w:rFonts w:ascii="Times New Roman" w:hAnsi="Times New Roman" w:cs="Times New Roman"/>
          <w:b/>
          <w:bCs/>
        </w:rPr>
      </w:pPr>
      <w:r w:rsidRPr="008C5F1C">
        <w:rPr>
          <w:rFonts w:ascii="Times New Roman" w:hAnsi="Times New Roman" w:cs="Times New Roman"/>
          <w:b/>
        </w:rPr>
        <w:t xml:space="preserve">Output </w:t>
      </w:r>
      <w:proofErr w:type="spellStart"/>
      <w:r w:rsidRPr="008C5F1C">
        <w:rPr>
          <w:rFonts w:ascii="Times New Roman" w:hAnsi="Times New Roman" w:cs="Times New Roman"/>
          <w:b/>
        </w:rPr>
        <w:t>indicators</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with</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the</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corresponding</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milestones</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and</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targets</w:t>
      </w:r>
      <w:proofErr w:type="spellEnd"/>
      <w:r w:rsidRPr="008C5F1C">
        <w:rPr>
          <w:rFonts w:ascii="Times New Roman" w:hAnsi="Times New Roman" w:cs="Times New Roman"/>
          <w:b/>
        </w:rPr>
        <w:t xml:space="preserve"> – </w:t>
      </w:r>
      <w:proofErr w:type="spellStart"/>
      <w:r w:rsidRPr="008C5F1C">
        <w:rPr>
          <w:rFonts w:ascii="Times New Roman" w:hAnsi="Times New Roman" w:cs="Times New Roman"/>
          <w:b/>
        </w:rPr>
        <w:t>Article</w:t>
      </w:r>
      <w:proofErr w:type="spellEnd"/>
      <w:r w:rsidRPr="008C5F1C">
        <w:rPr>
          <w:rFonts w:ascii="Times New Roman" w:hAnsi="Times New Roman" w:cs="Times New Roman"/>
          <w:b/>
        </w:rPr>
        <w:t xml:space="preserve"> 17(3)(e)bis(ii)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8"/>
        <w:gridCol w:w="1911"/>
        <w:gridCol w:w="582"/>
        <w:gridCol w:w="851"/>
        <w:gridCol w:w="403"/>
        <w:gridCol w:w="1442"/>
        <w:gridCol w:w="1196"/>
        <w:gridCol w:w="1119"/>
        <w:gridCol w:w="1356"/>
        <w:gridCol w:w="10"/>
      </w:tblGrid>
      <w:tr w:rsidR="00653571" w:rsidRPr="008C5F1C" w14:paraId="5B8021E3" w14:textId="77777777" w:rsidTr="00205B19">
        <w:trPr>
          <w:trHeight w:val="425"/>
        </w:trPr>
        <w:tc>
          <w:tcPr>
            <w:tcW w:w="5000" w:type="pct"/>
            <w:gridSpan w:val="10"/>
            <w:tcBorders>
              <w:top w:val="single" w:sz="4" w:space="0" w:color="auto"/>
              <w:left w:val="single" w:sz="4" w:space="0" w:color="auto"/>
              <w:bottom w:val="single" w:sz="4" w:space="0" w:color="auto"/>
              <w:right w:val="single" w:sz="4" w:space="0" w:color="auto"/>
            </w:tcBorders>
            <w:hideMark/>
          </w:tcPr>
          <w:p w14:paraId="40D8E2C3" w14:textId="77777777" w:rsidR="00653571" w:rsidRPr="008C5F1C" w:rsidRDefault="00653571" w:rsidP="00534127">
            <w:pPr>
              <w:rPr>
                <w:rFonts w:ascii="Times New Roman" w:hAnsi="Times New Roman" w:cs="Times New Roman"/>
                <w:b/>
              </w:rPr>
            </w:pPr>
            <w:r w:rsidRPr="008C5F1C">
              <w:rPr>
                <w:rFonts w:ascii="Times New Roman" w:hAnsi="Times New Roman" w:cs="Times New Roman"/>
                <w:b/>
                <w:iCs/>
              </w:rPr>
              <w:t xml:space="preserve">Table 2: Output </w:t>
            </w:r>
            <w:proofErr w:type="spellStart"/>
            <w:r w:rsidRPr="008C5F1C">
              <w:rPr>
                <w:rFonts w:ascii="Times New Roman" w:hAnsi="Times New Roman" w:cs="Times New Roman"/>
                <w:b/>
                <w:iCs/>
              </w:rPr>
              <w:t>indicators</w:t>
            </w:r>
            <w:proofErr w:type="spellEnd"/>
          </w:p>
        </w:tc>
      </w:tr>
      <w:tr w:rsidR="00653571" w:rsidRPr="008C5F1C" w14:paraId="18299263" w14:textId="77777777" w:rsidTr="00205B19">
        <w:trPr>
          <w:gridAfter w:val="1"/>
          <w:wAfter w:w="5" w:type="pct"/>
          <w:trHeight w:val="811"/>
        </w:trPr>
        <w:tc>
          <w:tcPr>
            <w:tcW w:w="394" w:type="pct"/>
            <w:tcBorders>
              <w:top w:val="single" w:sz="4" w:space="0" w:color="auto"/>
              <w:left w:val="single" w:sz="4" w:space="0" w:color="auto"/>
              <w:bottom w:val="single" w:sz="4" w:space="0" w:color="auto"/>
              <w:right w:val="single" w:sz="4" w:space="0" w:color="auto"/>
            </w:tcBorders>
            <w:hideMark/>
          </w:tcPr>
          <w:p w14:paraId="5DA0F381"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Priority</w:t>
            </w:r>
            <w:proofErr w:type="spellEnd"/>
            <w:r w:rsidRPr="008C5F1C">
              <w:rPr>
                <w:rFonts w:ascii="Times New Roman" w:hAnsi="Times New Roman" w:cs="Times New Roman"/>
                <w:b/>
                <w:sz w:val="16"/>
                <w:szCs w:val="16"/>
              </w:rPr>
              <w:t xml:space="preserve"> </w:t>
            </w:r>
          </w:p>
        </w:tc>
        <w:tc>
          <w:tcPr>
            <w:tcW w:w="993" w:type="pct"/>
            <w:tcBorders>
              <w:top w:val="single" w:sz="4" w:space="0" w:color="auto"/>
              <w:left w:val="single" w:sz="4" w:space="0" w:color="auto"/>
              <w:bottom w:val="single" w:sz="4" w:space="0" w:color="auto"/>
              <w:right w:val="single" w:sz="4" w:space="0" w:color="auto"/>
            </w:tcBorders>
            <w:hideMark/>
          </w:tcPr>
          <w:p w14:paraId="02AA873D"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 xml:space="preserve">Specific </w:t>
            </w:r>
            <w:proofErr w:type="spellStart"/>
            <w:r w:rsidRPr="008C5F1C">
              <w:rPr>
                <w:rFonts w:ascii="Times New Roman" w:hAnsi="Times New Roman" w:cs="Times New Roman"/>
                <w:b/>
                <w:sz w:val="16"/>
                <w:szCs w:val="16"/>
              </w:rPr>
              <w:t>objective</w:t>
            </w:r>
            <w:proofErr w:type="spellEnd"/>
            <w:r w:rsidRPr="008C5F1C">
              <w:rPr>
                <w:rFonts w:ascii="Times New Roman" w:hAnsi="Times New Roman" w:cs="Times New Roman"/>
                <w:b/>
                <w:sz w:val="16"/>
                <w:szCs w:val="16"/>
              </w:rPr>
              <w:t xml:space="preserve"> (Investment for </w:t>
            </w:r>
            <w:proofErr w:type="spellStart"/>
            <w:r w:rsidRPr="008C5F1C">
              <w:rPr>
                <w:rFonts w:ascii="Times New Roman" w:hAnsi="Times New Roman" w:cs="Times New Roman"/>
                <w:b/>
                <w:sz w:val="16"/>
                <w:szCs w:val="16"/>
              </w:rPr>
              <w:t>Jobs</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lastRenderedPageBreak/>
              <w:t>and</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Growth</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goal</w:t>
            </w:r>
            <w:proofErr w:type="spellEnd"/>
            <w:r w:rsidRPr="008C5F1C">
              <w:rPr>
                <w:rFonts w:ascii="Times New Roman" w:hAnsi="Times New Roman" w:cs="Times New Roman"/>
                <w:b/>
                <w:sz w:val="16"/>
                <w:szCs w:val="16"/>
              </w:rPr>
              <w:t xml:space="preserve"> EMFF)</w:t>
            </w:r>
          </w:p>
        </w:tc>
        <w:tc>
          <w:tcPr>
            <w:tcW w:w="303" w:type="pct"/>
            <w:tcBorders>
              <w:top w:val="single" w:sz="4" w:space="0" w:color="auto"/>
              <w:left w:val="single" w:sz="4" w:space="0" w:color="auto"/>
              <w:bottom w:val="single" w:sz="4" w:space="0" w:color="auto"/>
              <w:right w:val="single" w:sz="4" w:space="0" w:color="auto"/>
            </w:tcBorders>
            <w:hideMark/>
          </w:tcPr>
          <w:p w14:paraId="6312EDCC"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lastRenderedPageBreak/>
              <w:t>Fund</w:t>
            </w:r>
          </w:p>
        </w:tc>
        <w:tc>
          <w:tcPr>
            <w:tcW w:w="442" w:type="pct"/>
            <w:tcBorders>
              <w:top w:val="single" w:sz="4" w:space="0" w:color="auto"/>
              <w:left w:val="single" w:sz="4" w:space="0" w:color="auto"/>
              <w:bottom w:val="single" w:sz="4" w:space="0" w:color="auto"/>
              <w:right w:val="single" w:sz="4" w:space="0" w:color="auto"/>
            </w:tcBorders>
            <w:hideMark/>
          </w:tcPr>
          <w:p w14:paraId="6839A59E"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Category</w:t>
            </w:r>
            <w:proofErr w:type="spellEnd"/>
            <w:r w:rsidRPr="008C5F1C">
              <w:rPr>
                <w:rFonts w:ascii="Times New Roman" w:hAnsi="Times New Roman" w:cs="Times New Roman"/>
                <w:b/>
                <w:sz w:val="16"/>
                <w:szCs w:val="16"/>
              </w:rPr>
              <w:t xml:space="preserve"> of </w:t>
            </w:r>
            <w:proofErr w:type="spellStart"/>
            <w:r w:rsidRPr="008C5F1C">
              <w:rPr>
                <w:rFonts w:ascii="Times New Roman" w:hAnsi="Times New Roman" w:cs="Times New Roman"/>
                <w:b/>
                <w:sz w:val="16"/>
                <w:szCs w:val="16"/>
              </w:rPr>
              <w:t>region</w:t>
            </w:r>
            <w:proofErr w:type="spellEnd"/>
          </w:p>
        </w:tc>
        <w:tc>
          <w:tcPr>
            <w:tcW w:w="208" w:type="pct"/>
            <w:tcBorders>
              <w:top w:val="single" w:sz="4" w:space="0" w:color="auto"/>
              <w:left w:val="single" w:sz="4" w:space="0" w:color="auto"/>
              <w:bottom w:val="single" w:sz="4" w:space="0" w:color="auto"/>
              <w:right w:val="single" w:sz="4" w:space="0" w:color="auto"/>
            </w:tcBorders>
            <w:hideMark/>
          </w:tcPr>
          <w:p w14:paraId="06938E92"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ID [5]</w:t>
            </w:r>
          </w:p>
        </w:tc>
        <w:tc>
          <w:tcPr>
            <w:tcW w:w="749" w:type="pct"/>
            <w:tcBorders>
              <w:top w:val="single" w:sz="4" w:space="0" w:color="auto"/>
              <w:left w:val="single" w:sz="4" w:space="0" w:color="auto"/>
              <w:bottom w:val="single" w:sz="4" w:space="0" w:color="auto"/>
              <w:right w:val="single" w:sz="4" w:space="0" w:color="auto"/>
            </w:tcBorders>
            <w:hideMark/>
          </w:tcPr>
          <w:p w14:paraId="65D1274A"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 xml:space="preserve">Indicator [255] </w:t>
            </w:r>
          </w:p>
        </w:tc>
        <w:tc>
          <w:tcPr>
            <w:tcW w:w="621" w:type="pct"/>
            <w:tcBorders>
              <w:top w:val="single" w:sz="4" w:space="0" w:color="auto"/>
              <w:left w:val="single" w:sz="4" w:space="0" w:color="auto"/>
              <w:bottom w:val="single" w:sz="4" w:space="0" w:color="auto"/>
              <w:right w:val="single" w:sz="4" w:space="0" w:color="auto"/>
            </w:tcBorders>
            <w:hideMark/>
          </w:tcPr>
          <w:p w14:paraId="23DD4130"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Measurement</w:t>
            </w:r>
            <w:proofErr w:type="spellEnd"/>
            <w:r w:rsidRPr="008C5F1C">
              <w:rPr>
                <w:rFonts w:ascii="Times New Roman" w:hAnsi="Times New Roman" w:cs="Times New Roman"/>
                <w:b/>
                <w:sz w:val="16"/>
                <w:szCs w:val="16"/>
              </w:rPr>
              <w:t xml:space="preserve"> unit</w:t>
            </w:r>
          </w:p>
        </w:tc>
        <w:tc>
          <w:tcPr>
            <w:tcW w:w="581" w:type="pct"/>
            <w:tcBorders>
              <w:top w:val="single" w:sz="4" w:space="0" w:color="auto"/>
              <w:left w:val="single" w:sz="4" w:space="0" w:color="auto"/>
              <w:bottom w:val="single" w:sz="4" w:space="0" w:color="auto"/>
              <w:right w:val="single" w:sz="4" w:space="0" w:color="auto"/>
            </w:tcBorders>
          </w:tcPr>
          <w:p w14:paraId="7A1A9936"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Milestone</w:t>
            </w:r>
            <w:proofErr w:type="spellEnd"/>
            <w:r w:rsidRPr="008C5F1C">
              <w:rPr>
                <w:rFonts w:ascii="Times New Roman" w:hAnsi="Times New Roman" w:cs="Times New Roman"/>
                <w:b/>
                <w:sz w:val="16"/>
                <w:szCs w:val="16"/>
              </w:rPr>
              <w:t xml:space="preserve"> (2024)</w:t>
            </w:r>
          </w:p>
          <w:p w14:paraId="6974B775" w14:textId="77777777" w:rsidR="00653571" w:rsidRPr="008C5F1C" w:rsidRDefault="00653571" w:rsidP="00534127">
            <w:pPr>
              <w:rPr>
                <w:rFonts w:ascii="Times New Roman" w:hAnsi="Times New Roman" w:cs="Times New Roman"/>
                <w:b/>
                <w:sz w:val="16"/>
                <w:szCs w:val="16"/>
              </w:rPr>
            </w:pPr>
          </w:p>
        </w:tc>
        <w:tc>
          <w:tcPr>
            <w:tcW w:w="704" w:type="pct"/>
            <w:tcBorders>
              <w:top w:val="single" w:sz="4" w:space="0" w:color="auto"/>
              <w:left w:val="single" w:sz="4" w:space="0" w:color="auto"/>
              <w:bottom w:val="single" w:sz="4" w:space="0" w:color="auto"/>
              <w:right w:val="single" w:sz="4" w:space="0" w:color="auto"/>
            </w:tcBorders>
          </w:tcPr>
          <w:p w14:paraId="3DAEF3AC"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lastRenderedPageBreak/>
              <w:t>Target (2029)</w:t>
            </w:r>
          </w:p>
          <w:p w14:paraId="7BC6E419" w14:textId="77777777" w:rsidR="00653571" w:rsidRPr="008C5F1C" w:rsidRDefault="00653571" w:rsidP="00534127">
            <w:pPr>
              <w:rPr>
                <w:rFonts w:ascii="Times New Roman" w:hAnsi="Times New Roman" w:cs="Times New Roman"/>
                <w:b/>
                <w:sz w:val="16"/>
                <w:szCs w:val="16"/>
              </w:rPr>
            </w:pPr>
          </w:p>
        </w:tc>
      </w:tr>
      <w:tr w:rsidR="00653571" w:rsidRPr="008C5F1C" w14:paraId="2C4A9F2E" w14:textId="77777777" w:rsidTr="00205B19">
        <w:trPr>
          <w:gridAfter w:val="1"/>
          <w:wAfter w:w="5" w:type="pct"/>
          <w:trHeight w:val="332"/>
        </w:trPr>
        <w:tc>
          <w:tcPr>
            <w:tcW w:w="394" w:type="pct"/>
            <w:tcBorders>
              <w:top w:val="single" w:sz="4" w:space="0" w:color="auto"/>
              <w:left w:val="single" w:sz="4" w:space="0" w:color="auto"/>
              <w:bottom w:val="single" w:sz="4" w:space="0" w:color="auto"/>
              <w:right w:val="single" w:sz="4" w:space="0" w:color="auto"/>
            </w:tcBorders>
          </w:tcPr>
          <w:p w14:paraId="0DE1AAD2" w14:textId="77777777" w:rsidR="00653571" w:rsidRPr="008C5F1C" w:rsidRDefault="00653571" w:rsidP="00534127">
            <w:pPr>
              <w:rPr>
                <w:rFonts w:ascii="Times New Roman" w:hAnsi="Times New Roman" w:cs="Times New Roman"/>
                <w:b/>
                <w:i/>
                <w:sz w:val="16"/>
                <w:szCs w:val="16"/>
              </w:rPr>
            </w:pPr>
          </w:p>
        </w:tc>
        <w:tc>
          <w:tcPr>
            <w:tcW w:w="993" w:type="pct"/>
            <w:tcBorders>
              <w:top w:val="single" w:sz="4" w:space="0" w:color="auto"/>
              <w:left w:val="single" w:sz="4" w:space="0" w:color="auto"/>
              <w:bottom w:val="single" w:sz="4" w:space="0" w:color="auto"/>
              <w:right w:val="single" w:sz="4" w:space="0" w:color="auto"/>
            </w:tcBorders>
          </w:tcPr>
          <w:p w14:paraId="2562FF60" w14:textId="77777777" w:rsidR="00653571" w:rsidRPr="008C5F1C" w:rsidRDefault="00653571" w:rsidP="00534127">
            <w:pPr>
              <w:rPr>
                <w:rFonts w:ascii="Times New Roman" w:hAnsi="Times New Roman" w:cs="Times New Roman"/>
                <w:b/>
                <w:i/>
                <w:sz w:val="16"/>
                <w:szCs w:val="16"/>
              </w:rPr>
            </w:pPr>
          </w:p>
        </w:tc>
        <w:tc>
          <w:tcPr>
            <w:tcW w:w="303" w:type="pct"/>
            <w:tcBorders>
              <w:top w:val="single" w:sz="4" w:space="0" w:color="auto"/>
              <w:left w:val="single" w:sz="4" w:space="0" w:color="auto"/>
              <w:bottom w:val="single" w:sz="4" w:space="0" w:color="auto"/>
              <w:right w:val="single" w:sz="4" w:space="0" w:color="auto"/>
            </w:tcBorders>
          </w:tcPr>
          <w:p w14:paraId="61EBCB7B" w14:textId="77777777" w:rsidR="00653571" w:rsidRPr="008C5F1C" w:rsidRDefault="00653571" w:rsidP="00534127">
            <w:pPr>
              <w:rPr>
                <w:rFonts w:ascii="Times New Roman" w:hAnsi="Times New Roman" w:cs="Times New Roman"/>
                <w:b/>
                <w:i/>
                <w:sz w:val="16"/>
                <w:szCs w:val="16"/>
              </w:rPr>
            </w:pPr>
          </w:p>
        </w:tc>
        <w:tc>
          <w:tcPr>
            <w:tcW w:w="442" w:type="pct"/>
            <w:tcBorders>
              <w:top w:val="single" w:sz="4" w:space="0" w:color="auto"/>
              <w:left w:val="single" w:sz="4" w:space="0" w:color="auto"/>
              <w:bottom w:val="single" w:sz="4" w:space="0" w:color="auto"/>
              <w:right w:val="single" w:sz="4" w:space="0" w:color="auto"/>
            </w:tcBorders>
          </w:tcPr>
          <w:p w14:paraId="2DEA2412" w14:textId="77777777" w:rsidR="00653571" w:rsidRPr="008C5F1C" w:rsidRDefault="00653571" w:rsidP="00534127">
            <w:pPr>
              <w:rPr>
                <w:rFonts w:ascii="Times New Roman" w:hAnsi="Times New Roman" w:cs="Times New Roman"/>
                <w:b/>
                <w:i/>
                <w:sz w:val="16"/>
                <w:szCs w:val="16"/>
              </w:rPr>
            </w:pPr>
          </w:p>
        </w:tc>
        <w:tc>
          <w:tcPr>
            <w:tcW w:w="208" w:type="pct"/>
            <w:tcBorders>
              <w:top w:val="single" w:sz="4" w:space="0" w:color="auto"/>
              <w:left w:val="single" w:sz="4" w:space="0" w:color="auto"/>
              <w:bottom w:val="single" w:sz="4" w:space="0" w:color="auto"/>
              <w:right w:val="single" w:sz="4" w:space="0" w:color="auto"/>
            </w:tcBorders>
          </w:tcPr>
          <w:p w14:paraId="0A76A015" w14:textId="77777777" w:rsidR="00653571" w:rsidRPr="008C5F1C" w:rsidRDefault="00653571" w:rsidP="00534127">
            <w:pPr>
              <w:rPr>
                <w:rFonts w:ascii="Times New Roman" w:hAnsi="Times New Roman" w:cs="Times New Roman"/>
                <w:b/>
                <w:i/>
                <w:sz w:val="16"/>
                <w:szCs w:val="16"/>
              </w:rPr>
            </w:pPr>
          </w:p>
        </w:tc>
        <w:tc>
          <w:tcPr>
            <w:tcW w:w="749" w:type="pct"/>
            <w:tcBorders>
              <w:top w:val="single" w:sz="4" w:space="0" w:color="auto"/>
              <w:left w:val="single" w:sz="4" w:space="0" w:color="auto"/>
              <w:bottom w:val="single" w:sz="4" w:space="0" w:color="auto"/>
              <w:right w:val="single" w:sz="4" w:space="0" w:color="auto"/>
            </w:tcBorders>
          </w:tcPr>
          <w:p w14:paraId="03E7FB6E" w14:textId="77777777" w:rsidR="00653571" w:rsidRPr="008C5F1C" w:rsidRDefault="00653571" w:rsidP="00534127">
            <w:pPr>
              <w:rPr>
                <w:rFonts w:ascii="Times New Roman" w:hAnsi="Times New Roman" w:cs="Times New Roman"/>
                <w:b/>
                <w:i/>
                <w:sz w:val="16"/>
                <w:szCs w:val="16"/>
              </w:rPr>
            </w:pPr>
          </w:p>
        </w:tc>
        <w:tc>
          <w:tcPr>
            <w:tcW w:w="621" w:type="pct"/>
            <w:tcBorders>
              <w:top w:val="single" w:sz="4" w:space="0" w:color="auto"/>
              <w:left w:val="single" w:sz="4" w:space="0" w:color="auto"/>
              <w:bottom w:val="single" w:sz="4" w:space="0" w:color="auto"/>
              <w:right w:val="single" w:sz="4" w:space="0" w:color="auto"/>
            </w:tcBorders>
          </w:tcPr>
          <w:p w14:paraId="75A56E78" w14:textId="77777777" w:rsidR="00653571" w:rsidRPr="008C5F1C" w:rsidRDefault="00653571" w:rsidP="00534127">
            <w:pPr>
              <w:rPr>
                <w:rFonts w:ascii="Times New Roman" w:hAnsi="Times New Roman" w:cs="Times New Roman"/>
                <w:b/>
                <w:i/>
                <w:sz w:val="16"/>
                <w:szCs w:val="16"/>
              </w:rPr>
            </w:pPr>
          </w:p>
        </w:tc>
        <w:tc>
          <w:tcPr>
            <w:tcW w:w="581" w:type="pct"/>
            <w:tcBorders>
              <w:top w:val="single" w:sz="4" w:space="0" w:color="auto"/>
              <w:left w:val="single" w:sz="4" w:space="0" w:color="auto"/>
              <w:bottom w:val="single" w:sz="4" w:space="0" w:color="auto"/>
              <w:right w:val="single" w:sz="4" w:space="0" w:color="auto"/>
            </w:tcBorders>
          </w:tcPr>
          <w:p w14:paraId="668BE4AE" w14:textId="77777777" w:rsidR="00653571" w:rsidRPr="008C5F1C" w:rsidRDefault="00653571" w:rsidP="00534127">
            <w:pPr>
              <w:rPr>
                <w:rFonts w:ascii="Times New Roman" w:hAnsi="Times New Roman" w:cs="Times New Roman"/>
                <w:b/>
                <w:sz w:val="16"/>
                <w:szCs w:val="16"/>
              </w:rPr>
            </w:pPr>
          </w:p>
        </w:tc>
        <w:tc>
          <w:tcPr>
            <w:tcW w:w="704" w:type="pct"/>
            <w:tcBorders>
              <w:top w:val="single" w:sz="4" w:space="0" w:color="auto"/>
              <w:left w:val="single" w:sz="4" w:space="0" w:color="auto"/>
              <w:bottom w:val="single" w:sz="4" w:space="0" w:color="auto"/>
              <w:right w:val="single" w:sz="4" w:space="0" w:color="auto"/>
            </w:tcBorders>
          </w:tcPr>
          <w:p w14:paraId="1FD0E76A" w14:textId="77777777" w:rsidR="00653571" w:rsidRPr="008C5F1C" w:rsidRDefault="00653571" w:rsidP="00534127">
            <w:pPr>
              <w:rPr>
                <w:rFonts w:ascii="Times New Roman" w:hAnsi="Times New Roman" w:cs="Times New Roman"/>
                <w:b/>
                <w:sz w:val="16"/>
                <w:szCs w:val="16"/>
              </w:rPr>
            </w:pPr>
          </w:p>
        </w:tc>
      </w:tr>
    </w:tbl>
    <w:p w14:paraId="45C9811A" w14:textId="2DFD82C1" w:rsidR="00653571" w:rsidRPr="008C5F1C" w:rsidRDefault="00653571" w:rsidP="00653571">
      <w:pPr>
        <w:rPr>
          <w:rFonts w:ascii="Times New Roman" w:hAnsi="Times New Roman" w:cs="Times New Roman"/>
          <w:b/>
          <w:iCs/>
        </w:rPr>
      </w:pPr>
      <w:r w:rsidRPr="008C5F1C">
        <w:rPr>
          <w:rFonts w:ascii="Times New Roman" w:hAnsi="Times New Roman" w:cs="Times New Roman"/>
          <w:b/>
          <w:iCs/>
        </w:rPr>
        <w:t xml:space="preserve">2.B.1.3. Indicative </w:t>
      </w:r>
      <w:proofErr w:type="spellStart"/>
      <w:r w:rsidRPr="008C5F1C">
        <w:rPr>
          <w:rFonts w:ascii="Times New Roman" w:hAnsi="Times New Roman" w:cs="Times New Roman"/>
          <w:b/>
          <w:iCs/>
        </w:rPr>
        <w:t>breakdown</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the</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programmed</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resources</w:t>
      </w:r>
      <w:proofErr w:type="spellEnd"/>
      <w:r w:rsidRPr="008C5F1C">
        <w:rPr>
          <w:rFonts w:ascii="Times New Roman" w:hAnsi="Times New Roman" w:cs="Times New Roman"/>
          <w:b/>
          <w:iCs/>
        </w:rPr>
        <w:t xml:space="preserve"> (EU) </w:t>
      </w:r>
      <w:proofErr w:type="spellStart"/>
      <w:r w:rsidRPr="008C5F1C">
        <w:rPr>
          <w:rFonts w:ascii="Times New Roman" w:hAnsi="Times New Roman" w:cs="Times New Roman"/>
          <w:b/>
          <w:iCs/>
        </w:rPr>
        <w:t>by</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type</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intervention</w:t>
      </w:r>
      <w:proofErr w:type="spellEnd"/>
      <w:r w:rsidRPr="008C5F1C">
        <w:rPr>
          <w:rFonts w:ascii="Times New Roman" w:hAnsi="Times New Roman" w:cs="Times New Roman"/>
          <w:b/>
          <w:iCs/>
        </w:rPr>
        <w:t xml:space="preserve">  </w:t>
      </w:r>
    </w:p>
    <w:p w14:paraId="5E6A90AB" w14:textId="77777777" w:rsidR="00653571" w:rsidRPr="008C5F1C" w:rsidRDefault="00653571" w:rsidP="00653571">
      <w:pPr>
        <w:rPr>
          <w:rFonts w:ascii="Times New Roman" w:hAnsi="Times New Roman" w:cs="Times New Roman"/>
          <w:bCs/>
          <w:i/>
        </w:rPr>
      </w:pPr>
      <w:proofErr w:type="spellStart"/>
      <w:r w:rsidRPr="008C5F1C">
        <w:rPr>
          <w:rFonts w:ascii="Times New Roman" w:hAnsi="Times New Roman" w:cs="Times New Roman"/>
          <w:i/>
          <w:iCs/>
        </w:rPr>
        <w:t>Reference</w:t>
      </w:r>
      <w:proofErr w:type="spellEnd"/>
      <w:r w:rsidRPr="008C5F1C">
        <w:rPr>
          <w:rFonts w:ascii="Times New Roman" w:hAnsi="Times New Roman" w:cs="Times New Roman"/>
          <w:i/>
          <w:iCs/>
        </w:rPr>
        <w:t xml:space="preserve"> </w:t>
      </w:r>
      <w:proofErr w:type="spellStart"/>
      <w:r w:rsidRPr="008C5F1C">
        <w:rPr>
          <w:rFonts w:ascii="Times New Roman" w:hAnsi="Times New Roman" w:cs="Times New Roman"/>
          <w:i/>
        </w:rPr>
        <w:t>Article</w:t>
      </w:r>
      <w:proofErr w:type="spellEnd"/>
      <w:r w:rsidRPr="008C5F1C">
        <w:rPr>
          <w:rFonts w:ascii="Times New Roman" w:hAnsi="Times New Roman" w:cs="Times New Roman"/>
          <w:i/>
        </w:rPr>
        <w:t xml:space="preserve"> 17(3)(e)bis(iv)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2115"/>
        <w:gridCol w:w="2268"/>
        <w:gridCol w:w="2177"/>
      </w:tblGrid>
      <w:tr w:rsidR="00653571" w:rsidRPr="008C5F1C" w14:paraId="6FC00A23" w14:textId="77777777" w:rsidTr="009F3E76">
        <w:tc>
          <w:tcPr>
            <w:tcW w:w="9543" w:type="dxa"/>
            <w:gridSpan w:val="5"/>
            <w:tcBorders>
              <w:top w:val="single" w:sz="4" w:space="0" w:color="auto"/>
              <w:left w:val="single" w:sz="4" w:space="0" w:color="auto"/>
              <w:bottom w:val="single" w:sz="4" w:space="0" w:color="auto"/>
              <w:right w:val="single" w:sz="4" w:space="0" w:color="auto"/>
            </w:tcBorders>
            <w:hideMark/>
          </w:tcPr>
          <w:p w14:paraId="393CE23D"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Table 8: </w:t>
            </w:r>
            <w:proofErr w:type="spellStart"/>
            <w:r w:rsidRPr="008C5F1C">
              <w:rPr>
                <w:rFonts w:ascii="Times New Roman" w:hAnsi="Times New Roman" w:cs="Times New Roman"/>
                <w:b/>
                <w:iCs/>
              </w:rPr>
              <w:t>Dimension</w:t>
            </w:r>
            <w:proofErr w:type="spellEnd"/>
            <w:r w:rsidRPr="008C5F1C">
              <w:rPr>
                <w:rFonts w:ascii="Times New Roman" w:hAnsi="Times New Roman" w:cs="Times New Roman"/>
                <w:b/>
                <w:iCs/>
              </w:rPr>
              <w:t xml:space="preserve"> 1 – </w:t>
            </w:r>
            <w:proofErr w:type="spellStart"/>
            <w:r w:rsidRPr="008C5F1C">
              <w:rPr>
                <w:rFonts w:ascii="Times New Roman" w:hAnsi="Times New Roman" w:cs="Times New Roman"/>
                <w:b/>
                <w:iCs/>
              </w:rPr>
              <w:t>intervention</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field</w:t>
            </w:r>
            <w:proofErr w:type="spellEnd"/>
          </w:p>
        </w:tc>
      </w:tr>
      <w:tr w:rsidR="00653571" w:rsidRPr="008C5F1C" w14:paraId="35BA3AE9" w14:textId="77777777" w:rsidTr="009F3E76">
        <w:tc>
          <w:tcPr>
            <w:tcW w:w="1599" w:type="dxa"/>
            <w:tcBorders>
              <w:top w:val="single" w:sz="4" w:space="0" w:color="auto"/>
              <w:left w:val="single" w:sz="4" w:space="0" w:color="auto"/>
              <w:bottom w:val="single" w:sz="4" w:space="0" w:color="auto"/>
              <w:right w:val="single" w:sz="4" w:space="0" w:color="auto"/>
            </w:tcBorders>
            <w:hideMark/>
          </w:tcPr>
          <w:p w14:paraId="3551C199"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Priority</w:t>
            </w:r>
            <w:proofErr w:type="spellEnd"/>
            <w:r w:rsidRPr="008C5F1C">
              <w:rPr>
                <w:rFonts w:ascii="Times New Roman" w:hAnsi="Times New Roman" w:cs="Times New Roman"/>
                <w:b/>
                <w:iCs/>
              </w:rPr>
              <w:t xml:space="preserve"> No</w:t>
            </w:r>
          </w:p>
        </w:tc>
        <w:tc>
          <w:tcPr>
            <w:tcW w:w="1384" w:type="dxa"/>
            <w:tcBorders>
              <w:top w:val="single" w:sz="4" w:space="0" w:color="auto"/>
              <w:left w:val="single" w:sz="4" w:space="0" w:color="auto"/>
              <w:bottom w:val="single" w:sz="4" w:space="0" w:color="auto"/>
              <w:right w:val="single" w:sz="4" w:space="0" w:color="auto"/>
            </w:tcBorders>
            <w:hideMark/>
          </w:tcPr>
          <w:p w14:paraId="1C7CDF2E"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Fund</w:t>
            </w:r>
          </w:p>
        </w:tc>
        <w:tc>
          <w:tcPr>
            <w:tcW w:w="2115" w:type="dxa"/>
            <w:tcBorders>
              <w:top w:val="single" w:sz="4" w:space="0" w:color="auto"/>
              <w:left w:val="single" w:sz="4" w:space="0" w:color="auto"/>
              <w:bottom w:val="single" w:sz="4" w:space="0" w:color="auto"/>
              <w:right w:val="single" w:sz="4" w:space="0" w:color="auto"/>
            </w:tcBorders>
            <w:hideMark/>
          </w:tcPr>
          <w:p w14:paraId="7D8A9DF5"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Category</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region</w:t>
            </w:r>
            <w:proofErr w:type="spellEnd"/>
          </w:p>
        </w:tc>
        <w:tc>
          <w:tcPr>
            <w:tcW w:w="2268" w:type="dxa"/>
            <w:tcBorders>
              <w:top w:val="single" w:sz="4" w:space="0" w:color="auto"/>
              <w:left w:val="single" w:sz="4" w:space="0" w:color="auto"/>
              <w:bottom w:val="single" w:sz="4" w:space="0" w:color="auto"/>
              <w:right w:val="single" w:sz="4" w:space="0" w:color="auto"/>
            </w:tcBorders>
            <w:hideMark/>
          </w:tcPr>
          <w:p w14:paraId="49DAAD53"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Code </w:t>
            </w:r>
          </w:p>
        </w:tc>
        <w:tc>
          <w:tcPr>
            <w:tcW w:w="2175" w:type="dxa"/>
            <w:tcBorders>
              <w:top w:val="single" w:sz="4" w:space="0" w:color="auto"/>
              <w:left w:val="single" w:sz="4" w:space="0" w:color="auto"/>
              <w:bottom w:val="single" w:sz="4" w:space="0" w:color="auto"/>
              <w:right w:val="single" w:sz="4" w:space="0" w:color="auto"/>
            </w:tcBorders>
            <w:hideMark/>
          </w:tcPr>
          <w:p w14:paraId="65382397"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Amount</w:t>
            </w:r>
            <w:proofErr w:type="spellEnd"/>
            <w:r w:rsidRPr="008C5F1C">
              <w:rPr>
                <w:rFonts w:ascii="Times New Roman" w:hAnsi="Times New Roman" w:cs="Times New Roman"/>
                <w:b/>
                <w:iCs/>
              </w:rPr>
              <w:t xml:space="preserve"> (EUR)</w:t>
            </w:r>
          </w:p>
        </w:tc>
      </w:tr>
      <w:tr w:rsidR="00653571" w:rsidRPr="008C5F1C" w14:paraId="7FD4D59F" w14:textId="77777777" w:rsidTr="009F3E76">
        <w:tc>
          <w:tcPr>
            <w:tcW w:w="1599" w:type="dxa"/>
            <w:tcBorders>
              <w:top w:val="single" w:sz="4" w:space="0" w:color="auto"/>
              <w:left w:val="single" w:sz="4" w:space="0" w:color="auto"/>
              <w:bottom w:val="single" w:sz="4" w:space="0" w:color="auto"/>
              <w:right w:val="single" w:sz="4" w:space="0" w:color="auto"/>
            </w:tcBorders>
          </w:tcPr>
          <w:p w14:paraId="4472DB6E" w14:textId="2FB736F1" w:rsidR="00653571" w:rsidRPr="008C5F1C" w:rsidRDefault="00653571" w:rsidP="00534127">
            <w:pPr>
              <w:rPr>
                <w:rFonts w:ascii="Times New Roman" w:hAnsi="Times New Roman" w:cs="Times New Roman"/>
                <w:iCs/>
              </w:rPr>
            </w:pPr>
          </w:p>
        </w:tc>
        <w:tc>
          <w:tcPr>
            <w:tcW w:w="1384" w:type="dxa"/>
            <w:tcBorders>
              <w:top w:val="single" w:sz="4" w:space="0" w:color="auto"/>
              <w:left w:val="single" w:sz="4" w:space="0" w:color="auto"/>
              <w:bottom w:val="single" w:sz="4" w:space="0" w:color="auto"/>
              <w:right w:val="single" w:sz="4" w:space="0" w:color="auto"/>
            </w:tcBorders>
          </w:tcPr>
          <w:p w14:paraId="0558DC30" w14:textId="5C151443" w:rsidR="00653571" w:rsidRPr="008C5F1C" w:rsidRDefault="00653571" w:rsidP="00534127">
            <w:pPr>
              <w:rPr>
                <w:rFonts w:ascii="Times New Roman" w:hAnsi="Times New Roman" w:cs="Times New Roman"/>
                <w:b/>
                <w:iCs/>
              </w:rPr>
            </w:pPr>
          </w:p>
        </w:tc>
        <w:tc>
          <w:tcPr>
            <w:tcW w:w="2115" w:type="dxa"/>
            <w:tcBorders>
              <w:top w:val="single" w:sz="4" w:space="0" w:color="auto"/>
              <w:left w:val="single" w:sz="4" w:space="0" w:color="auto"/>
              <w:bottom w:val="single" w:sz="4" w:space="0" w:color="auto"/>
              <w:right w:val="single" w:sz="4" w:space="0" w:color="auto"/>
            </w:tcBorders>
          </w:tcPr>
          <w:p w14:paraId="3D03CD04" w14:textId="3C5D2304" w:rsidR="00653571" w:rsidRPr="008C5F1C" w:rsidRDefault="00653571" w:rsidP="00534127">
            <w:pPr>
              <w:rPr>
                <w:rFonts w:ascii="Times New Roman" w:hAnsi="Times New Roman" w:cs="Times New Roman"/>
                <w:b/>
                <w:iCs/>
              </w:rPr>
            </w:pPr>
          </w:p>
        </w:tc>
        <w:tc>
          <w:tcPr>
            <w:tcW w:w="2268" w:type="dxa"/>
            <w:tcBorders>
              <w:top w:val="single" w:sz="4" w:space="0" w:color="auto"/>
              <w:left w:val="single" w:sz="4" w:space="0" w:color="auto"/>
              <w:bottom w:val="single" w:sz="4" w:space="0" w:color="auto"/>
              <w:right w:val="single" w:sz="4" w:space="0" w:color="auto"/>
            </w:tcBorders>
          </w:tcPr>
          <w:p w14:paraId="55DCF967" w14:textId="2F3FC45E" w:rsidR="00653571" w:rsidRPr="008C5F1C" w:rsidRDefault="00653571" w:rsidP="00534127">
            <w:pPr>
              <w:rPr>
                <w:rFonts w:ascii="Times New Roman" w:hAnsi="Times New Roman" w:cs="Times New Roman"/>
                <w:b/>
                <w:iCs/>
              </w:rPr>
            </w:pPr>
          </w:p>
        </w:tc>
        <w:tc>
          <w:tcPr>
            <w:tcW w:w="2175" w:type="dxa"/>
            <w:tcBorders>
              <w:top w:val="single" w:sz="4" w:space="0" w:color="auto"/>
              <w:left w:val="single" w:sz="4" w:space="0" w:color="auto"/>
              <w:bottom w:val="single" w:sz="4" w:space="0" w:color="auto"/>
              <w:right w:val="single" w:sz="4" w:space="0" w:color="auto"/>
            </w:tcBorders>
          </w:tcPr>
          <w:p w14:paraId="1958D44A" w14:textId="5E9257D1" w:rsidR="00653571" w:rsidRPr="008C5F1C" w:rsidRDefault="00653571" w:rsidP="009F3E76">
            <w:pPr>
              <w:jc w:val="right"/>
              <w:rPr>
                <w:rFonts w:ascii="Times New Roman" w:hAnsi="Times New Roman" w:cs="Times New Roman"/>
                <w:b/>
                <w:iCs/>
              </w:rPr>
            </w:pPr>
          </w:p>
        </w:tc>
      </w:tr>
    </w:tbl>
    <w:p w14:paraId="5B969E93" w14:textId="77777777" w:rsidR="00EA6490" w:rsidRPr="008C5F1C" w:rsidRDefault="00EA6490">
      <w:pPr>
        <w:spacing w:after="160" w:line="259" w:lineRule="auto"/>
        <w:rPr>
          <w:rFonts w:ascii="Times New Roman" w:hAnsi="Times New Roman" w:cs="Times New Roman"/>
        </w:rPr>
      </w:pPr>
      <w:r w:rsidRPr="008C5F1C">
        <w:rPr>
          <w:rFonts w:ascii="Times New Roman" w:hAnsi="Times New Roman" w:cs="Times New Roman"/>
        </w:rPr>
        <w:br w:type="page"/>
      </w:r>
    </w:p>
    <w:p w14:paraId="26CFD07E" w14:textId="77777777" w:rsidR="00653571" w:rsidRPr="008C5F1C" w:rsidRDefault="00653571" w:rsidP="00653571">
      <w:pPr>
        <w:pStyle w:val="Heading2"/>
        <w:numPr>
          <w:ilvl w:val="0"/>
          <w:numId w:val="0"/>
        </w:numPr>
        <w:ind w:left="851" w:hanging="851"/>
        <w:rPr>
          <w:rFonts w:cs="Times New Roman"/>
          <w:lang w:val="ro-RO"/>
        </w:rPr>
      </w:pPr>
      <w:bookmarkStart w:id="121" w:name="_Toc39840940"/>
      <w:r w:rsidRPr="008C5F1C">
        <w:rPr>
          <w:rFonts w:cs="Times New Roman"/>
          <w:lang w:val="ro-RO"/>
        </w:rPr>
        <w:lastRenderedPageBreak/>
        <w:t>2.A.1 Prioritatea 4. O regiune accesibil</w:t>
      </w:r>
      <w:bookmarkEnd w:id="121"/>
      <w:r w:rsidR="00BA7827" w:rsidRPr="008C5F1C">
        <w:rPr>
          <w:rFonts w:cs="Times New Roman"/>
          <w:lang w:val="ro-RO"/>
        </w:rPr>
        <w:t>ă</w:t>
      </w:r>
    </w:p>
    <w:p w14:paraId="0D7E3A4F" w14:textId="77777777" w:rsidR="00653571" w:rsidRPr="008C5F1C" w:rsidRDefault="00653571" w:rsidP="00653571">
      <w:pPr>
        <w:rPr>
          <w:rFonts w:ascii="Times New Roman" w:hAnsi="Times New Roman" w:cs="Times New Roman"/>
          <w:i/>
          <w:iCs/>
        </w:rPr>
      </w:pPr>
      <w:proofErr w:type="spellStart"/>
      <w:r w:rsidRPr="008C5F1C">
        <w:rPr>
          <w:rFonts w:ascii="Times New Roman" w:hAnsi="Times New Roman" w:cs="Times New Roman"/>
          <w:i/>
          <w:iCs/>
        </w:rPr>
        <w:t>Reference</w:t>
      </w:r>
      <w:proofErr w:type="spellEnd"/>
      <w:r w:rsidRPr="008C5F1C">
        <w:rPr>
          <w:rFonts w:ascii="Times New Roman" w:hAnsi="Times New Roman" w:cs="Times New Roman"/>
          <w:i/>
          <w:iCs/>
        </w:rPr>
        <w:t xml:space="preserve">: </w:t>
      </w:r>
      <w:proofErr w:type="spellStart"/>
      <w:r w:rsidRPr="008C5F1C">
        <w:rPr>
          <w:rFonts w:ascii="Times New Roman" w:hAnsi="Times New Roman" w:cs="Times New Roman"/>
          <w:i/>
          <w:iCs/>
        </w:rPr>
        <w:t>Article</w:t>
      </w:r>
      <w:proofErr w:type="spellEnd"/>
      <w:r w:rsidRPr="008C5F1C">
        <w:rPr>
          <w:rFonts w:ascii="Times New Roman" w:hAnsi="Times New Roman" w:cs="Times New Roman"/>
          <w:i/>
          <w:iCs/>
        </w:rPr>
        <w:t xml:space="preserve"> 4(1), 10 </w:t>
      </w:r>
      <w:proofErr w:type="spellStart"/>
      <w:r w:rsidRPr="008C5F1C">
        <w:rPr>
          <w:rFonts w:ascii="Times New Roman" w:hAnsi="Times New Roman" w:cs="Times New Roman"/>
          <w:i/>
          <w:iCs/>
        </w:rPr>
        <w:t>and</w:t>
      </w:r>
      <w:proofErr w:type="spellEnd"/>
      <w:r w:rsidRPr="008C5F1C">
        <w:rPr>
          <w:rFonts w:ascii="Times New Roman" w:hAnsi="Times New Roman" w:cs="Times New Roman"/>
          <w:i/>
          <w:iCs/>
        </w:rPr>
        <w:t xml:space="preserve"> 13 ESF+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53571" w:rsidRPr="008C5F1C" w14:paraId="256A4767" w14:textId="77777777" w:rsidTr="00534127">
        <w:tc>
          <w:tcPr>
            <w:tcW w:w="9322" w:type="dxa"/>
            <w:tcBorders>
              <w:top w:val="single" w:sz="4" w:space="0" w:color="auto"/>
              <w:left w:val="single" w:sz="4" w:space="0" w:color="auto"/>
              <w:bottom w:val="single" w:sz="4" w:space="0" w:color="auto"/>
              <w:right w:val="single" w:sz="4" w:space="0" w:color="auto"/>
            </w:tcBorders>
            <w:hideMark/>
          </w:tcPr>
          <w:p w14:paraId="3E8F9595" w14:textId="77777777" w:rsidR="00653571" w:rsidRPr="008C5F1C" w:rsidRDefault="00653571" w:rsidP="00534127">
            <w:pPr>
              <w:rPr>
                <w:rFonts w:ascii="Times New Roman" w:hAnsi="Times New Roman" w:cs="Times New Roman"/>
              </w:rPr>
            </w:pPr>
            <w:r w:rsidRPr="008C5F1C">
              <w:rPr>
                <w:rFonts w:ascii="Times New Roman" w:hAnsi="Times New Roman" w:cs="Times New Roman"/>
              </w:rPr>
              <w:fldChar w:fldCharType="begin">
                <w:ffData>
                  <w:name w:val="Check2"/>
                  <w:enabled/>
                  <w:calcOnExit w:val="0"/>
                  <w:checkBox>
                    <w:sizeAuto/>
                    <w:default w:val="0"/>
                  </w:checkBox>
                </w:ffData>
              </w:fldChar>
            </w:r>
            <w:r w:rsidRPr="008C5F1C">
              <w:rPr>
                <w:rFonts w:ascii="Times New Roman" w:hAnsi="Times New Roman" w:cs="Times New Roman"/>
              </w:rPr>
              <w:instrText xml:space="preserve"> FORMCHECKBOX </w:instrText>
            </w:r>
            <w:r w:rsidR="00AD12F7">
              <w:rPr>
                <w:rFonts w:ascii="Times New Roman" w:hAnsi="Times New Roman" w:cs="Times New Roman"/>
              </w:rPr>
            </w:r>
            <w:r w:rsidR="00AD12F7">
              <w:rPr>
                <w:rFonts w:ascii="Times New Roman" w:hAnsi="Times New Roman" w:cs="Times New Roman"/>
              </w:rPr>
              <w:fldChar w:fldCharType="separate"/>
            </w:r>
            <w:r w:rsidRPr="008C5F1C">
              <w:rPr>
                <w:rFonts w:ascii="Times New Roman" w:hAnsi="Times New Roman" w:cs="Times New Roman"/>
              </w:rPr>
              <w:fldChar w:fldCharType="end"/>
            </w:r>
            <w:r w:rsidRPr="008C5F1C">
              <w:rPr>
                <w:rFonts w:ascii="Times New Roman" w:hAnsi="Times New Roman" w:cs="Times New Roman"/>
              </w:rPr>
              <w:t xml:space="preserve"> </w:t>
            </w:r>
            <w:proofErr w:type="spellStart"/>
            <w:r w:rsidRPr="008C5F1C">
              <w:rPr>
                <w:rFonts w:ascii="Times New Roman" w:hAnsi="Times New Roman" w:cs="Times New Roman"/>
              </w:rPr>
              <w:t>This</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is</w:t>
            </w:r>
            <w:proofErr w:type="spellEnd"/>
            <w:r w:rsidRPr="008C5F1C">
              <w:rPr>
                <w:rFonts w:ascii="Times New Roman" w:hAnsi="Times New Roman" w:cs="Times New Roman"/>
              </w:rPr>
              <w:t xml:space="preserve"> a </w:t>
            </w:r>
            <w:proofErr w:type="spellStart"/>
            <w:r w:rsidRPr="008C5F1C">
              <w:rPr>
                <w:rFonts w:ascii="Times New Roman" w:hAnsi="Times New Roman" w:cs="Times New Roman"/>
              </w:rPr>
              <w:t>priority</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dedicated</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to</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youth</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employment</w:t>
            </w:r>
            <w:proofErr w:type="spellEnd"/>
          </w:p>
        </w:tc>
      </w:tr>
      <w:tr w:rsidR="00653571" w:rsidRPr="008C5F1C" w14:paraId="73D9DEA2" w14:textId="77777777" w:rsidTr="00534127">
        <w:tc>
          <w:tcPr>
            <w:tcW w:w="9322" w:type="dxa"/>
            <w:tcBorders>
              <w:top w:val="single" w:sz="4" w:space="0" w:color="auto"/>
              <w:left w:val="single" w:sz="4" w:space="0" w:color="auto"/>
              <w:bottom w:val="single" w:sz="4" w:space="0" w:color="auto"/>
              <w:right w:val="single" w:sz="4" w:space="0" w:color="auto"/>
            </w:tcBorders>
            <w:hideMark/>
          </w:tcPr>
          <w:p w14:paraId="7941FED3" w14:textId="77777777" w:rsidR="00653571" w:rsidRPr="008C5F1C" w:rsidRDefault="00653571" w:rsidP="00534127">
            <w:pPr>
              <w:rPr>
                <w:rFonts w:ascii="Times New Roman" w:hAnsi="Times New Roman" w:cs="Times New Roman"/>
              </w:rPr>
            </w:pPr>
            <w:r w:rsidRPr="008C5F1C">
              <w:rPr>
                <w:rFonts w:ascii="Times New Roman" w:hAnsi="Times New Roman" w:cs="Times New Roman"/>
              </w:rPr>
              <w:fldChar w:fldCharType="begin">
                <w:ffData>
                  <w:name w:val="Check2"/>
                  <w:enabled/>
                  <w:calcOnExit w:val="0"/>
                  <w:checkBox>
                    <w:sizeAuto/>
                    <w:default w:val="0"/>
                  </w:checkBox>
                </w:ffData>
              </w:fldChar>
            </w:r>
            <w:r w:rsidRPr="008C5F1C">
              <w:rPr>
                <w:rFonts w:ascii="Times New Roman" w:hAnsi="Times New Roman" w:cs="Times New Roman"/>
              </w:rPr>
              <w:instrText xml:space="preserve"> FORMCHECKBOX </w:instrText>
            </w:r>
            <w:r w:rsidR="00AD12F7">
              <w:rPr>
                <w:rFonts w:ascii="Times New Roman" w:hAnsi="Times New Roman" w:cs="Times New Roman"/>
              </w:rPr>
            </w:r>
            <w:r w:rsidR="00AD12F7">
              <w:rPr>
                <w:rFonts w:ascii="Times New Roman" w:hAnsi="Times New Roman" w:cs="Times New Roman"/>
              </w:rPr>
              <w:fldChar w:fldCharType="separate"/>
            </w:r>
            <w:r w:rsidRPr="008C5F1C">
              <w:rPr>
                <w:rFonts w:ascii="Times New Roman" w:hAnsi="Times New Roman" w:cs="Times New Roman"/>
              </w:rPr>
              <w:fldChar w:fldCharType="end"/>
            </w:r>
            <w:r w:rsidRPr="008C5F1C">
              <w:rPr>
                <w:rFonts w:ascii="Times New Roman" w:hAnsi="Times New Roman" w:cs="Times New Roman"/>
              </w:rPr>
              <w:t xml:space="preserve"> </w:t>
            </w:r>
            <w:proofErr w:type="spellStart"/>
            <w:r w:rsidRPr="008C5F1C">
              <w:rPr>
                <w:rFonts w:ascii="Times New Roman" w:hAnsi="Times New Roman" w:cs="Times New Roman"/>
              </w:rPr>
              <w:t>This</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is</w:t>
            </w:r>
            <w:proofErr w:type="spellEnd"/>
            <w:r w:rsidRPr="008C5F1C">
              <w:rPr>
                <w:rFonts w:ascii="Times New Roman" w:hAnsi="Times New Roman" w:cs="Times New Roman"/>
              </w:rPr>
              <w:t xml:space="preserve"> a </w:t>
            </w:r>
            <w:proofErr w:type="spellStart"/>
            <w:r w:rsidRPr="008C5F1C">
              <w:rPr>
                <w:rFonts w:ascii="Times New Roman" w:hAnsi="Times New Roman" w:cs="Times New Roman"/>
              </w:rPr>
              <w:t>priority</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dedicated</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to</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innovative</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actions</w:t>
            </w:r>
            <w:proofErr w:type="spellEnd"/>
          </w:p>
        </w:tc>
      </w:tr>
      <w:tr w:rsidR="00653571" w:rsidRPr="008C5F1C" w14:paraId="6F6F96F8" w14:textId="77777777" w:rsidTr="00534127">
        <w:tc>
          <w:tcPr>
            <w:tcW w:w="9322" w:type="dxa"/>
            <w:tcBorders>
              <w:top w:val="single" w:sz="4" w:space="0" w:color="auto"/>
              <w:left w:val="single" w:sz="4" w:space="0" w:color="auto"/>
              <w:bottom w:val="single" w:sz="4" w:space="0" w:color="auto"/>
              <w:right w:val="single" w:sz="4" w:space="0" w:color="auto"/>
            </w:tcBorders>
            <w:hideMark/>
          </w:tcPr>
          <w:p w14:paraId="083EE1F8" w14:textId="77777777" w:rsidR="00653571" w:rsidRPr="008C5F1C" w:rsidRDefault="00653571" w:rsidP="00534127">
            <w:pPr>
              <w:rPr>
                <w:rFonts w:ascii="Times New Roman" w:hAnsi="Times New Roman" w:cs="Times New Roman"/>
              </w:rPr>
            </w:pPr>
            <w:r w:rsidRPr="008C5F1C">
              <w:rPr>
                <w:rFonts w:ascii="Times New Roman" w:hAnsi="Times New Roman" w:cs="Times New Roman"/>
              </w:rPr>
              <w:fldChar w:fldCharType="begin">
                <w:ffData>
                  <w:name w:val="Check2"/>
                  <w:enabled/>
                  <w:calcOnExit w:val="0"/>
                  <w:checkBox>
                    <w:sizeAuto/>
                    <w:default w:val="0"/>
                  </w:checkBox>
                </w:ffData>
              </w:fldChar>
            </w:r>
            <w:r w:rsidRPr="008C5F1C">
              <w:rPr>
                <w:rFonts w:ascii="Times New Roman" w:hAnsi="Times New Roman" w:cs="Times New Roman"/>
              </w:rPr>
              <w:instrText xml:space="preserve"> FORMCHECKBOX </w:instrText>
            </w:r>
            <w:r w:rsidR="00AD12F7">
              <w:rPr>
                <w:rFonts w:ascii="Times New Roman" w:hAnsi="Times New Roman" w:cs="Times New Roman"/>
              </w:rPr>
            </w:r>
            <w:r w:rsidR="00AD12F7">
              <w:rPr>
                <w:rFonts w:ascii="Times New Roman" w:hAnsi="Times New Roman" w:cs="Times New Roman"/>
              </w:rPr>
              <w:fldChar w:fldCharType="separate"/>
            </w:r>
            <w:r w:rsidRPr="008C5F1C">
              <w:rPr>
                <w:rFonts w:ascii="Times New Roman" w:hAnsi="Times New Roman" w:cs="Times New Roman"/>
              </w:rPr>
              <w:fldChar w:fldCharType="end"/>
            </w:r>
            <w:r w:rsidRPr="008C5F1C">
              <w:rPr>
                <w:rFonts w:ascii="Times New Roman" w:hAnsi="Times New Roman" w:cs="Times New Roman"/>
              </w:rPr>
              <w:t xml:space="preserve"> </w:t>
            </w:r>
            <w:proofErr w:type="spellStart"/>
            <w:r w:rsidRPr="008C5F1C">
              <w:rPr>
                <w:rFonts w:ascii="Times New Roman" w:hAnsi="Times New Roman" w:cs="Times New Roman"/>
              </w:rPr>
              <w:t>This</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is</w:t>
            </w:r>
            <w:proofErr w:type="spellEnd"/>
            <w:r w:rsidRPr="008C5F1C">
              <w:rPr>
                <w:rFonts w:ascii="Times New Roman" w:hAnsi="Times New Roman" w:cs="Times New Roman"/>
              </w:rPr>
              <w:t xml:space="preserve"> a </w:t>
            </w:r>
            <w:proofErr w:type="spellStart"/>
            <w:r w:rsidRPr="008C5F1C">
              <w:rPr>
                <w:rFonts w:ascii="Times New Roman" w:hAnsi="Times New Roman" w:cs="Times New Roman"/>
              </w:rPr>
              <w:t>priority</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dedicated</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to</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support</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to</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the</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most</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deprived</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under</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the</w:t>
            </w:r>
            <w:proofErr w:type="spellEnd"/>
            <w:r w:rsidRPr="008C5F1C">
              <w:rPr>
                <w:rFonts w:ascii="Times New Roman" w:hAnsi="Times New Roman" w:cs="Times New Roman"/>
              </w:rPr>
              <w:t xml:space="preserve"> specific </w:t>
            </w:r>
            <w:proofErr w:type="spellStart"/>
            <w:r w:rsidRPr="008C5F1C">
              <w:rPr>
                <w:rFonts w:ascii="Times New Roman" w:hAnsi="Times New Roman" w:cs="Times New Roman"/>
              </w:rPr>
              <w:t>objective</w:t>
            </w:r>
            <w:proofErr w:type="spellEnd"/>
            <w:r w:rsidRPr="008C5F1C">
              <w:rPr>
                <w:rFonts w:ascii="Times New Roman" w:hAnsi="Times New Roman" w:cs="Times New Roman"/>
              </w:rPr>
              <w:t xml:space="preserve"> set out in </w:t>
            </w:r>
            <w:proofErr w:type="spellStart"/>
            <w:r w:rsidRPr="008C5F1C">
              <w:rPr>
                <w:rFonts w:ascii="Times New Roman" w:hAnsi="Times New Roman" w:cs="Times New Roman"/>
              </w:rPr>
              <w:t>point</w:t>
            </w:r>
            <w:proofErr w:type="spellEnd"/>
            <w:r w:rsidRPr="008C5F1C">
              <w:rPr>
                <w:rFonts w:ascii="Times New Roman" w:hAnsi="Times New Roman" w:cs="Times New Roman"/>
              </w:rPr>
              <w:t xml:space="preserve"> (xi) of </w:t>
            </w:r>
            <w:proofErr w:type="spellStart"/>
            <w:r w:rsidRPr="008C5F1C">
              <w:rPr>
                <w:rFonts w:ascii="Times New Roman" w:hAnsi="Times New Roman" w:cs="Times New Roman"/>
              </w:rPr>
              <w:t>Art</w:t>
            </w:r>
            <w:r w:rsidRPr="008C5F1C">
              <w:rPr>
                <w:rFonts w:ascii="Times New Roman" w:hAnsi="Times New Roman" w:cs="Times New Roman"/>
                <w:bCs/>
              </w:rPr>
              <w:t>i</w:t>
            </w:r>
            <w:r w:rsidRPr="008C5F1C">
              <w:rPr>
                <w:rFonts w:ascii="Times New Roman" w:hAnsi="Times New Roman" w:cs="Times New Roman"/>
              </w:rPr>
              <w:t>cle</w:t>
            </w:r>
            <w:proofErr w:type="spellEnd"/>
            <w:r w:rsidRPr="008C5F1C">
              <w:rPr>
                <w:rFonts w:ascii="Times New Roman" w:hAnsi="Times New Roman" w:cs="Times New Roman"/>
              </w:rPr>
              <w:t xml:space="preserve"> 4(1) of </w:t>
            </w:r>
            <w:proofErr w:type="spellStart"/>
            <w:r w:rsidRPr="008C5F1C">
              <w:rPr>
                <w:rFonts w:ascii="Times New Roman" w:hAnsi="Times New Roman" w:cs="Times New Roman"/>
              </w:rPr>
              <w:t>the</w:t>
            </w:r>
            <w:proofErr w:type="spellEnd"/>
            <w:r w:rsidRPr="008C5F1C">
              <w:rPr>
                <w:rFonts w:ascii="Times New Roman" w:hAnsi="Times New Roman" w:cs="Times New Roman"/>
              </w:rPr>
              <w:t xml:space="preserve"> ESF+ </w:t>
            </w:r>
            <w:proofErr w:type="spellStart"/>
            <w:r w:rsidRPr="008C5F1C">
              <w:rPr>
                <w:rFonts w:ascii="Times New Roman" w:hAnsi="Times New Roman" w:cs="Times New Roman"/>
              </w:rPr>
              <w:t>regulation</w:t>
            </w:r>
            <w:proofErr w:type="spellEnd"/>
            <w:r w:rsidRPr="008C5F1C">
              <w:rPr>
                <w:rFonts w:ascii="Times New Roman" w:hAnsi="Times New Roman" w:cs="Times New Roman"/>
              </w:rPr>
              <w:t>**</w:t>
            </w:r>
          </w:p>
        </w:tc>
      </w:tr>
      <w:tr w:rsidR="00653571" w:rsidRPr="008C5F1C" w14:paraId="394CD8E8" w14:textId="77777777" w:rsidTr="00534127">
        <w:tc>
          <w:tcPr>
            <w:tcW w:w="9322" w:type="dxa"/>
            <w:tcBorders>
              <w:top w:val="single" w:sz="4" w:space="0" w:color="auto"/>
              <w:left w:val="single" w:sz="4" w:space="0" w:color="auto"/>
              <w:bottom w:val="single" w:sz="4" w:space="0" w:color="auto"/>
              <w:right w:val="single" w:sz="4" w:space="0" w:color="auto"/>
            </w:tcBorders>
            <w:hideMark/>
          </w:tcPr>
          <w:p w14:paraId="26FFAAEC" w14:textId="77777777" w:rsidR="00653571" w:rsidRPr="008C5F1C" w:rsidRDefault="00653571" w:rsidP="00534127">
            <w:pPr>
              <w:rPr>
                <w:rFonts w:ascii="Times New Roman" w:hAnsi="Times New Roman" w:cs="Times New Roman"/>
              </w:rPr>
            </w:pPr>
            <w:r w:rsidRPr="008C5F1C">
              <w:rPr>
                <w:rFonts w:ascii="Times New Roman" w:hAnsi="Times New Roman" w:cs="Times New Roman"/>
              </w:rPr>
              <w:fldChar w:fldCharType="begin">
                <w:ffData>
                  <w:name w:val="Check2"/>
                  <w:enabled/>
                  <w:calcOnExit w:val="0"/>
                  <w:checkBox>
                    <w:sizeAuto/>
                    <w:default w:val="0"/>
                  </w:checkBox>
                </w:ffData>
              </w:fldChar>
            </w:r>
            <w:r w:rsidRPr="008C5F1C">
              <w:rPr>
                <w:rFonts w:ascii="Times New Roman" w:hAnsi="Times New Roman" w:cs="Times New Roman"/>
              </w:rPr>
              <w:instrText xml:space="preserve"> FORMCHECKBOX </w:instrText>
            </w:r>
            <w:r w:rsidR="00AD12F7">
              <w:rPr>
                <w:rFonts w:ascii="Times New Roman" w:hAnsi="Times New Roman" w:cs="Times New Roman"/>
              </w:rPr>
            </w:r>
            <w:r w:rsidR="00AD12F7">
              <w:rPr>
                <w:rFonts w:ascii="Times New Roman" w:hAnsi="Times New Roman" w:cs="Times New Roman"/>
              </w:rPr>
              <w:fldChar w:fldCharType="separate"/>
            </w:r>
            <w:r w:rsidRPr="008C5F1C">
              <w:rPr>
                <w:rFonts w:ascii="Times New Roman" w:hAnsi="Times New Roman" w:cs="Times New Roman"/>
              </w:rPr>
              <w:fldChar w:fldCharType="end"/>
            </w:r>
            <w:proofErr w:type="spellStart"/>
            <w:r w:rsidRPr="008C5F1C">
              <w:rPr>
                <w:rFonts w:ascii="Times New Roman" w:hAnsi="Times New Roman" w:cs="Times New Roman"/>
              </w:rPr>
              <w:t>This</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is</w:t>
            </w:r>
            <w:proofErr w:type="spellEnd"/>
            <w:r w:rsidRPr="008C5F1C">
              <w:rPr>
                <w:rFonts w:ascii="Times New Roman" w:hAnsi="Times New Roman" w:cs="Times New Roman"/>
              </w:rPr>
              <w:t xml:space="preserve"> a </w:t>
            </w:r>
            <w:proofErr w:type="spellStart"/>
            <w:r w:rsidRPr="008C5F1C">
              <w:rPr>
                <w:rFonts w:ascii="Times New Roman" w:hAnsi="Times New Roman" w:cs="Times New Roman"/>
              </w:rPr>
              <w:t>priority</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dedicated</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to</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support</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to</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the</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most</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deprived</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under</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the</w:t>
            </w:r>
            <w:proofErr w:type="spellEnd"/>
            <w:r w:rsidRPr="008C5F1C">
              <w:rPr>
                <w:rFonts w:ascii="Times New Roman" w:hAnsi="Times New Roman" w:cs="Times New Roman"/>
              </w:rPr>
              <w:t xml:space="preserve"> specific </w:t>
            </w:r>
            <w:proofErr w:type="spellStart"/>
            <w:r w:rsidRPr="008C5F1C">
              <w:rPr>
                <w:rFonts w:ascii="Times New Roman" w:hAnsi="Times New Roman" w:cs="Times New Roman"/>
              </w:rPr>
              <w:t>objective</w:t>
            </w:r>
            <w:proofErr w:type="spellEnd"/>
            <w:r w:rsidRPr="008C5F1C">
              <w:rPr>
                <w:rFonts w:ascii="Times New Roman" w:hAnsi="Times New Roman" w:cs="Times New Roman"/>
              </w:rPr>
              <w:t xml:space="preserve"> set out in </w:t>
            </w:r>
            <w:proofErr w:type="spellStart"/>
            <w:r w:rsidRPr="008C5F1C">
              <w:rPr>
                <w:rFonts w:ascii="Times New Roman" w:hAnsi="Times New Roman" w:cs="Times New Roman"/>
              </w:rPr>
              <w:t>point</w:t>
            </w:r>
            <w:proofErr w:type="spellEnd"/>
            <w:r w:rsidRPr="008C5F1C">
              <w:rPr>
                <w:rFonts w:ascii="Times New Roman" w:hAnsi="Times New Roman" w:cs="Times New Roman"/>
              </w:rPr>
              <w:t xml:space="preserve"> (x) of </w:t>
            </w:r>
            <w:proofErr w:type="spellStart"/>
            <w:r w:rsidRPr="008C5F1C">
              <w:rPr>
                <w:rFonts w:ascii="Times New Roman" w:hAnsi="Times New Roman" w:cs="Times New Roman"/>
              </w:rPr>
              <w:t>Art</w:t>
            </w:r>
            <w:r w:rsidRPr="008C5F1C">
              <w:rPr>
                <w:rFonts w:ascii="Times New Roman" w:hAnsi="Times New Roman" w:cs="Times New Roman"/>
                <w:bCs/>
              </w:rPr>
              <w:t>i</w:t>
            </w:r>
            <w:r w:rsidRPr="008C5F1C">
              <w:rPr>
                <w:rFonts w:ascii="Times New Roman" w:hAnsi="Times New Roman" w:cs="Times New Roman"/>
              </w:rPr>
              <w:t>cle</w:t>
            </w:r>
            <w:proofErr w:type="spellEnd"/>
            <w:r w:rsidRPr="008C5F1C">
              <w:rPr>
                <w:rFonts w:ascii="Times New Roman" w:hAnsi="Times New Roman" w:cs="Times New Roman"/>
              </w:rPr>
              <w:t xml:space="preserve"> 4(1) of </w:t>
            </w:r>
            <w:proofErr w:type="spellStart"/>
            <w:r w:rsidRPr="008C5F1C">
              <w:rPr>
                <w:rFonts w:ascii="Times New Roman" w:hAnsi="Times New Roman" w:cs="Times New Roman"/>
              </w:rPr>
              <w:t>the</w:t>
            </w:r>
            <w:proofErr w:type="spellEnd"/>
            <w:r w:rsidRPr="008C5F1C">
              <w:rPr>
                <w:rFonts w:ascii="Times New Roman" w:hAnsi="Times New Roman" w:cs="Times New Roman"/>
              </w:rPr>
              <w:t xml:space="preserve"> ESF+ </w:t>
            </w:r>
            <w:proofErr w:type="spellStart"/>
            <w:r w:rsidRPr="008C5F1C">
              <w:rPr>
                <w:rFonts w:ascii="Times New Roman" w:hAnsi="Times New Roman" w:cs="Times New Roman"/>
              </w:rPr>
              <w:t>regulation</w:t>
            </w:r>
            <w:proofErr w:type="spellEnd"/>
            <w:r w:rsidRPr="008C5F1C">
              <w:rPr>
                <w:rFonts w:ascii="Times New Roman" w:hAnsi="Times New Roman" w:cs="Times New Roman"/>
                <w:b/>
                <w:vertAlign w:val="superscript"/>
              </w:rPr>
              <w:footnoteReference w:id="53"/>
            </w:r>
          </w:p>
        </w:tc>
      </w:tr>
    </w:tbl>
    <w:p w14:paraId="542A0676" w14:textId="77777777" w:rsidR="00653571" w:rsidRPr="008C5F1C" w:rsidRDefault="00653571" w:rsidP="00653571">
      <w:pPr>
        <w:rPr>
          <w:rFonts w:ascii="Times New Roman" w:hAnsi="Times New Roman" w:cs="Times New Roman"/>
          <w:i/>
        </w:rPr>
      </w:pPr>
      <w:r w:rsidRPr="008C5F1C">
        <w:rPr>
          <w:rFonts w:ascii="Times New Roman" w:hAnsi="Times New Roman" w:cs="Times New Roman"/>
          <w:i/>
        </w:rPr>
        <w:t xml:space="preserve">* </w:t>
      </w:r>
      <w:proofErr w:type="spellStart"/>
      <w:r w:rsidRPr="008C5F1C">
        <w:rPr>
          <w:rFonts w:ascii="Times New Roman" w:hAnsi="Times New Roman" w:cs="Times New Roman"/>
          <w:i/>
        </w:rPr>
        <w:t>Ticking</w:t>
      </w:r>
      <w:proofErr w:type="spellEnd"/>
      <w:r w:rsidRPr="008C5F1C">
        <w:rPr>
          <w:rFonts w:ascii="Times New Roman" w:hAnsi="Times New Roman" w:cs="Times New Roman"/>
          <w:i/>
        </w:rPr>
        <w:t xml:space="preserve"> box </w:t>
      </w:r>
      <w:proofErr w:type="spellStart"/>
      <w:r w:rsidRPr="008C5F1C">
        <w:rPr>
          <w:rFonts w:ascii="Times New Roman" w:hAnsi="Times New Roman" w:cs="Times New Roman"/>
          <w:i/>
        </w:rPr>
        <w:t>applicable</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to</w:t>
      </w:r>
      <w:proofErr w:type="spellEnd"/>
      <w:r w:rsidRPr="008C5F1C">
        <w:rPr>
          <w:rFonts w:ascii="Times New Roman" w:hAnsi="Times New Roman" w:cs="Times New Roman"/>
          <w:i/>
        </w:rPr>
        <w:t xml:space="preserve"> ESF+ </w:t>
      </w:r>
      <w:proofErr w:type="spellStart"/>
      <w:r w:rsidRPr="008C5F1C">
        <w:rPr>
          <w:rFonts w:ascii="Times New Roman" w:hAnsi="Times New Roman" w:cs="Times New Roman"/>
          <w:i/>
        </w:rPr>
        <w:t>priorities</w:t>
      </w:r>
      <w:proofErr w:type="spellEnd"/>
      <w:r w:rsidRPr="008C5F1C">
        <w:rPr>
          <w:rFonts w:ascii="Times New Roman" w:hAnsi="Times New Roman" w:cs="Times New Roman"/>
          <w:i/>
        </w:rPr>
        <w:t xml:space="preserve">. In case of EMFF, </w:t>
      </w:r>
      <w:proofErr w:type="spellStart"/>
      <w:r w:rsidRPr="008C5F1C">
        <w:rPr>
          <w:rFonts w:ascii="Times New Roman" w:hAnsi="Times New Roman" w:cs="Times New Roman"/>
          <w:i/>
        </w:rPr>
        <w:t>title</w:t>
      </w:r>
      <w:proofErr w:type="spellEnd"/>
      <w:r w:rsidRPr="008C5F1C">
        <w:rPr>
          <w:rFonts w:ascii="Times New Roman" w:hAnsi="Times New Roman" w:cs="Times New Roman"/>
          <w:i/>
        </w:rPr>
        <w:t xml:space="preserve"> of </w:t>
      </w:r>
      <w:proofErr w:type="spellStart"/>
      <w:r w:rsidRPr="008C5F1C">
        <w:rPr>
          <w:rFonts w:ascii="Times New Roman" w:hAnsi="Times New Roman" w:cs="Times New Roman"/>
          <w:i/>
        </w:rPr>
        <w:t>the</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priority</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is</w:t>
      </w:r>
      <w:proofErr w:type="spellEnd"/>
      <w:r w:rsidRPr="008C5F1C">
        <w:rPr>
          <w:rFonts w:ascii="Times New Roman" w:hAnsi="Times New Roman" w:cs="Times New Roman"/>
          <w:i/>
        </w:rPr>
        <w:t xml:space="preserve"> pre-</w:t>
      </w:r>
      <w:proofErr w:type="spellStart"/>
      <w:r w:rsidRPr="008C5F1C">
        <w:rPr>
          <w:rFonts w:ascii="Times New Roman" w:hAnsi="Times New Roman" w:cs="Times New Roman"/>
          <w:i/>
        </w:rPr>
        <w:t>defined</w:t>
      </w:r>
      <w:proofErr w:type="spellEnd"/>
      <w:r w:rsidRPr="008C5F1C">
        <w:rPr>
          <w:rFonts w:ascii="Times New Roman" w:hAnsi="Times New Roman" w:cs="Times New Roman"/>
          <w:i/>
        </w:rPr>
        <w:t>.</w:t>
      </w:r>
    </w:p>
    <w:p w14:paraId="6B46AFF6" w14:textId="77777777" w:rsidR="00653571" w:rsidRPr="008C5F1C" w:rsidRDefault="00653571" w:rsidP="00653571">
      <w:pPr>
        <w:rPr>
          <w:rFonts w:ascii="Times New Roman" w:hAnsi="Times New Roman" w:cs="Times New Roman"/>
          <w:i/>
        </w:rPr>
      </w:pPr>
      <w:r w:rsidRPr="008C5F1C">
        <w:rPr>
          <w:rFonts w:ascii="Times New Roman" w:hAnsi="Times New Roman" w:cs="Times New Roman"/>
          <w:i/>
        </w:rPr>
        <w:t xml:space="preserve">** </w:t>
      </w:r>
      <w:proofErr w:type="spellStart"/>
      <w:r w:rsidRPr="008C5F1C">
        <w:rPr>
          <w:rFonts w:ascii="Times New Roman" w:hAnsi="Times New Roman" w:cs="Times New Roman"/>
          <w:i/>
        </w:rPr>
        <w:t>If</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marked</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go</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to</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section</w:t>
      </w:r>
      <w:proofErr w:type="spellEnd"/>
      <w:r w:rsidRPr="008C5F1C">
        <w:rPr>
          <w:rFonts w:ascii="Times New Roman" w:hAnsi="Times New Roman" w:cs="Times New Roman"/>
          <w:i/>
        </w:rPr>
        <w:t xml:space="preserve"> 2.A.2.a</w:t>
      </w:r>
    </w:p>
    <w:p w14:paraId="11D95B11" w14:textId="77777777" w:rsidR="00653571" w:rsidRPr="008C5F1C" w:rsidRDefault="00653571" w:rsidP="00653571">
      <w:pPr>
        <w:rPr>
          <w:rFonts w:ascii="Times New Roman" w:hAnsi="Times New Roman" w:cs="Times New Roman"/>
          <w:b/>
          <w:iCs/>
        </w:rPr>
      </w:pPr>
      <w:r w:rsidRPr="008C5F1C">
        <w:rPr>
          <w:rFonts w:ascii="Times New Roman" w:hAnsi="Times New Roman" w:cs="Times New Roman"/>
          <w:b/>
          <w:iCs/>
        </w:rPr>
        <w:t xml:space="preserve">2.A.2 Indicative </w:t>
      </w:r>
      <w:proofErr w:type="spellStart"/>
      <w:r w:rsidRPr="008C5F1C">
        <w:rPr>
          <w:rFonts w:ascii="Times New Roman" w:hAnsi="Times New Roman" w:cs="Times New Roman"/>
          <w:b/>
          <w:iCs/>
        </w:rPr>
        <w:t>breakdown</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the</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programmed</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resources</w:t>
      </w:r>
      <w:proofErr w:type="spellEnd"/>
      <w:r w:rsidRPr="008C5F1C">
        <w:rPr>
          <w:rFonts w:ascii="Times New Roman" w:hAnsi="Times New Roman" w:cs="Times New Roman"/>
          <w:b/>
          <w:iCs/>
        </w:rPr>
        <w:t xml:space="preserve"> (EU) </w:t>
      </w:r>
      <w:proofErr w:type="spellStart"/>
      <w:r w:rsidRPr="008C5F1C">
        <w:rPr>
          <w:rFonts w:ascii="Times New Roman" w:hAnsi="Times New Roman" w:cs="Times New Roman"/>
          <w:b/>
          <w:iCs/>
        </w:rPr>
        <w:t>by</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type</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intervention</w:t>
      </w:r>
      <w:proofErr w:type="spellEnd"/>
      <w:r w:rsidRPr="008C5F1C">
        <w:rPr>
          <w:rFonts w:ascii="Times New Roman" w:hAnsi="Times New Roman" w:cs="Times New Roman"/>
          <w:b/>
          <w:iCs/>
        </w:rPr>
        <w:t xml:space="preserve"> </w:t>
      </w:r>
      <w:r w:rsidRPr="008C5F1C">
        <w:rPr>
          <w:rFonts w:ascii="Times New Roman" w:hAnsi="Times New Roman" w:cs="Times New Roman"/>
          <w:iCs/>
        </w:rPr>
        <w:t>(</w:t>
      </w:r>
      <w:proofErr w:type="spellStart"/>
      <w:r w:rsidRPr="008C5F1C">
        <w:rPr>
          <w:rFonts w:ascii="Times New Roman" w:hAnsi="Times New Roman" w:cs="Times New Roman"/>
          <w:iCs/>
        </w:rPr>
        <w:t>not</w:t>
      </w:r>
      <w:proofErr w:type="spellEnd"/>
      <w:r w:rsidRPr="008C5F1C">
        <w:rPr>
          <w:rFonts w:ascii="Times New Roman" w:hAnsi="Times New Roman" w:cs="Times New Roman"/>
          <w:iCs/>
        </w:rPr>
        <w:t xml:space="preserve"> </w:t>
      </w:r>
      <w:proofErr w:type="spellStart"/>
      <w:r w:rsidRPr="008C5F1C">
        <w:rPr>
          <w:rFonts w:ascii="Times New Roman" w:hAnsi="Times New Roman" w:cs="Times New Roman"/>
          <w:iCs/>
        </w:rPr>
        <w:t>applicable</w:t>
      </w:r>
      <w:proofErr w:type="spellEnd"/>
      <w:r w:rsidRPr="008C5F1C">
        <w:rPr>
          <w:rFonts w:ascii="Times New Roman" w:hAnsi="Times New Roman" w:cs="Times New Roman"/>
          <w:iCs/>
        </w:rPr>
        <w:t xml:space="preserve"> </w:t>
      </w:r>
      <w:proofErr w:type="spellStart"/>
      <w:r w:rsidRPr="008C5F1C">
        <w:rPr>
          <w:rFonts w:ascii="Times New Roman" w:hAnsi="Times New Roman" w:cs="Times New Roman"/>
          <w:iCs/>
        </w:rPr>
        <w:t>to</w:t>
      </w:r>
      <w:proofErr w:type="spellEnd"/>
      <w:r w:rsidRPr="008C5F1C">
        <w:rPr>
          <w:rFonts w:ascii="Times New Roman" w:hAnsi="Times New Roman" w:cs="Times New Roman"/>
          <w:iCs/>
        </w:rPr>
        <w:t xml:space="preserve"> </w:t>
      </w:r>
      <w:proofErr w:type="spellStart"/>
      <w:r w:rsidRPr="008C5F1C">
        <w:rPr>
          <w:rFonts w:ascii="Times New Roman" w:hAnsi="Times New Roman" w:cs="Times New Roman"/>
          <w:iCs/>
        </w:rPr>
        <w:t>the</w:t>
      </w:r>
      <w:proofErr w:type="spellEnd"/>
      <w:r w:rsidRPr="008C5F1C">
        <w:rPr>
          <w:rFonts w:ascii="Times New Roman" w:hAnsi="Times New Roman" w:cs="Times New Roman"/>
          <w:iCs/>
        </w:rPr>
        <w:t xml:space="preserve"> EMFF) </w:t>
      </w:r>
      <w:r w:rsidRPr="008C5F1C">
        <w:rPr>
          <w:rFonts w:ascii="Times New Roman" w:hAnsi="Times New Roman" w:cs="Times New Roman"/>
          <w:i/>
        </w:rPr>
        <w:t>[</w:t>
      </w:r>
      <w:proofErr w:type="spellStart"/>
      <w:r w:rsidRPr="008C5F1C">
        <w:rPr>
          <w:rFonts w:ascii="Times New Roman" w:hAnsi="Times New Roman" w:cs="Times New Roman"/>
          <w:i/>
        </w:rPr>
        <w:t>This</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was</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point</w:t>
      </w:r>
      <w:proofErr w:type="spellEnd"/>
      <w:r w:rsidRPr="008C5F1C">
        <w:rPr>
          <w:rFonts w:ascii="Times New Roman" w:hAnsi="Times New Roman" w:cs="Times New Roman"/>
          <w:i/>
        </w:rPr>
        <w:t xml:space="preserve"> 2.1.1.3 in </w:t>
      </w:r>
      <w:proofErr w:type="spellStart"/>
      <w:r w:rsidRPr="008C5F1C">
        <w:rPr>
          <w:rFonts w:ascii="Times New Roman" w:hAnsi="Times New Roman" w:cs="Times New Roman"/>
          <w:i/>
        </w:rPr>
        <w:t>the</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Commission</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proposal</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and</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has</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been</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moved</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up</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following</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changes</w:t>
      </w:r>
      <w:proofErr w:type="spellEnd"/>
      <w:r w:rsidRPr="008C5F1C">
        <w:rPr>
          <w:rFonts w:ascii="Times New Roman" w:hAnsi="Times New Roman" w:cs="Times New Roman"/>
          <w:i/>
        </w:rPr>
        <w:t xml:space="preserve"> in </w:t>
      </w:r>
      <w:proofErr w:type="spellStart"/>
      <w:r w:rsidRPr="008C5F1C">
        <w:rPr>
          <w:rFonts w:ascii="Times New Roman" w:hAnsi="Times New Roman" w:cs="Times New Roman"/>
          <w:i/>
        </w:rPr>
        <w:t>Article</w:t>
      </w:r>
      <w:proofErr w:type="spellEnd"/>
      <w:r w:rsidRPr="008C5F1C">
        <w:rPr>
          <w:rFonts w:ascii="Times New Roman" w:hAnsi="Times New Roman" w:cs="Times New Roman"/>
          <w:i/>
        </w:rPr>
        <w:t xml:space="preserve"> 17(3)(c) CPR]</w:t>
      </w:r>
    </w:p>
    <w:p w14:paraId="5A8767D3" w14:textId="77777777" w:rsidR="00653571" w:rsidRPr="008C5F1C" w:rsidRDefault="00653571" w:rsidP="00653571">
      <w:pPr>
        <w:rPr>
          <w:rFonts w:ascii="Times New Roman" w:hAnsi="Times New Roman" w:cs="Times New Roman"/>
          <w:b/>
          <w:i/>
          <w:iCs/>
        </w:rPr>
      </w:pPr>
      <w:proofErr w:type="spellStart"/>
      <w:r w:rsidRPr="008C5F1C">
        <w:rPr>
          <w:rFonts w:ascii="Times New Roman" w:hAnsi="Times New Roman" w:cs="Times New Roman"/>
          <w:i/>
        </w:rPr>
        <w:t>Reference</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Article</w:t>
      </w:r>
      <w:proofErr w:type="spellEnd"/>
      <w:r w:rsidRPr="008C5F1C">
        <w:rPr>
          <w:rFonts w:ascii="Times New Roman" w:hAnsi="Times New Roman" w:cs="Times New Roman"/>
          <w:i/>
        </w:rPr>
        <w:t xml:space="preserve"> 17(3)(c) CPR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
        <w:gridCol w:w="846"/>
        <w:gridCol w:w="1271"/>
        <w:gridCol w:w="4411"/>
        <w:gridCol w:w="2131"/>
        <w:gridCol w:w="6"/>
      </w:tblGrid>
      <w:tr w:rsidR="00653571" w:rsidRPr="008C5F1C" w14:paraId="7D269441" w14:textId="77777777" w:rsidTr="009F3E76">
        <w:tc>
          <w:tcPr>
            <w:tcW w:w="9628" w:type="dxa"/>
            <w:gridSpan w:val="6"/>
            <w:tcBorders>
              <w:top w:val="single" w:sz="4" w:space="0" w:color="auto"/>
              <w:left w:val="single" w:sz="4" w:space="0" w:color="auto"/>
              <w:bottom w:val="single" w:sz="4" w:space="0" w:color="auto"/>
              <w:right w:val="single" w:sz="4" w:space="0" w:color="auto"/>
            </w:tcBorders>
            <w:hideMark/>
          </w:tcPr>
          <w:p w14:paraId="17A702E4"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Table 4: </w:t>
            </w:r>
            <w:proofErr w:type="spellStart"/>
            <w:r w:rsidRPr="008C5F1C">
              <w:rPr>
                <w:rFonts w:ascii="Times New Roman" w:hAnsi="Times New Roman" w:cs="Times New Roman"/>
                <w:b/>
                <w:iCs/>
              </w:rPr>
              <w:t>Dimension</w:t>
            </w:r>
            <w:proofErr w:type="spellEnd"/>
            <w:r w:rsidRPr="008C5F1C">
              <w:rPr>
                <w:rFonts w:ascii="Times New Roman" w:hAnsi="Times New Roman" w:cs="Times New Roman"/>
                <w:b/>
                <w:iCs/>
              </w:rPr>
              <w:t xml:space="preserve"> 1 – </w:t>
            </w:r>
            <w:proofErr w:type="spellStart"/>
            <w:r w:rsidRPr="008C5F1C">
              <w:rPr>
                <w:rFonts w:ascii="Times New Roman" w:hAnsi="Times New Roman" w:cs="Times New Roman"/>
                <w:b/>
                <w:iCs/>
              </w:rPr>
              <w:t>intervention</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field</w:t>
            </w:r>
            <w:proofErr w:type="spellEnd"/>
          </w:p>
        </w:tc>
      </w:tr>
      <w:tr w:rsidR="00653571" w:rsidRPr="008C5F1C" w14:paraId="6F0C733F" w14:textId="77777777" w:rsidTr="006C2FE4">
        <w:trPr>
          <w:gridAfter w:val="1"/>
          <w:wAfter w:w="6" w:type="dxa"/>
          <w:trHeight w:val="627"/>
        </w:trPr>
        <w:tc>
          <w:tcPr>
            <w:tcW w:w="963" w:type="dxa"/>
            <w:tcBorders>
              <w:top w:val="single" w:sz="4" w:space="0" w:color="auto"/>
              <w:left w:val="single" w:sz="4" w:space="0" w:color="auto"/>
              <w:bottom w:val="single" w:sz="4" w:space="0" w:color="auto"/>
              <w:right w:val="single" w:sz="4" w:space="0" w:color="auto"/>
            </w:tcBorders>
            <w:hideMark/>
          </w:tcPr>
          <w:p w14:paraId="4C1280FE"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Priority</w:t>
            </w:r>
            <w:proofErr w:type="spellEnd"/>
            <w:r w:rsidRPr="008C5F1C">
              <w:rPr>
                <w:rFonts w:ascii="Times New Roman" w:hAnsi="Times New Roman" w:cs="Times New Roman"/>
                <w:b/>
                <w:iCs/>
              </w:rPr>
              <w:t xml:space="preserve"> No</w:t>
            </w:r>
          </w:p>
        </w:tc>
        <w:tc>
          <w:tcPr>
            <w:tcW w:w="846" w:type="dxa"/>
            <w:tcBorders>
              <w:top w:val="single" w:sz="4" w:space="0" w:color="auto"/>
              <w:left w:val="single" w:sz="4" w:space="0" w:color="auto"/>
              <w:bottom w:val="single" w:sz="4" w:space="0" w:color="auto"/>
              <w:right w:val="single" w:sz="4" w:space="0" w:color="auto"/>
            </w:tcBorders>
            <w:hideMark/>
          </w:tcPr>
          <w:p w14:paraId="7CEB6204"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Fund</w:t>
            </w:r>
          </w:p>
        </w:tc>
        <w:tc>
          <w:tcPr>
            <w:tcW w:w="1271" w:type="dxa"/>
            <w:tcBorders>
              <w:top w:val="single" w:sz="4" w:space="0" w:color="auto"/>
              <w:left w:val="single" w:sz="4" w:space="0" w:color="auto"/>
              <w:bottom w:val="single" w:sz="4" w:space="0" w:color="auto"/>
              <w:right w:val="single" w:sz="4" w:space="0" w:color="auto"/>
            </w:tcBorders>
            <w:hideMark/>
          </w:tcPr>
          <w:p w14:paraId="6D1C3A2C"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Category</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region</w:t>
            </w:r>
            <w:proofErr w:type="spellEnd"/>
            <w:r w:rsidRPr="008C5F1C">
              <w:rPr>
                <w:rFonts w:ascii="Times New Roman" w:hAnsi="Times New Roman" w:cs="Times New Roman"/>
                <w:b/>
                <w:iCs/>
                <w:vertAlign w:val="superscript"/>
              </w:rPr>
              <w:footnoteReference w:id="54"/>
            </w:r>
          </w:p>
        </w:tc>
        <w:tc>
          <w:tcPr>
            <w:tcW w:w="4411" w:type="dxa"/>
            <w:tcBorders>
              <w:top w:val="single" w:sz="4" w:space="0" w:color="auto"/>
              <w:left w:val="single" w:sz="4" w:space="0" w:color="auto"/>
              <w:bottom w:val="single" w:sz="4" w:space="0" w:color="auto"/>
              <w:right w:val="single" w:sz="4" w:space="0" w:color="auto"/>
            </w:tcBorders>
            <w:hideMark/>
          </w:tcPr>
          <w:p w14:paraId="6EF09A99"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Code </w:t>
            </w:r>
          </w:p>
        </w:tc>
        <w:tc>
          <w:tcPr>
            <w:tcW w:w="2131" w:type="dxa"/>
            <w:tcBorders>
              <w:top w:val="single" w:sz="4" w:space="0" w:color="auto"/>
              <w:left w:val="single" w:sz="4" w:space="0" w:color="auto"/>
              <w:bottom w:val="single" w:sz="4" w:space="0" w:color="auto"/>
              <w:right w:val="single" w:sz="4" w:space="0" w:color="auto"/>
            </w:tcBorders>
            <w:hideMark/>
          </w:tcPr>
          <w:p w14:paraId="1F67E016"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Amount</w:t>
            </w:r>
            <w:proofErr w:type="spellEnd"/>
            <w:r w:rsidRPr="008C5F1C">
              <w:rPr>
                <w:rFonts w:ascii="Times New Roman" w:hAnsi="Times New Roman" w:cs="Times New Roman"/>
                <w:b/>
                <w:iCs/>
              </w:rPr>
              <w:t xml:space="preserve"> (EUR)</w:t>
            </w:r>
          </w:p>
        </w:tc>
      </w:tr>
      <w:tr w:rsidR="00E453CE" w:rsidRPr="008C5F1C" w14:paraId="22268643" w14:textId="77777777" w:rsidTr="00F43642">
        <w:trPr>
          <w:gridAfter w:val="1"/>
          <w:wAfter w:w="6" w:type="dxa"/>
          <w:trHeight w:val="269"/>
        </w:trPr>
        <w:tc>
          <w:tcPr>
            <w:tcW w:w="963" w:type="dxa"/>
            <w:vMerge w:val="restart"/>
            <w:tcBorders>
              <w:top w:val="single" w:sz="4" w:space="0" w:color="auto"/>
              <w:left w:val="single" w:sz="4" w:space="0" w:color="auto"/>
              <w:right w:val="single" w:sz="4" w:space="0" w:color="auto"/>
            </w:tcBorders>
          </w:tcPr>
          <w:p w14:paraId="4BAE2E20" w14:textId="77777777" w:rsidR="00E453CE" w:rsidRPr="008C5F1C" w:rsidRDefault="00E453CE" w:rsidP="008D169D">
            <w:pPr>
              <w:rPr>
                <w:rFonts w:ascii="Times New Roman" w:hAnsi="Times New Roman" w:cs="Times New Roman"/>
                <w:b/>
                <w:bCs/>
                <w:iCs/>
              </w:rPr>
            </w:pPr>
            <w:r w:rsidRPr="008C5F1C">
              <w:rPr>
                <w:rFonts w:ascii="Times New Roman" w:hAnsi="Times New Roman" w:cs="Times New Roman"/>
                <w:b/>
                <w:bCs/>
                <w:iCs/>
              </w:rPr>
              <w:t>4</w:t>
            </w:r>
          </w:p>
        </w:tc>
        <w:tc>
          <w:tcPr>
            <w:tcW w:w="846" w:type="dxa"/>
            <w:vMerge w:val="restart"/>
            <w:tcBorders>
              <w:top w:val="single" w:sz="4" w:space="0" w:color="auto"/>
              <w:left w:val="single" w:sz="4" w:space="0" w:color="auto"/>
              <w:right w:val="single" w:sz="4" w:space="0" w:color="auto"/>
            </w:tcBorders>
          </w:tcPr>
          <w:p w14:paraId="742C4D60" w14:textId="130F793E" w:rsidR="00E453CE" w:rsidRPr="008C5F1C" w:rsidRDefault="00E453CE" w:rsidP="008D169D">
            <w:pPr>
              <w:rPr>
                <w:rFonts w:ascii="Times New Roman" w:hAnsi="Times New Roman" w:cs="Times New Roman"/>
                <w:b/>
                <w:iCs/>
              </w:rPr>
            </w:pPr>
            <w:r w:rsidRPr="008C5F1C">
              <w:rPr>
                <w:rFonts w:ascii="Times New Roman" w:hAnsi="Times New Roman" w:cs="Times New Roman"/>
                <w:b/>
                <w:iCs/>
              </w:rPr>
              <w:t>ERDF</w:t>
            </w:r>
          </w:p>
        </w:tc>
        <w:tc>
          <w:tcPr>
            <w:tcW w:w="1271" w:type="dxa"/>
            <w:vMerge w:val="restart"/>
            <w:tcBorders>
              <w:top w:val="single" w:sz="4" w:space="0" w:color="auto"/>
              <w:left w:val="single" w:sz="4" w:space="0" w:color="auto"/>
              <w:right w:val="single" w:sz="4" w:space="0" w:color="auto"/>
            </w:tcBorders>
          </w:tcPr>
          <w:p w14:paraId="62A14E37" w14:textId="77777777" w:rsidR="00E453CE" w:rsidRPr="008C5F1C" w:rsidRDefault="00E453CE" w:rsidP="008D169D">
            <w:pPr>
              <w:rPr>
                <w:rFonts w:ascii="Times New Roman" w:hAnsi="Times New Roman" w:cs="Times New Roman"/>
                <w:b/>
                <w:iCs/>
              </w:rPr>
            </w:pPr>
            <w:proofErr w:type="spellStart"/>
            <w:r w:rsidRPr="008C5F1C">
              <w:rPr>
                <w:rFonts w:ascii="Times New Roman" w:hAnsi="Times New Roman" w:cs="Times New Roman"/>
                <w:b/>
                <w:iCs/>
              </w:rPr>
              <w:t>Less</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developed</w:t>
            </w:r>
            <w:proofErr w:type="spellEnd"/>
          </w:p>
        </w:tc>
        <w:tc>
          <w:tcPr>
            <w:tcW w:w="4411" w:type="dxa"/>
            <w:tcBorders>
              <w:top w:val="single" w:sz="4" w:space="0" w:color="auto"/>
              <w:left w:val="single" w:sz="4" w:space="0" w:color="auto"/>
              <w:right w:val="single" w:sz="4" w:space="0" w:color="auto"/>
            </w:tcBorders>
          </w:tcPr>
          <w:p w14:paraId="61427503" w14:textId="77777777" w:rsidR="00E453CE" w:rsidRPr="008C5F1C" w:rsidRDefault="00E453CE" w:rsidP="001A64EA">
            <w:pPr>
              <w:spacing w:after="120" w:line="240" w:lineRule="auto"/>
              <w:rPr>
                <w:rFonts w:ascii="Times New Roman" w:hAnsi="Times New Roman" w:cs="Times New Roman"/>
                <w:b/>
                <w:iCs/>
              </w:rPr>
            </w:pPr>
            <w:r w:rsidRPr="008C5F1C">
              <w:rPr>
                <w:rFonts w:ascii="Times New Roman" w:hAnsi="Times New Roman" w:cs="Times New Roman"/>
                <w:b/>
                <w:iCs/>
              </w:rPr>
              <w:t xml:space="preserve">058 </w:t>
            </w:r>
            <w:r w:rsidRPr="00533593">
              <w:rPr>
                <w:rFonts w:ascii="Times New Roman" w:hAnsi="Times New Roman" w:cs="Times New Roman"/>
                <w:noProof/>
                <w:sz w:val="20"/>
                <w:szCs w:val="20"/>
              </w:rPr>
              <w:t>Legături rutiere secundare nou construite către rețeaua rutieră și nodurile TEN-T</w:t>
            </w:r>
          </w:p>
        </w:tc>
        <w:tc>
          <w:tcPr>
            <w:tcW w:w="2131" w:type="dxa"/>
            <w:vMerge w:val="restart"/>
            <w:tcBorders>
              <w:top w:val="single" w:sz="4" w:space="0" w:color="auto"/>
              <w:left w:val="single" w:sz="4" w:space="0" w:color="auto"/>
              <w:right w:val="single" w:sz="4" w:space="0" w:color="auto"/>
            </w:tcBorders>
            <w:vAlign w:val="center"/>
          </w:tcPr>
          <w:p w14:paraId="4D8FD68C" w14:textId="79C5B2F1" w:rsidR="00E453CE" w:rsidRPr="008C5F1C" w:rsidRDefault="00FE6610" w:rsidP="008D169D">
            <w:pPr>
              <w:jc w:val="right"/>
              <w:rPr>
                <w:rFonts w:ascii="Times New Roman" w:hAnsi="Times New Roman" w:cs="Times New Roman"/>
                <w:b/>
                <w:iCs/>
              </w:rPr>
            </w:pPr>
            <w:r w:rsidRPr="008C5F1C">
              <w:rPr>
                <w:rFonts w:ascii="Times New Roman" w:hAnsi="Times New Roman" w:cs="Times New Roman"/>
                <w:b/>
                <w:bCs/>
              </w:rPr>
              <w:t>174.231</w:t>
            </w:r>
            <w:r w:rsidR="006E0B48" w:rsidRPr="008C5F1C">
              <w:rPr>
                <w:rFonts w:ascii="Times New Roman" w:hAnsi="Times New Roman" w:cs="Times New Roman"/>
                <w:b/>
                <w:bCs/>
              </w:rPr>
              <w:t>.</w:t>
            </w:r>
            <w:r w:rsidRPr="008C5F1C">
              <w:rPr>
                <w:rFonts w:ascii="Times New Roman" w:hAnsi="Times New Roman" w:cs="Times New Roman"/>
                <w:b/>
                <w:bCs/>
              </w:rPr>
              <w:t>901</w:t>
            </w:r>
            <w:r w:rsidR="00E453CE" w:rsidRPr="008C5F1C">
              <w:rPr>
                <w:rFonts w:ascii="Times New Roman" w:hAnsi="Times New Roman" w:cs="Times New Roman"/>
                <w:b/>
                <w:bCs/>
              </w:rPr>
              <w:t xml:space="preserve"> </w:t>
            </w:r>
          </w:p>
        </w:tc>
      </w:tr>
      <w:tr w:rsidR="00E453CE" w:rsidRPr="008C5F1C" w14:paraId="64533216" w14:textId="77777777" w:rsidTr="00E453CE">
        <w:trPr>
          <w:gridAfter w:val="1"/>
          <w:wAfter w:w="6" w:type="dxa"/>
          <w:trHeight w:val="415"/>
        </w:trPr>
        <w:tc>
          <w:tcPr>
            <w:tcW w:w="963" w:type="dxa"/>
            <w:vMerge/>
            <w:tcBorders>
              <w:left w:val="single" w:sz="4" w:space="0" w:color="auto"/>
              <w:right w:val="single" w:sz="4" w:space="0" w:color="auto"/>
            </w:tcBorders>
          </w:tcPr>
          <w:p w14:paraId="3AF9842B" w14:textId="77777777" w:rsidR="00E453CE" w:rsidRPr="008C5F1C" w:rsidRDefault="00E453CE" w:rsidP="008D169D">
            <w:pPr>
              <w:rPr>
                <w:rFonts w:ascii="Times New Roman" w:hAnsi="Times New Roman" w:cs="Times New Roman"/>
                <w:b/>
                <w:bCs/>
                <w:iCs/>
              </w:rPr>
            </w:pPr>
          </w:p>
        </w:tc>
        <w:tc>
          <w:tcPr>
            <w:tcW w:w="846" w:type="dxa"/>
            <w:vMerge/>
            <w:tcBorders>
              <w:left w:val="single" w:sz="4" w:space="0" w:color="auto"/>
              <w:right w:val="single" w:sz="4" w:space="0" w:color="auto"/>
            </w:tcBorders>
          </w:tcPr>
          <w:p w14:paraId="11503892" w14:textId="4A04355B" w:rsidR="00E453CE" w:rsidRPr="008C5F1C" w:rsidRDefault="00E453CE" w:rsidP="008D169D">
            <w:pPr>
              <w:rPr>
                <w:rFonts w:ascii="Times New Roman" w:hAnsi="Times New Roman" w:cs="Times New Roman"/>
                <w:b/>
                <w:iCs/>
              </w:rPr>
            </w:pPr>
          </w:p>
        </w:tc>
        <w:tc>
          <w:tcPr>
            <w:tcW w:w="1271" w:type="dxa"/>
            <w:vMerge/>
            <w:tcBorders>
              <w:left w:val="single" w:sz="4" w:space="0" w:color="auto"/>
              <w:right w:val="single" w:sz="4" w:space="0" w:color="auto"/>
            </w:tcBorders>
          </w:tcPr>
          <w:p w14:paraId="4D96EF70" w14:textId="77777777" w:rsidR="00E453CE" w:rsidRPr="008C5F1C" w:rsidRDefault="00E453CE" w:rsidP="008D169D">
            <w:pPr>
              <w:rPr>
                <w:rFonts w:ascii="Times New Roman" w:hAnsi="Times New Roman" w:cs="Times New Roman"/>
                <w:b/>
                <w:iCs/>
              </w:rPr>
            </w:pPr>
          </w:p>
        </w:tc>
        <w:tc>
          <w:tcPr>
            <w:tcW w:w="4411" w:type="dxa"/>
            <w:tcBorders>
              <w:top w:val="single" w:sz="4" w:space="0" w:color="auto"/>
              <w:left w:val="single" w:sz="4" w:space="0" w:color="auto"/>
              <w:right w:val="single" w:sz="4" w:space="0" w:color="auto"/>
            </w:tcBorders>
          </w:tcPr>
          <w:p w14:paraId="326C7095" w14:textId="77777777" w:rsidR="00E453CE" w:rsidRPr="008C5F1C" w:rsidRDefault="00E453CE" w:rsidP="001A64EA">
            <w:pPr>
              <w:spacing w:after="120" w:line="240" w:lineRule="auto"/>
              <w:rPr>
                <w:rFonts w:ascii="Times New Roman" w:hAnsi="Times New Roman" w:cs="Times New Roman"/>
                <w:b/>
                <w:iCs/>
              </w:rPr>
            </w:pPr>
            <w:r w:rsidRPr="008C5F1C">
              <w:rPr>
                <w:rFonts w:ascii="Times New Roman" w:hAnsi="Times New Roman" w:cs="Times New Roman"/>
                <w:b/>
                <w:iCs/>
              </w:rPr>
              <w:t xml:space="preserve">059 </w:t>
            </w:r>
            <w:r w:rsidRPr="00533593">
              <w:rPr>
                <w:rFonts w:ascii="Times New Roman" w:hAnsi="Times New Roman" w:cs="Times New Roman"/>
                <w:noProof/>
                <w:sz w:val="20"/>
                <w:szCs w:val="20"/>
              </w:rPr>
              <w:t>Alte drumuri de acces naționale, regionale și locale nou construite</w:t>
            </w:r>
          </w:p>
        </w:tc>
        <w:tc>
          <w:tcPr>
            <w:tcW w:w="2131" w:type="dxa"/>
            <w:vMerge/>
            <w:tcBorders>
              <w:left w:val="single" w:sz="4" w:space="0" w:color="auto"/>
              <w:right w:val="single" w:sz="4" w:space="0" w:color="auto"/>
            </w:tcBorders>
            <w:vAlign w:val="center"/>
          </w:tcPr>
          <w:p w14:paraId="0527D641" w14:textId="1727DDCD" w:rsidR="00E453CE" w:rsidRPr="008C5F1C" w:rsidRDefault="00E453CE" w:rsidP="008D169D">
            <w:pPr>
              <w:jc w:val="right"/>
              <w:rPr>
                <w:rFonts w:ascii="Times New Roman" w:hAnsi="Times New Roman" w:cs="Times New Roman"/>
                <w:b/>
                <w:iCs/>
              </w:rPr>
            </w:pPr>
          </w:p>
        </w:tc>
      </w:tr>
      <w:tr w:rsidR="00E453CE" w:rsidRPr="008C5F1C" w14:paraId="146657AC" w14:textId="77777777" w:rsidTr="00F43642">
        <w:trPr>
          <w:gridAfter w:val="1"/>
          <w:wAfter w:w="6" w:type="dxa"/>
          <w:trHeight w:val="675"/>
        </w:trPr>
        <w:tc>
          <w:tcPr>
            <w:tcW w:w="963" w:type="dxa"/>
            <w:vMerge/>
            <w:tcBorders>
              <w:left w:val="single" w:sz="4" w:space="0" w:color="auto"/>
              <w:bottom w:val="single" w:sz="4" w:space="0" w:color="auto"/>
              <w:right w:val="single" w:sz="4" w:space="0" w:color="auto"/>
            </w:tcBorders>
          </w:tcPr>
          <w:p w14:paraId="66B551DA" w14:textId="77777777" w:rsidR="00E453CE" w:rsidRPr="008C5F1C" w:rsidRDefault="00E453CE" w:rsidP="008D169D">
            <w:pPr>
              <w:rPr>
                <w:rFonts w:ascii="Times New Roman" w:hAnsi="Times New Roman" w:cs="Times New Roman"/>
                <w:b/>
                <w:bCs/>
                <w:iCs/>
              </w:rPr>
            </w:pPr>
          </w:p>
        </w:tc>
        <w:tc>
          <w:tcPr>
            <w:tcW w:w="846" w:type="dxa"/>
            <w:vMerge/>
            <w:tcBorders>
              <w:left w:val="single" w:sz="4" w:space="0" w:color="auto"/>
              <w:bottom w:val="single" w:sz="4" w:space="0" w:color="auto"/>
              <w:right w:val="single" w:sz="4" w:space="0" w:color="auto"/>
            </w:tcBorders>
          </w:tcPr>
          <w:p w14:paraId="55120C8F" w14:textId="689DEDEC" w:rsidR="00E453CE" w:rsidRPr="008C5F1C" w:rsidRDefault="00E453CE" w:rsidP="008D169D">
            <w:pPr>
              <w:rPr>
                <w:rFonts w:ascii="Times New Roman" w:hAnsi="Times New Roman" w:cs="Times New Roman"/>
                <w:b/>
                <w:iCs/>
              </w:rPr>
            </w:pPr>
          </w:p>
        </w:tc>
        <w:tc>
          <w:tcPr>
            <w:tcW w:w="1271" w:type="dxa"/>
            <w:vMerge/>
            <w:tcBorders>
              <w:left w:val="single" w:sz="4" w:space="0" w:color="auto"/>
              <w:bottom w:val="single" w:sz="4" w:space="0" w:color="auto"/>
              <w:right w:val="single" w:sz="4" w:space="0" w:color="auto"/>
            </w:tcBorders>
          </w:tcPr>
          <w:p w14:paraId="3078A729" w14:textId="77777777" w:rsidR="00E453CE" w:rsidRPr="008C5F1C" w:rsidRDefault="00E453CE" w:rsidP="008D169D">
            <w:pPr>
              <w:rPr>
                <w:rFonts w:ascii="Times New Roman" w:hAnsi="Times New Roman" w:cs="Times New Roman"/>
                <w:b/>
                <w:iCs/>
              </w:rPr>
            </w:pPr>
          </w:p>
        </w:tc>
        <w:tc>
          <w:tcPr>
            <w:tcW w:w="4411" w:type="dxa"/>
            <w:tcBorders>
              <w:top w:val="single" w:sz="4" w:space="0" w:color="auto"/>
              <w:left w:val="single" w:sz="4" w:space="0" w:color="auto"/>
              <w:bottom w:val="single" w:sz="4" w:space="0" w:color="auto"/>
              <w:right w:val="single" w:sz="4" w:space="0" w:color="auto"/>
            </w:tcBorders>
          </w:tcPr>
          <w:p w14:paraId="1FB1A83D" w14:textId="77777777" w:rsidR="00E453CE" w:rsidRPr="008C5F1C" w:rsidRDefault="00E453CE" w:rsidP="001A64EA">
            <w:pPr>
              <w:spacing w:after="120" w:line="240" w:lineRule="auto"/>
              <w:rPr>
                <w:rFonts w:ascii="Times New Roman" w:hAnsi="Times New Roman" w:cs="Times New Roman"/>
                <w:b/>
                <w:iCs/>
              </w:rPr>
            </w:pPr>
            <w:r w:rsidRPr="008C5F1C">
              <w:rPr>
                <w:rFonts w:ascii="Times New Roman" w:hAnsi="Times New Roman" w:cs="Times New Roman"/>
                <w:b/>
                <w:iCs/>
              </w:rPr>
              <w:t xml:space="preserve">062 </w:t>
            </w:r>
            <w:r w:rsidRPr="00533593">
              <w:rPr>
                <w:rFonts w:ascii="Times New Roman" w:hAnsi="Times New Roman" w:cs="Times New Roman"/>
                <w:noProof/>
                <w:sz w:val="20"/>
                <w:szCs w:val="20"/>
              </w:rPr>
              <w:t>Alte drumuri reconstruite sau îmbunătățite (autostrăzi, drumuri naționale, regionale sau locale)</w:t>
            </w:r>
          </w:p>
        </w:tc>
        <w:tc>
          <w:tcPr>
            <w:tcW w:w="2131" w:type="dxa"/>
            <w:vMerge/>
            <w:tcBorders>
              <w:left w:val="single" w:sz="4" w:space="0" w:color="auto"/>
              <w:bottom w:val="single" w:sz="4" w:space="0" w:color="auto"/>
              <w:right w:val="single" w:sz="4" w:space="0" w:color="auto"/>
            </w:tcBorders>
            <w:vAlign w:val="center"/>
          </w:tcPr>
          <w:p w14:paraId="7D8FE58D" w14:textId="6F74C222" w:rsidR="00E453CE" w:rsidRPr="008C5F1C" w:rsidRDefault="00E453CE" w:rsidP="008D169D">
            <w:pPr>
              <w:jc w:val="right"/>
              <w:rPr>
                <w:rFonts w:ascii="Times New Roman" w:hAnsi="Times New Roman" w:cs="Times New Roman"/>
                <w:b/>
                <w:iCs/>
              </w:rPr>
            </w:pPr>
          </w:p>
        </w:tc>
      </w:tr>
    </w:tbl>
    <w:p w14:paraId="353E284B" w14:textId="77777777" w:rsidR="00653571" w:rsidRPr="008C5F1C" w:rsidRDefault="00653571" w:rsidP="00653571">
      <w:pP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2399"/>
        <w:gridCol w:w="1672"/>
        <w:gridCol w:w="2175"/>
      </w:tblGrid>
      <w:tr w:rsidR="00653571" w:rsidRPr="008C5F1C" w14:paraId="0D8D57D1" w14:textId="77777777" w:rsidTr="00BD6E8F">
        <w:tc>
          <w:tcPr>
            <w:tcW w:w="9229" w:type="dxa"/>
            <w:gridSpan w:val="5"/>
            <w:tcBorders>
              <w:top w:val="single" w:sz="4" w:space="0" w:color="auto"/>
              <w:left w:val="single" w:sz="4" w:space="0" w:color="auto"/>
              <w:bottom w:val="single" w:sz="4" w:space="0" w:color="auto"/>
              <w:right w:val="single" w:sz="4" w:space="0" w:color="auto"/>
            </w:tcBorders>
            <w:hideMark/>
          </w:tcPr>
          <w:p w14:paraId="2C9C91AD"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Table 5: </w:t>
            </w:r>
            <w:proofErr w:type="spellStart"/>
            <w:r w:rsidRPr="008C5F1C">
              <w:rPr>
                <w:rFonts w:ascii="Times New Roman" w:hAnsi="Times New Roman" w:cs="Times New Roman"/>
                <w:b/>
                <w:iCs/>
              </w:rPr>
              <w:t>Dimension</w:t>
            </w:r>
            <w:proofErr w:type="spellEnd"/>
            <w:r w:rsidRPr="008C5F1C">
              <w:rPr>
                <w:rFonts w:ascii="Times New Roman" w:hAnsi="Times New Roman" w:cs="Times New Roman"/>
                <w:b/>
                <w:iCs/>
              </w:rPr>
              <w:t xml:space="preserve"> 2 – </w:t>
            </w:r>
            <w:proofErr w:type="spellStart"/>
            <w:r w:rsidRPr="008C5F1C">
              <w:rPr>
                <w:rFonts w:ascii="Times New Roman" w:hAnsi="Times New Roman" w:cs="Times New Roman"/>
                <w:b/>
                <w:iCs/>
              </w:rPr>
              <w:t>form</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support</w:t>
            </w:r>
            <w:proofErr w:type="spellEnd"/>
          </w:p>
        </w:tc>
      </w:tr>
      <w:tr w:rsidR="00653571" w:rsidRPr="008C5F1C" w14:paraId="2B61D727" w14:textId="77777777" w:rsidTr="00BD6E8F">
        <w:tc>
          <w:tcPr>
            <w:tcW w:w="1599" w:type="dxa"/>
            <w:tcBorders>
              <w:top w:val="single" w:sz="4" w:space="0" w:color="auto"/>
              <w:left w:val="single" w:sz="4" w:space="0" w:color="auto"/>
              <w:bottom w:val="single" w:sz="4" w:space="0" w:color="auto"/>
              <w:right w:val="single" w:sz="4" w:space="0" w:color="auto"/>
            </w:tcBorders>
            <w:hideMark/>
          </w:tcPr>
          <w:p w14:paraId="026EA8B9"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Priority</w:t>
            </w:r>
            <w:proofErr w:type="spellEnd"/>
            <w:r w:rsidRPr="008C5F1C">
              <w:rPr>
                <w:rFonts w:ascii="Times New Roman" w:hAnsi="Times New Roman" w:cs="Times New Roman"/>
                <w:b/>
                <w:iCs/>
              </w:rPr>
              <w:t xml:space="preserve"> No</w:t>
            </w:r>
          </w:p>
        </w:tc>
        <w:tc>
          <w:tcPr>
            <w:tcW w:w="1384" w:type="dxa"/>
            <w:tcBorders>
              <w:top w:val="single" w:sz="4" w:space="0" w:color="auto"/>
              <w:left w:val="single" w:sz="4" w:space="0" w:color="auto"/>
              <w:bottom w:val="single" w:sz="4" w:space="0" w:color="auto"/>
              <w:right w:val="single" w:sz="4" w:space="0" w:color="auto"/>
            </w:tcBorders>
            <w:hideMark/>
          </w:tcPr>
          <w:p w14:paraId="6A4B72BB"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Fund</w:t>
            </w:r>
          </w:p>
        </w:tc>
        <w:tc>
          <w:tcPr>
            <w:tcW w:w="2399" w:type="dxa"/>
            <w:tcBorders>
              <w:top w:val="single" w:sz="4" w:space="0" w:color="auto"/>
              <w:left w:val="single" w:sz="4" w:space="0" w:color="auto"/>
              <w:bottom w:val="single" w:sz="4" w:space="0" w:color="auto"/>
              <w:right w:val="single" w:sz="4" w:space="0" w:color="auto"/>
            </w:tcBorders>
            <w:hideMark/>
          </w:tcPr>
          <w:p w14:paraId="6B7D729C"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Category</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region</w:t>
            </w:r>
            <w:proofErr w:type="spellEnd"/>
            <w:r w:rsidRPr="008C5F1C">
              <w:rPr>
                <w:rFonts w:ascii="Times New Roman" w:hAnsi="Times New Roman" w:cs="Times New Roman"/>
                <w:b/>
                <w:iCs/>
                <w:vertAlign w:val="superscript"/>
              </w:rPr>
              <w:footnoteReference w:id="55"/>
            </w:r>
          </w:p>
        </w:tc>
        <w:tc>
          <w:tcPr>
            <w:tcW w:w="1672" w:type="dxa"/>
            <w:tcBorders>
              <w:top w:val="single" w:sz="4" w:space="0" w:color="auto"/>
              <w:left w:val="single" w:sz="4" w:space="0" w:color="auto"/>
              <w:bottom w:val="single" w:sz="4" w:space="0" w:color="auto"/>
              <w:right w:val="single" w:sz="4" w:space="0" w:color="auto"/>
            </w:tcBorders>
            <w:hideMark/>
          </w:tcPr>
          <w:p w14:paraId="46A2B31F"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Code </w:t>
            </w:r>
          </w:p>
        </w:tc>
        <w:tc>
          <w:tcPr>
            <w:tcW w:w="2175" w:type="dxa"/>
            <w:tcBorders>
              <w:top w:val="single" w:sz="4" w:space="0" w:color="auto"/>
              <w:left w:val="single" w:sz="4" w:space="0" w:color="auto"/>
              <w:bottom w:val="single" w:sz="4" w:space="0" w:color="auto"/>
              <w:right w:val="single" w:sz="4" w:space="0" w:color="auto"/>
            </w:tcBorders>
            <w:hideMark/>
          </w:tcPr>
          <w:p w14:paraId="6ABE8E31"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Amount</w:t>
            </w:r>
            <w:proofErr w:type="spellEnd"/>
            <w:r w:rsidRPr="008C5F1C">
              <w:rPr>
                <w:rFonts w:ascii="Times New Roman" w:hAnsi="Times New Roman" w:cs="Times New Roman"/>
                <w:b/>
                <w:iCs/>
              </w:rPr>
              <w:t xml:space="preserve"> (EUR)</w:t>
            </w:r>
          </w:p>
        </w:tc>
      </w:tr>
      <w:tr w:rsidR="00653571" w:rsidRPr="008C5F1C" w14:paraId="4895E6FA" w14:textId="77777777" w:rsidTr="00BD6E8F">
        <w:tc>
          <w:tcPr>
            <w:tcW w:w="1599" w:type="dxa"/>
            <w:tcBorders>
              <w:top w:val="single" w:sz="4" w:space="0" w:color="auto"/>
              <w:left w:val="single" w:sz="4" w:space="0" w:color="auto"/>
              <w:bottom w:val="single" w:sz="4" w:space="0" w:color="auto"/>
              <w:right w:val="single" w:sz="4" w:space="0" w:color="auto"/>
            </w:tcBorders>
          </w:tcPr>
          <w:p w14:paraId="6387B57A" w14:textId="77777777" w:rsidR="00653571" w:rsidRPr="008C5F1C" w:rsidRDefault="00904C61" w:rsidP="00534127">
            <w:pPr>
              <w:rPr>
                <w:rFonts w:ascii="Times New Roman" w:hAnsi="Times New Roman" w:cs="Times New Roman"/>
                <w:b/>
                <w:bCs/>
                <w:iCs/>
              </w:rPr>
            </w:pPr>
            <w:r w:rsidRPr="008C5F1C">
              <w:rPr>
                <w:rFonts w:ascii="Times New Roman" w:hAnsi="Times New Roman" w:cs="Times New Roman"/>
                <w:b/>
                <w:bCs/>
                <w:iCs/>
              </w:rPr>
              <w:t>4</w:t>
            </w:r>
          </w:p>
        </w:tc>
        <w:tc>
          <w:tcPr>
            <w:tcW w:w="1384" w:type="dxa"/>
            <w:tcBorders>
              <w:top w:val="single" w:sz="4" w:space="0" w:color="auto"/>
              <w:left w:val="single" w:sz="4" w:space="0" w:color="auto"/>
              <w:bottom w:val="single" w:sz="4" w:space="0" w:color="auto"/>
              <w:right w:val="single" w:sz="4" w:space="0" w:color="auto"/>
            </w:tcBorders>
          </w:tcPr>
          <w:p w14:paraId="684A0001"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ERDF</w:t>
            </w:r>
          </w:p>
        </w:tc>
        <w:tc>
          <w:tcPr>
            <w:tcW w:w="2399" w:type="dxa"/>
            <w:tcBorders>
              <w:top w:val="single" w:sz="4" w:space="0" w:color="auto"/>
              <w:left w:val="single" w:sz="4" w:space="0" w:color="auto"/>
              <w:bottom w:val="single" w:sz="4" w:space="0" w:color="auto"/>
              <w:right w:val="single" w:sz="4" w:space="0" w:color="auto"/>
            </w:tcBorders>
          </w:tcPr>
          <w:p w14:paraId="79EF1BC6"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Less</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developed</w:t>
            </w:r>
            <w:proofErr w:type="spellEnd"/>
          </w:p>
        </w:tc>
        <w:tc>
          <w:tcPr>
            <w:tcW w:w="1672" w:type="dxa"/>
            <w:tcBorders>
              <w:top w:val="single" w:sz="4" w:space="0" w:color="auto"/>
              <w:left w:val="single" w:sz="4" w:space="0" w:color="auto"/>
              <w:bottom w:val="single" w:sz="4" w:space="0" w:color="auto"/>
              <w:right w:val="single" w:sz="4" w:space="0" w:color="auto"/>
            </w:tcBorders>
          </w:tcPr>
          <w:p w14:paraId="65096CF8" w14:textId="77777777" w:rsidR="00653571" w:rsidRPr="008C5F1C" w:rsidRDefault="00BD6E8F" w:rsidP="00534127">
            <w:pPr>
              <w:rPr>
                <w:rFonts w:ascii="Times New Roman" w:hAnsi="Times New Roman" w:cs="Times New Roman"/>
                <w:b/>
                <w:iCs/>
              </w:rPr>
            </w:pPr>
            <w:r w:rsidRPr="008C5F1C">
              <w:rPr>
                <w:rFonts w:ascii="Times New Roman" w:hAnsi="Times New Roman" w:cs="Times New Roman"/>
                <w:b/>
                <w:iCs/>
              </w:rPr>
              <w:t>001 Grant</w:t>
            </w:r>
          </w:p>
        </w:tc>
        <w:tc>
          <w:tcPr>
            <w:tcW w:w="2175" w:type="dxa"/>
            <w:tcBorders>
              <w:top w:val="single" w:sz="4" w:space="0" w:color="auto"/>
              <w:left w:val="single" w:sz="4" w:space="0" w:color="auto"/>
              <w:bottom w:val="single" w:sz="4" w:space="0" w:color="auto"/>
              <w:right w:val="single" w:sz="4" w:space="0" w:color="auto"/>
            </w:tcBorders>
          </w:tcPr>
          <w:p w14:paraId="35A6519E" w14:textId="306ED371" w:rsidR="00653571" w:rsidRPr="008C5F1C" w:rsidRDefault="00FE6610" w:rsidP="009F3E76">
            <w:pPr>
              <w:jc w:val="right"/>
              <w:rPr>
                <w:rFonts w:ascii="Times New Roman" w:hAnsi="Times New Roman" w:cs="Times New Roman"/>
                <w:b/>
                <w:iCs/>
              </w:rPr>
            </w:pPr>
            <w:r w:rsidRPr="008C5F1C">
              <w:rPr>
                <w:rFonts w:ascii="Times New Roman" w:hAnsi="Times New Roman" w:cs="Times New Roman"/>
                <w:b/>
                <w:iCs/>
              </w:rPr>
              <w:t>174.231</w:t>
            </w:r>
            <w:r w:rsidR="00B63771" w:rsidRPr="008C5F1C">
              <w:rPr>
                <w:rFonts w:ascii="Times New Roman" w:hAnsi="Times New Roman" w:cs="Times New Roman"/>
                <w:b/>
                <w:iCs/>
              </w:rPr>
              <w:t>.</w:t>
            </w:r>
            <w:r w:rsidRPr="008C5F1C">
              <w:rPr>
                <w:rFonts w:ascii="Times New Roman" w:hAnsi="Times New Roman" w:cs="Times New Roman"/>
                <w:b/>
                <w:iCs/>
              </w:rPr>
              <w:t>901</w:t>
            </w:r>
          </w:p>
        </w:tc>
      </w:tr>
      <w:tr w:rsidR="00AE15A6" w:rsidRPr="008C5F1C" w14:paraId="7B6150AD" w14:textId="77777777" w:rsidTr="00BD6E8F">
        <w:tc>
          <w:tcPr>
            <w:tcW w:w="1599" w:type="dxa"/>
            <w:tcBorders>
              <w:top w:val="single" w:sz="4" w:space="0" w:color="auto"/>
              <w:left w:val="single" w:sz="4" w:space="0" w:color="auto"/>
              <w:bottom w:val="single" w:sz="4" w:space="0" w:color="auto"/>
              <w:right w:val="single" w:sz="4" w:space="0" w:color="auto"/>
            </w:tcBorders>
          </w:tcPr>
          <w:p w14:paraId="2EA91099" w14:textId="5F60FD59" w:rsidR="00AE15A6" w:rsidRPr="008C5F1C" w:rsidRDefault="00AE15A6" w:rsidP="00AE15A6">
            <w:pPr>
              <w:rPr>
                <w:rFonts w:ascii="Times New Roman" w:hAnsi="Times New Roman" w:cs="Times New Roman"/>
                <w:b/>
                <w:bCs/>
                <w:iCs/>
              </w:rPr>
            </w:pPr>
            <w:r w:rsidRPr="008C5F1C">
              <w:rPr>
                <w:rFonts w:ascii="Times New Roman" w:hAnsi="Times New Roman" w:cs="Times New Roman"/>
                <w:b/>
                <w:bCs/>
                <w:iCs/>
              </w:rPr>
              <w:t>4</w:t>
            </w:r>
          </w:p>
        </w:tc>
        <w:tc>
          <w:tcPr>
            <w:tcW w:w="1384" w:type="dxa"/>
            <w:tcBorders>
              <w:top w:val="single" w:sz="4" w:space="0" w:color="auto"/>
              <w:left w:val="single" w:sz="4" w:space="0" w:color="auto"/>
              <w:bottom w:val="single" w:sz="4" w:space="0" w:color="auto"/>
              <w:right w:val="single" w:sz="4" w:space="0" w:color="auto"/>
            </w:tcBorders>
          </w:tcPr>
          <w:p w14:paraId="26EE8584" w14:textId="1E525874" w:rsidR="00AE15A6" w:rsidRPr="008C5F1C" w:rsidRDefault="008D169D" w:rsidP="00AE15A6">
            <w:pPr>
              <w:rPr>
                <w:rFonts w:ascii="Times New Roman" w:hAnsi="Times New Roman" w:cs="Times New Roman"/>
                <w:b/>
                <w:iCs/>
              </w:rPr>
            </w:pPr>
            <w:r w:rsidRPr="008C5F1C">
              <w:rPr>
                <w:rFonts w:ascii="Times New Roman" w:hAnsi="Times New Roman" w:cs="Times New Roman"/>
                <w:b/>
                <w:iCs/>
              </w:rPr>
              <w:t>CN</w:t>
            </w:r>
          </w:p>
        </w:tc>
        <w:tc>
          <w:tcPr>
            <w:tcW w:w="2399" w:type="dxa"/>
            <w:tcBorders>
              <w:top w:val="single" w:sz="4" w:space="0" w:color="auto"/>
              <w:left w:val="single" w:sz="4" w:space="0" w:color="auto"/>
              <w:bottom w:val="single" w:sz="4" w:space="0" w:color="auto"/>
              <w:right w:val="single" w:sz="4" w:space="0" w:color="auto"/>
            </w:tcBorders>
          </w:tcPr>
          <w:p w14:paraId="2784DAD1" w14:textId="4702E687" w:rsidR="00AE15A6" w:rsidRPr="008C5F1C" w:rsidRDefault="00AE15A6" w:rsidP="00AE15A6">
            <w:pPr>
              <w:rPr>
                <w:rFonts w:ascii="Times New Roman" w:hAnsi="Times New Roman" w:cs="Times New Roman"/>
                <w:b/>
                <w:iCs/>
              </w:rPr>
            </w:pPr>
            <w:proofErr w:type="spellStart"/>
            <w:r w:rsidRPr="008C5F1C">
              <w:rPr>
                <w:rFonts w:ascii="Times New Roman" w:hAnsi="Times New Roman" w:cs="Times New Roman"/>
                <w:b/>
                <w:iCs/>
              </w:rPr>
              <w:t>Less</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developed</w:t>
            </w:r>
            <w:proofErr w:type="spellEnd"/>
          </w:p>
        </w:tc>
        <w:tc>
          <w:tcPr>
            <w:tcW w:w="1672" w:type="dxa"/>
            <w:tcBorders>
              <w:top w:val="single" w:sz="4" w:space="0" w:color="auto"/>
              <w:left w:val="single" w:sz="4" w:space="0" w:color="auto"/>
              <w:bottom w:val="single" w:sz="4" w:space="0" w:color="auto"/>
              <w:right w:val="single" w:sz="4" w:space="0" w:color="auto"/>
            </w:tcBorders>
          </w:tcPr>
          <w:p w14:paraId="2ECB50CE" w14:textId="5552A4C1" w:rsidR="00AE15A6" w:rsidRPr="008C5F1C" w:rsidRDefault="00AE15A6" w:rsidP="00AE15A6">
            <w:pPr>
              <w:rPr>
                <w:rFonts w:ascii="Times New Roman" w:hAnsi="Times New Roman" w:cs="Times New Roman"/>
                <w:b/>
                <w:iCs/>
              </w:rPr>
            </w:pPr>
            <w:r w:rsidRPr="008C5F1C">
              <w:rPr>
                <w:rFonts w:ascii="Times New Roman" w:hAnsi="Times New Roman" w:cs="Times New Roman"/>
                <w:b/>
                <w:iCs/>
              </w:rPr>
              <w:t>001 Grant</w:t>
            </w:r>
          </w:p>
        </w:tc>
        <w:tc>
          <w:tcPr>
            <w:tcW w:w="2175" w:type="dxa"/>
            <w:tcBorders>
              <w:top w:val="single" w:sz="4" w:space="0" w:color="auto"/>
              <w:left w:val="single" w:sz="4" w:space="0" w:color="auto"/>
              <w:bottom w:val="single" w:sz="4" w:space="0" w:color="auto"/>
              <w:right w:val="single" w:sz="4" w:space="0" w:color="auto"/>
            </w:tcBorders>
          </w:tcPr>
          <w:p w14:paraId="48E7B040" w14:textId="26B274B0" w:rsidR="00AE15A6" w:rsidRPr="008C5F1C" w:rsidRDefault="00FE6610" w:rsidP="00AE15A6">
            <w:pPr>
              <w:jc w:val="right"/>
              <w:rPr>
                <w:rFonts w:ascii="Times New Roman" w:hAnsi="Times New Roman" w:cs="Times New Roman"/>
                <w:b/>
                <w:iCs/>
              </w:rPr>
            </w:pPr>
            <w:r w:rsidRPr="008C5F1C">
              <w:rPr>
                <w:rFonts w:ascii="Times New Roman" w:hAnsi="Times New Roman" w:cs="Times New Roman"/>
                <w:b/>
                <w:iCs/>
              </w:rPr>
              <w:t>30.746</w:t>
            </w:r>
            <w:r w:rsidR="00B63771" w:rsidRPr="008C5F1C">
              <w:rPr>
                <w:rFonts w:ascii="Times New Roman" w:hAnsi="Times New Roman" w:cs="Times New Roman"/>
                <w:b/>
                <w:iCs/>
              </w:rPr>
              <w:t>.</w:t>
            </w:r>
            <w:r w:rsidRPr="008C5F1C">
              <w:rPr>
                <w:rFonts w:ascii="Times New Roman" w:hAnsi="Times New Roman" w:cs="Times New Roman"/>
                <w:b/>
                <w:iCs/>
              </w:rPr>
              <w:t>806</w:t>
            </w:r>
          </w:p>
        </w:tc>
      </w:tr>
    </w:tbl>
    <w:p w14:paraId="39CAD0B9" w14:textId="77777777" w:rsidR="00653571" w:rsidRPr="008C5F1C" w:rsidRDefault="00653571" w:rsidP="00653571">
      <w:pPr>
        <w:rPr>
          <w:rFonts w:ascii="Times New Roman" w:hAnsi="Times New Roman" w:cs="Times New Roman"/>
          <w:b/>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3249"/>
        <w:gridCol w:w="1053"/>
        <w:gridCol w:w="591"/>
        <w:gridCol w:w="1053"/>
        <w:gridCol w:w="531"/>
      </w:tblGrid>
      <w:tr w:rsidR="00653571" w:rsidRPr="008C5F1C" w14:paraId="4A6E34E7" w14:textId="77777777" w:rsidTr="00534127">
        <w:tc>
          <w:tcPr>
            <w:tcW w:w="9460" w:type="dxa"/>
            <w:gridSpan w:val="7"/>
            <w:tcBorders>
              <w:top w:val="single" w:sz="4" w:space="0" w:color="auto"/>
              <w:left w:val="single" w:sz="4" w:space="0" w:color="auto"/>
              <w:bottom w:val="single" w:sz="4" w:space="0" w:color="auto"/>
              <w:right w:val="single" w:sz="4" w:space="0" w:color="auto"/>
            </w:tcBorders>
            <w:hideMark/>
          </w:tcPr>
          <w:p w14:paraId="34B6231F"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Table 6: </w:t>
            </w:r>
            <w:proofErr w:type="spellStart"/>
            <w:r w:rsidRPr="008C5F1C">
              <w:rPr>
                <w:rFonts w:ascii="Times New Roman" w:hAnsi="Times New Roman" w:cs="Times New Roman"/>
                <w:b/>
                <w:iCs/>
              </w:rPr>
              <w:t>Dimension</w:t>
            </w:r>
            <w:proofErr w:type="spellEnd"/>
            <w:r w:rsidRPr="008C5F1C">
              <w:rPr>
                <w:rFonts w:ascii="Times New Roman" w:hAnsi="Times New Roman" w:cs="Times New Roman"/>
                <w:b/>
                <w:iCs/>
              </w:rPr>
              <w:t xml:space="preserve"> 3 – </w:t>
            </w:r>
            <w:proofErr w:type="spellStart"/>
            <w:r w:rsidRPr="008C5F1C">
              <w:rPr>
                <w:rFonts w:ascii="Times New Roman" w:hAnsi="Times New Roman" w:cs="Times New Roman"/>
                <w:b/>
                <w:iCs/>
              </w:rPr>
              <w:t>territorial</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delivery</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mechanism</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and</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territorial</w:t>
            </w:r>
            <w:proofErr w:type="spellEnd"/>
            <w:r w:rsidRPr="008C5F1C">
              <w:rPr>
                <w:rFonts w:ascii="Times New Roman" w:hAnsi="Times New Roman" w:cs="Times New Roman"/>
                <w:b/>
                <w:iCs/>
              </w:rPr>
              <w:t xml:space="preserve"> focus</w:t>
            </w:r>
          </w:p>
        </w:tc>
      </w:tr>
      <w:tr w:rsidR="00653571" w:rsidRPr="008C5F1C" w14:paraId="3DFE3C56" w14:textId="77777777" w:rsidTr="00534127">
        <w:tc>
          <w:tcPr>
            <w:tcW w:w="1599" w:type="dxa"/>
            <w:tcBorders>
              <w:top w:val="single" w:sz="4" w:space="0" w:color="auto"/>
              <w:left w:val="single" w:sz="4" w:space="0" w:color="auto"/>
              <w:bottom w:val="single" w:sz="4" w:space="0" w:color="auto"/>
              <w:right w:val="single" w:sz="4" w:space="0" w:color="auto"/>
            </w:tcBorders>
            <w:hideMark/>
          </w:tcPr>
          <w:p w14:paraId="00F05731"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lastRenderedPageBreak/>
              <w:t>Priority</w:t>
            </w:r>
            <w:proofErr w:type="spellEnd"/>
            <w:r w:rsidRPr="008C5F1C">
              <w:rPr>
                <w:rFonts w:ascii="Times New Roman" w:hAnsi="Times New Roman" w:cs="Times New Roman"/>
                <w:b/>
                <w:iCs/>
              </w:rPr>
              <w:t xml:space="preserve"> No</w:t>
            </w:r>
          </w:p>
        </w:tc>
        <w:tc>
          <w:tcPr>
            <w:tcW w:w="1384" w:type="dxa"/>
            <w:tcBorders>
              <w:top w:val="single" w:sz="4" w:space="0" w:color="auto"/>
              <w:left w:val="single" w:sz="4" w:space="0" w:color="auto"/>
              <w:bottom w:val="single" w:sz="4" w:space="0" w:color="auto"/>
              <w:right w:val="single" w:sz="4" w:space="0" w:color="auto"/>
            </w:tcBorders>
            <w:hideMark/>
          </w:tcPr>
          <w:p w14:paraId="1F4D9B0A"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Fund</w:t>
            </w:r>
          </w:p>
        </w:tc>
        <w:tc>
          <w:tcPr>
            <w:tcW w:w="3249" w:type="dxa"/>
            <w:tcBorders>
              <w:top w:val="single" w:sz="4" w:space="0" w:color="auto"/>
              <w:left w:val="single" w:sz="4" w:space="0" w:color="auto"/>
              <w:bottom w:val="single" w:sz="4" w:space="0" w:color="auto"/>
              <w:right w:val="single" w:sz="4" w:space="0" w:color="auto"/>
            </w:tcBorders>
            <w:hideMark/>
          </w:tcPr>
          <w:p w14:paraId="7F4196DC"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Category</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region</w:t>
            </w:r>
            <w:proofErr w:type="spellEnd"/>
            <w:r w:rsidRPr="008C5F1C">
              <w:rPr>
                <w:rFonts w:ascii="Times New Roman" w:hAnsi="Times New Roman" w:cs="Times New Roman"/>
                <w:b/>
                <w:iCs/>
                <w:vertAlign w:val="superscript"/>
              </w:rPr>
              <w:footnoteReference w:id="56"/>
            </w:r>
          </w:p>
        </w:tc>
        <w:tc>
          <w:tcPr>
            <w:tcW w:w="1053" w:type="dxa"/>
            <w:tcBorders>
              <w:top w:val="single" w:sz="4" w:space="0" w:color="auto"/>
              <w:left w:val="single" w:sz="4" w:space="0" w:color="auto"/>
              <w:bottom w:val="single" w:sz="4" w:space="0" w:color="auto"/>
              <w:right w:val="single" w:sz="4" w:space="0" w:color="auto"/>
            </w:tcBorders>
            <w:hideMark/>
          </w:tcPr>
          <w:p w14:paraId="12458586"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Code </w:t>
            </w:r>
          </w:p>
        </w:tc>
        <w:tc>
          <w:tcPr>
            <w:tcW w:w="2175" w:type="dxa"/>
            <w:gridSpan w:val="3"/>
            <w:tcBorders>
              <w:top w:val="single" w:sz="4" w:space="0" w:color="auto"/>
              <w:left w:val="single" w:sz="4" w:space="0" w:color="auto"/>
              <w:bottom w:val="single" w:sz="4" w:space="0" w:color="auto"/>
              <w:right w:val="single" w:sz="4" w:space="0" w:color="auto"/>
            </w:tcBorders>
            <w:hideMark/>
          </w:tcPr>
          <w:p w14:paraId="102030D6"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Amount</w:t>
            </w:r>
            <w:proofErr w:type="spellEnd"/>
            <w:r w:rsidRPr="008C5F1C">
              <w:rPr>
                <w:rFonts w:ascii="Times New Roman" w:hAnsi="Times New Roman" w:cs="Times New Roman"/>
                <w:b/>
                <w:iCs/>
              </w:rPr>
              <w:t xml:space="preserve"> (EUR)</w:t>
            </w:r>
          </w:p>
        </w:tc>
      </w:tr>
      <w:tr w:rsidR="00653571" w:rsidRPr="008C5F1C" w14:paraId="510ADE90" w14:textId="77777777" w:rsidTr="00534127">
        <w:tc>
          <w:tcPr>
            <w:tcW w:w="1599" w:type="dxa"/>
            <w:tcBorders>
              <w:top w:val="single" w:sz="4" w:space="0" w:color="auto"/>
              <w:left w:val="single" w:sz="4" w:space="0" w:color="auto"/>
              <w:bottom w:val="single" w:sz="4" w:space="0" w:color="auto"/>
              <w:right w:val="single" w:sz="4" w:space="0" w:color="auto"/>
            </w:tcBorders>
          </w:tcPr>
          <w:p w14:paraId="5D5D8ABA" w14:textId="77777777" w:rsidR="00653571" w:rsidRPr="008C5F1C" w:rsidRDefault="00653571" w:rsidP="00534127">
            <w:pPr>
              <w:rPr>
                <w:rFonts w:ascii="Times New Roman" w:hAnsi="Times New Roman" w:cs="Times New Roman"/>
                <w:b/>
                <w:iCs/>
              </w:rPr>
            </w:pPr>
          </w:p>
        </w:tc>
        <w:tc>
          <w:tcPr>
            <w:tcW w:w="1384" w:type="dxa"/>
            <w:tcBorders>
              <w:top w:val="single" w:sz="4" w:space="0" w:color="auto"/>
              <w:left w:val="single" w:sz="4" w:space="0" w:color="auto"/>
              <w:bottom w:val="single" w:sz="4" w:space="0" w:color="auto"/>
              <w:right w:val="single" w:sz="4" w:space="0" w:color="auto"/>
            </w:tcBorders>
          </w:tcPr>
          <w:p w14:paraId="689FF974" w14:textId="77777777" w:rsidR="00653571" w:rsidRPr="008C5F1C" w:rsidRDefault="00653571" w:rsidP="00534127">
            <w:pPr>
              <w:rPr>
                <w:rFonts w:ascii="Times New Roman" w:hAnsi="Times New Roman" w:cs="Times New Roman"/>
                <w:b/>
                <w:iCs/>
              </w:rPr>
            </w:pPr>
          </w:p>
        </w:tc>
        <w:tc>
          <w:tcPr>
            <w:tcW w:w="3249" w:type="dxa"/>
            <w:tcBorders>
              <w:top w:val="single" w:sz="4" w:space="0" w:color="auto"/>
              <w:left w:val="single" w:sz="4" w:space="0" w:color="auto"/>
              <w:bottom w:val="single" w:sz="4" w:space="0" w:color="auto"/>
              <w:right w:val="single" w:sz="4" w:space="0" w:color="auto"/>
            </w:tcBorders>
          </w:tcPr>
          <w:p w14:paraId="5C31C8F5" w14:textId="77777777" w:rsidR="00653571" w:rsidRPr="008C5F1C" w:rsidRDefault="00653571" w:rsidP="00534127">
            <w:pPr>
              <w:rPr>
                <w:rFonts w:ascii="Times New Roman" w:hAnsi="Times New Roman" w:cs="Times New Roman"/>
                <w:b/>
                <w:iCs/>
              </w:rPr>
            </w:pPr>
          </w:p>
        </w:tc>
        <w:tc>
          <w:tcPr>
            <w:tcW w:w="1644" w:type="dxa"/>
            <w:gridSpan w:val="2"/>
            <w:tcBorders>
              <w:top w:val="single" w:sz="4" w:space="0" w:color="auto"/>
              <w:left w:val="single" w:sz="4" w:space="0" w:color="auto"/>
              <w:bottom w:val="single" w:sz="4" w:space="0" w:color="auto"/>
              <w:right w:val="single" w:sz="4" w:space="0" w:color="auto"/>
            </w:tcBorders>
          </w:tcPr>
          <w:p w14:paraId="7CF73578" w14:textId="77777777" w:rsidR="00653571" w:rsidRPr="008C5F1C" w:rsidRDefault="00653571" w:rsidP="00534127">
            <w:pPr>
              <w:rPr>
                <w:rFonts w:ascii="Times New Roman" w:hAnsi="Times New Roman" w:cs="Times New Roman"/>
                <w:b/>
                <w:iCs/>
              </w:rPr>
            </w:pPr>
          </w:p>
        </w:tc>
        <w:tc>
          <w:tcPr>
            <w:tcW w:w="1053" w:type="dxa"/>
            <w:tcBorders>
              <w:top w:val="single" w:sz="4" w:space="0" w:color="auto"/>
              <w:left w:val="single" w:sz="4" w:space="0" w:color="auto"/>
              <w:bottom w:val="single" w:sz="4" w:space="0" w:color="auto"/>
              <w:right w:val="single" w:sz="4" w:space="0" w:color="auto"/>
            </w:tcBorders>
          </w:tcPr>
          <w:p w14:paraId="32CB2DF6" w14:textId="77777777" w:rsidR="00653571" w:rsidRPr="008C5F1C" w:rsidRDefault="00653571" w:rsidP="00534127">
            <w:pPr>
              <w:rPr>
                <w:rFonts w:ascii="Times New Roman" w:hAnsi="Times New Roman" w:cs="Times New Roman"/>
                <w:b/>
                <w:iCs/>
              </w:rPr>
            </w:pPr>
          </w:p>
        </w:tc>
        <w:tc>
          <w:tcPr>
            <w:tcW w:w="531" w:type="dxa"/>
            <w:tcBorders>
              <w:top w:val="single" w:sz="4" w:space="0" w:color="auto"/>
              <w:left w:val="single" w:sz="4" w:space="0" w:color="auto"/>
              <w:bottom w:val="single" w:sz="4" w:space="0" w:color="auto"/>
              <w:right w:val="single" w:sz="4" w:space="0" w:color="auto"/>
            </w:tcBorders>
          </w:tcPr>
          <w:p w14:paraId="37AF0977" w14:textId="77777777" w:rsidR="00653571" w:rsidRPr="008C5F1C" w:rsidRDefault="00653571" w:rsidP="00534127">
            <w:pPr>
              <w:rPr>
                <w:rFonts w:ascii="Times New Roman" w:hAnsi="Times New Roman" w:cs="Times New Roman"/>
                <w:b/>
                <w:iCs/>
              </w:rPr>
            </w:pPr>
          </w:p>
        </w:tc>
      </w:tr>
    </w:tbl>
    <w:p w14:paraId="29092D54" w14:textId="77777777" w:rsidR="00653571" w:rsidRPr="008C5F1C" w:rsidRDefault="00653571" w:rsidP="00653571">
      <w:pPr>
        <w:rPr>
          <w:rFonts w:ascii="Times New Roman" w:hAnsi="Times New Roman" w:cs="Times New Roman"/>
          <w:b/>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2399"/>
        <w:gridCol w:w="1053"/>
        <w:gridCol w:w="2175"/>
      </w:tblGrid>
      <w:tr w:rsidR="00653571" w:rsidRPr="008C5F1C" w14:paraId="4A5A25C2" w14:textId="77777777" w:rsidTr="00534127">
        <w:tc>
          <w:tcPr>
            <w:tcW w:w="8610" w:type="dxa"/>
            <w:gridSpan w:val="5"/>
            <w:tcBorders>
              <w:top w:val="single" w:sz="4" w:space="0" w:color="auto"/>
              <w:left w:val="single" w:sz="4" w:space="0" w:color="auto"/>
              <w:bottom w:val="single" w:sz="4" w:space="0" w:color="auto"/>
              <w:right w:val="single" w:sz="4" w:space="0" w:color="auto"/>
            </w:tcBorders>
            <w:hideMark/>
          </w:tcPr>
          <w:p w14:paraId="601CC262"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Table 7: </w:t>
            </w:r>
            <w:proofErr w:type="spellStart"/>
            <w:r w:rsidRPr="008C5F1C">
              <w:rPr>
                <w:rFonts w:ascii="Times New Roman" w:hAnsi="Times New Roman" w:cs="Times New Roman"/>
                <w:b/>
                <w:iCs/>
              </w:rPr>
              <w:t>Dimension</w:t>
            </w:r>
            <w:proofErr w:type="spellEnd"/>
            <w:r w:rsidRPr="008C5F1C">
              <w:rPr>
                <w:rFonts w:ascii="Times New Roman" w:hAnsi="Times New Roman" w:cs="Times New Roman"/>
                <w:b/>
                <w:iCs/>
              </w:rPr>
              <w:t xml:space="preserve"> 6 – ESF+ </w:t>
            </w:r>
            <w:proofErr w:type="spellStart"/>
            <w:r w:rsidRPr="008C5F1C">
              <w:rPr>
                <w:rFonts w:ascii="Times New Roman" w:hAnsi="Times New Roman" w:cs="Times New Roman"/>
                <w:b/>
                <w:iCs/>
              </w:rPr>
              <w:t>secondary</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themes</w:t>
            </w:r>
            <w:proofErr w:type="spellEnd"/>
          </w:p>
        </w:tc>
      </w:tr>
      <w:tr w:rsidR="00653571" w:rsidRPr="008C5F1C" w14:paraId="1D8A453A" w14:textId="77777777" w:rsidTr="00534127">
        <w:tc>
          <w:tcPr>
            <w:tcW w:w="1599" w:type="dxa"/>
            <w:tcBorders>
              <w:top w:val="single" w:sz="4" w:space="0" w:color="auto"/>
              <w:left w:val="single" w:sz="4" w:space="0" w:color="auto"/>
              <w:bottom w:val="single" w:sz="4" w:space="0" w:color="auto"/>
              <w:right w:val="single" w:sz="4" w:space="0" w:color="auto"/>
            </w:tcBorders>
            <w:hideMark/>
          </w:tcPr>
          <w:p w14:paraId="7F675C7D"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Priority</w:t>
            </w:r>
            <w:proofErr w:type="spellEnd"/>
            <w:r w:rsidRPr="008C5F1C">
              <w:rPr>
                <w:rFonts w:ascii="Times New Roman" w:hAnsi="Times New Roman" w:cs="Times New Roman"/>
                <w:b/>
                <w:iCs/>
              </w:rPr>
              <w:t xml:space="preserve"> No</w:t>
            </w:r>
          </w:p>
        </w:tc>
        <w:tc>
          <w:tcPr>
            <w:tcW w:w="1384" w:type="dxa"/>
            <w:tcBorders>
              <w:top w:val="single" w:sz="4" w:space="0" w:color="auto"/>
              <w:left w:val="single" w:sz="4" w:space="0" w:color="auto"/>
              <w:bottom w:val="single" w:sz="4" w:space="0" w:color="auto"/>
              <w:right w:val="single" w:sz="4" w:space="0" w:color="auto"/>
            </w:tcBorders>
            <w:hideMark/>
          </w:tcPr>
          <w:p w14:paraId="3B541F85"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Fund</w:t>
            </w:r>
          </w:p>
        </w:tc>
        <w:tc>
          <w:tcPr>
            <w:tcW w:w="2399" w:type="dxa"/>
            <w:tcBorders>
              <w:top w:val="single" w:sz="4" w:space="0" w:color="auto"/>
              <w:left w:val="single" w:sz="4" w:space="0" w:color="auto"/>
              <w:bottom w:val="single" w:sz="4" w:space="0" w:color="auto"/>
              <w:right w:val="single" w:sz="4" w:space="0" w:color="auto"/>
            </w:tcBorders>
            <w:hideMark/>
          </w:tcPr>
          <w:p w14:paraId="254A11C0"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Category</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region</w:t>
            </w:r>
            <w:proofErr w:type="spellEnd"/>
          </w:p>
        </w:tc>
        <w:tc>
          <w:tcPr>
            <w:tcW w:w="1053" w:type="dxa"/>
            <w:tcBorders>
              <w:top w:val="single" w:sz="4" w:space="0" w:color="auto"/>
              <w:left w:val="single" w:sz="4" w:space="0" w:color="auto"/>
              <w:bottom w:val="single" w:sz="4" w:space="0" w:color="auto"/>
              <w:right w:val="single" w:sz="4" w:space="0" w:color="auto"/>
            </w:tcBorders>
            <w:hideMark/>
          </w:tcPr>
          <w:p w14:paraId="2597C3D3"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Code </w:t>
            </w:r>
          </w:p>
        </w:tc>
        <w:tc>
          <w:tcPr>
            <w:tcW w:w="2175" w:type="dxa"/>
            <w:tcBorders>
              <w:top w:val="single" w:sz="4" w:space="0" w:color="auto"/>
              <w:left w:val="single" w:sz="4" w:space="0" w:color="auto"/>
              <w:bottom w:val="single" w:sz="4" w:space="0" w:color="auto"/>
              <w:right w:val="single" w:sz="4" w:space="0" w:color="auto"/>
            </w:tcBorders>
            <w:hideMark/>
          </w:tcPr>
          <w:p w14:paraId="4A403DA8"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Amount</w:t>
            </w:r>
            <w:proofErr w:type="spellEnd"/>
            <w:r w:rsidRPr="008C5F1C">
              <w:rPr>
                <w:rFonts w:ascii="Times New Roman" w:hAnsi="Times New Roman" w:cs="Times New Roman"/>
                <w:b/>
                <w:iCs/>
              </w:rPr>
              <w:t xml:space="preserve"> (EUR)</w:t>
            </w:r>
          </w:p>
        </w:tc>
      </w:tr>
      <w:tr w:rsidR="00653571" w:rsidRPr="008C5F1C" w14:paraId="6E2BD10A" w14:textId="77777777" w:rsidTr="00534127">
        <w:tc>
          <w:tcPr>
            <w:tcW w:w="1599" w:type="dxa"/>
            <w:tcBorders>
              <w:top w:val="single" w:sz="4" w:space="0" w:color="auto"/>
              <w:left w:val="single" w:sz="4" w:space="0" w:color="auto"/>
              <w:bottom w:val="single" w:sz="4" w:space="0" w:color="auto"/>
              <w:right w:val="single" w:sz="4" w:space="0" w:color="auto"/>
            </w:tcBorders>
          </w:tcPr>
          <w:p w14:paraId="5C8E8AD3" w14:textId="77777777" w:rsidR="00653571" w:rsidRPr="008C5F1C" w:rsidRDefault="00653571" w:rsidP="00534127">
            <w:pPr>
              <w:rPr>
                <w:rFonts w:ascii="Times New Roman" w:hAnsi="Times New Roman" w:cs="Times New Roman"/>
                <w:b/>
                <w:iCs/>
              </w:rPr>
            </w:pPr>
          </w:p>
        </w:tc>
        <w:tc>
          <w:tcPr>
            <w:tcW w:w="1384" w:type="dxa"/>
            <w:tcBorders>
              <w:top w:val="single" w:sz="4" w:space="0" w:color="auto"/>
              <w:left w:val="single" w:sz="4" w:space="0" w:color="auto"/>
              <w:bottom w:val="single" w:sz="4" w:space="0" w:color="auto"/>
              <w:right w:val="single" w:sz="4" w:space="0" w:color="auto"/>
            </w:tcBorders>
          </w:tcPr>
          <w:p w14:paraId="6370A8CD" w14:textId="77777777" w:rsidR="00653571" w:rsidRPr="008C5F1C" w:rsidRDefault="00653571" w:rsidP="00534127">
            <w:pPr>
              <w:rPr>
                <w:rFonts w:ascii="Times New Roman" w:hAnsi="Times New Roman" w:cs="Times New Roman"/>
                <w:b/>
                <w:iCs/>
              </w:rPr>
            </w:pPr>
          </w:p>
        </w:tc>
        <w:tc>
          <w:tcPr>
            <w:tcW w:w="2399" w:type="dxa"/>
            <w:tcBorders>
              <w:top w:val="single" w:sz="4" w:space="0" w:color="auto"/>
              <w:left w:val="single" w:sz="4" w:space="0" w:color="auto"/>
              <w:bottom w:val="single" w:sz="4" w:space="0" w:color="auto"/>
              <w:right w:val="single" w:sz="4" w:space="0" w:color="auto"/>
            </w:tcBorders>
          </w:tcPr>
          <w:p w14:paraId="7408ACBE" w14:textId="77777777" w:rsidR="00653571" w:rsidRPr="008C5F1C" w:rsidRDefault="00653571" w:rsidP="00534127">
            <w:pPr>
              <w:rPr>
                <w:rFonts w:ascii="Times New Roman" w:hAnsi="Times New Roman" w:cs="Times New Roman"/>
                <w:b/>
                <w:iCs/>
              </w:rPr>
            </w:pPr>
          </w:p>
        </w:tc>
        <w:tc>
          <w:tcPr>
            <w:tcW w:w="1053" w:type="dxa"/>
            <w:tcBorders>
              <w:top w:val="single" w:sz="4" w:space="0" w:color="auto"/>
              <w:left w:val="single" w:sz="4" w:space="0" w:color="auto"/>
              <w:bottom w:val="single" w:sz="4" w:space="0" w:color="auto"/>
              <w:right w:val="single" w:sz="4" w:space="0" w:color="auto"/>
            </w:tcBorders>
          </w:tcPr>
          <w:p w14:paraId="0BD7E0EC" w14:textId="77777777" w:rsidR="00653571" w:rsidRPr="008C5F1C" w:rsidRDefault="00653571" w:rsidP="00534127">
            <w:pPr>
              <w:rPr>
                <w:rFonts w:ascii="Times New Roman" w:hAnsi="Times New Roman" w:cs="Times New Roman"/>
                <w:b/>
                <w:iCs/>
              </w:rPr>
            </w:pPr>
          </w:p>
        </w:tc>
        <w:tc>
          <w:tcPr>
            <w:tcW w:w="2175" w:type="dxa"/>
            <w:tcBorders>
              <w:top w:val="single" w:sz="4" w:space="0" w:color="auto"/>
              <w:left w:val="single" w:sz="4" w:space="0" w:color="auto"/>
              <w:bottom w:val="single" w:sz="4" w:space="0" w:color="auto"/>
              <w:right w:val="single" w:sz="4" w:space="0" w:color="auto"/>
            </w:tcBorders>
          </w:tcPr>
          <w:p w14:paraId="73DC86C9" w14:textId="77777777" w:rsidR="00653571" w:rsidRPr="008C5F1C" w:rsidRDefault="00653571" w:rsidP="00534127">
            <w:pPr>
              <w:rPr>
                <w:rFonts w:ascii="Times New Roman" w:hAnsi="Times New Roman" w:cs="Times New Roman"/>
                <w:b/>
                <w:iCs/>
              </w:rPr>
            </w:pPr>
          </w:p>
        </w:tc>
      </w:tr>
    </w:tbl>
    <w:p w14:paraId="21FF6EEF" w14:textId="77777777" w:rsidR="00653571" w:rsidRPr="008C5F1C" w:rsidRDefault="00653571" w:rsidP="00653571">
      <w:pPr>
        <w:tabs>
          <w:tab w:val="left" w:pos="3150"/>
        </w:tabs>
        <w:rPr>
          <w:rFonts w:ascii="Times New Roman" w:hAnsi="Times New Roman" w:cs="Times New Roman"/>
        </w:rPr>
      </w:pPr>
    </w:p>
    <w:p w14:paraId="5F4F9BDE" w14:textId="77777777" w:rsidR="00653571" w:rsidRPr="008C5F1C" w:rsidRDefault="00653571" w:rsidP="00653571">
      <w:pPr>
        <w:pStyle w:val="Heading3"/>
        <w:numPr>
          <w:ilvl w:val="0"/>
          <w:numId w:val="0"/>
        </w:numPr>
        <w:shd w:val="clear" w:color="auto" w:fill="B4C6E7" w:themeFill="accent1" w:themeFillTint="66"/>
        <w:rPr>
          <w:rFonts w:cs="Times New Roman"/>
          <w:noProof/>
          <w:lang w:val="ro-RO"/>
        </w:rPr>
      </w:pPr>
      <w:bookmarkStart w:id="122" w:name="_Toc39840941"/>
      <w:r w:rsidRPr="008C5F1C">
        <w:rPr>
          <w:rFonts w:cs="Times New Roman"/>
          <w:noProof/>
          <w:lang w:val="ro-RO"/>
        </w:rPr>
        <w:t>2.A.3 OS c (iii) Dezvoltarea unei mobilit</w:t>
      </w:r>
      <w:r w:rsidR="00BA7827" w:rsidRPr="008C5F1C">
        <w:rPr>
          <w:rFonts w:cs="Times New Roman"/>
          <w:noProof/>
          <w:lang w:val="ro-RO"/>
        </w:rPr>
        <w:t>ă</w:t>
      </w:r>
      <w:r w:rsidR="00E22FF2" w:rsidRPr="008C5F1C">
        <w:rPr>
          <w:rFonts w:cs="Times New Roman"/>
          <w:noProof/>
          <w:lang w:val="ro-RO"/>
        </w:rPr>
        <w:t>ț</w:t>
      </w:r>
      <w:r w:rsidRPr="008C5F1C">
        <w:rPr>
          <w:rFonts w:cs="Times New Roman"/>
          <w:noProof/>
          <w:lang w:val="ro-RO"/>
        </w:rPr>
        <w:t>i na</w:t>
      </w:r>
      <w:r w:rsidR="00E22FF2" w:rsidRPr="008C5F1C">
        <w:rPr>
          <w:rFonts w:cs="Times New Roman"/>
          <w:noProof/>
          <w:lang w:val="ro-RO"/>
        </w:rPr>
        <w:t>ț</w:t>
      </w:r>
      <w:r w:rsidRPr="008C5F1C">
        <w:rPr>
          <w:rFonts w:cs="Times New Roman"/>
          <w:noProof/>
          <w:lang w:val="ro-RO"/>
        </w:rPr>
        <w:t xml:space="preserve">ionale, regionale </w:t>
      </w:r>
      <w:r w:rsidR="00106240" w:rsidRPr="008C5F1C">
        <w:rPr>
          <w:rFonts w:cs="Times New Roman"/>
          <w:noProof/>
          <w:lang w:val="ro-RO"/>
        </w:rPr>
        <w:t>ș</w:t>
      </w:r>
      <w:r w:rsidRPr="008C5F1C">
        <w:rPr>
          <w:rFonts w:cs="Times New Roman"/>
          <w:noProof/>
          <w:lang w:val="ro-RO"/>
        </w:rPr>
        <w:t>i locale durabile, reziliente în fa</w:t>
      </w:r>
      <w:r w:rsidR="00E22FF2" w:rsidRPr="008C5F1C">
        <w:rPr>
          <w:rFonts w:cs="Times New Roman"/>
          <w:noProof/>
          <w:lang w:val="ro-RO"/>
        </w:rPr>
        <w:t>ț</w:t>
      </w:r>
      <w:r w:rsidRPr="008C5F1C">
        <w:rPr>
          <w:rFonts w:cs="Times New Roman"/>
          <w:noProof/>
          <w:lang w:val="ro-RO"/>
        </w:rPr>
        <w:t>a schimb</w:t>
      </w:r>
      <w:r w:rsidR="00BA7827" w:rsidRPr="008C5F1C">
        <w:rPr>
          <w:rFonts w:cs="Times New Roman"/>
          <w:noProof/>
          <w:lang w:val="ro-RO"/>
        </w:rPr>
        <w:t>ă</w:t>
      </w:r>
      <w:r w:rsidRPr="008C5F1C">
        <w:rPr>
          <w:rFonts w:cs="Times New Roman"/>
          <w:noProof/>
          <w:lang w:val="ro-RO"/>
        </w:rPr>
        <w:t xml:space="preserve">rilor climatice, inteligente </w:t>
      </w:r>
      <w:r w:rsidR="00106240" w:rsidRPr="008C5F1C">
        <w:rPr>
          <w:rFonts w:cs="Times New Roman"/>
          <w:noProof/>
          <w:lang w:val="ro-RO"/>
        </w:rPr>
        <w:t>ș</w:t>
      </w:r>
      <w:r w:rsidRPr="008C5F1C">
        <w:rPr>
          <w:rFonts w:cs="Times New Roman"/>
          <w:noProof/>
          <w:lang w:val="ro-RO"/>
        </w:rPr>
        <w:t>i intermodale, inclusiv îmbun</w:t>
      </w:r>
      <w:r w:rsidR="00BA7827" w:rsidRPr="008C5F1C">
        <w:rPr>
          <w:rFonts w:cs="Times New Roman"/>
          <w:noProof/>
          <w:lang w:val="ro-RO"/>
        </w:rPr>
        <w:t>ă</w:t>
      </w:r>
      <w:r w:rsidRPr="008C5F1C">
        <w:rPr>
          <w:rFonts w:cs="Times New Roman"/>
          <w:noProof/>
          <w:lang w:val="ro-RO"/>
        </w:rPr>
        <w:t>t</w:t>
      </w:r>
      <w:r w:rsidR="00BA7827" w:rsidRPr="008C5F1C">
        <w:rPr>
          <w:rFonts w:cs="Times New Roman"/>
          <w:noProof/>
          <w:lang w:val="ro-RO"/>
        </w:rPr>
        <w:t>ă</w:t>
      </w:r>
      <w:r w:rsidR="00E22FF2" w:rsidRPr="008C5F1C">
        <w:rPr>
          <w:rFonts w:cs="Times New Roman"/>
          <w:noProof/>
          <w:lang w:val="ro-RO"/>
        </w:rPr>
        <w:t>ț</w:t>
      </w:r>
      <w:r w:rsidRPr="008C5F1C">
        <w:rPr>
          <w:rFonts w:cs="Times New Roman"/>
          <w:noProof/>
          <w:lang w:val="ro-RO"/>
        </w:rPr>
        <w:t xml:space="preserve">irea accesului la TEN-T </w:t>
      </w:r>
      <w:r w:rsidR="00106240" w:rsidRPr="008C5F1C">
        <w:rPr>
          <w:rFonts w:cs="Times New Roman"/>
          <w:noProof/>
          <w:lang w:val="ro-RO"/>
        </w:rPr>
        <w:t>ș</w:t>
      </w:r>
      <w:r w:rsidRPr="008C5F1C">
        <w:rPr>
          <w:rFonts w:cs="Times New Roman"/>
          <w:noProof/>
          <w:lang w:val="ro-RO"/>
        </w:rPr>
        <w:t>i a mobilit</w:t>
      </w:r>
      <w:r w:rsidR="00BA7827" w:rsidRPr="008C5F1C">
        <w:rPr>
          <w:rFonts w:cs="Times New Roman"/>
          <w:noProof/>
          <w:lang w:val="ro-RO"/>
        </w:rPr>
        <w:t>ă</w:t>
      </w:r>
      <w:r w:rsidR="00E22FF2" w:rsidRPr="008C5F1C">
        <w:rPr>
          <w:rFonts w:cs="Times New Roman"/>
          <w:noProof/>
          <w:lang w:val="ro-RO"/>
        </w:rPr>
        <w:t>ț</w:t>
      </w:r>
      <w:r w:rsidRPr="008C5F1C">
        <w:rPr>
          <w:rFonts w:cs="Times New Roman"/>
          <w:noProof/>
          <w:lang w:val="ro-RO"/>
        </w:rPr>
        <w:t>ii transfrontaliere</w:t>
      </w:r>
      <w:bookmarkEnd w:id="122"/>
    </w:p>
    <w:p w14:paraId="0C1B73B6" w14:textId="77777777" w:rsidR="00653571" w:rsidRPr="008C5F1C" w:rsidRDefault="00653571" w:rsidP="00653571">
      <w:pPr>
        <w:pStyle w:val="Heading4"/>
        <w:numPr>
          <w:ilvl w:val="0"/>
          <w:numId w:val="0"/>
        </w:numPr>
        <w:ind w:left="851" w:hanging="851"/>
        <w:rPr>
          <w:rFonts w:cs="Times New Roman"/>
          <w:b/>
          <w:bCs/>
          <w:lang w:val="ro-RO"/>
        </w:rPr>
      </w:pPr>
      <w:r w:rsidRPr="008C5F1C">
        <w:rPr>
          <w:rFonts w:cs="Times New Roman"/>
          <w:b/>
          <w:bCs/>
          <w:lang w:val="ro-RO"/>
        </w:rPr>
        <w:t xml:space="preserve">2.A.3.1 </w:t>
      </w:r>
      <w:proofErr w:type="spellStart"/>
      <w:r w:rsidRPr="008C5F1C">
        <w:rPr>
          <w:rFonts w:cs="Times New Roman"/>
          <w:b/>
          <w:bCs/>
          <w:lang w:val="ro-RO"/>
        </w:rPr>
        <w:t>Interventions</w:t>
      </w:r>
      <w:proofErr w:type="spellEnd"/>
      <w:r w:rsidRPr="008C5F1C">
        <w:rPr>
          <w:rFonts w:cs="Times New Roman"/>
          <w:b/>
          <w:bCs/>
          <w:lang w:val="ro-RO"/>
        </w:rPr>
        <w:t xml:space="preserve"> of </w:t>
      </w:r>
      <w:proofErr w:type="spellStart"/>
      <w:r w:rsidRPr="008C5F1C">
        <w:rPr>
          <w:rFonts w:cs="Times New Roman"/>
          <w:b/>
          <w:bCs/>
          <w:lang w:val="ro-RO"/>
        </w:rPr>
        <w:t>the</w:t>
      </w:r>
      <w:proofErr w:type="spellEnd"/>
      <w:r w:rsidRPr="008C5F1C">
        <w:rPr>
          <w:rFonts w:cs="Times New Roman"/>
          <w:b/>
          <w:bCs/>
          <w:lang w:val="ro-RO"/>
        </w:rPr>
        <w:t xml:space="preserve"> </w:t>
      </w:r>
      <w:proofErr w:type="spellStart"/>
      <w:r w:rsidRPr="008C5F1C">
        <w:rPr>
          <w:rFonts w:cs="Times New Roman"/>
          <w:b/>
          <w:bCs/>
          <w:lang w:val="ro-RO"/>
        </w:rPr>
        <w:t>Funds</w:t>
      </w:r>
      <w:proofErr w:type="spellEnd"/>
    </w:p>
    <w:p w14:paraId="1432BB5A" w14:textId="77777777" w:rsidR="00653571" w:rsidRPr="008C5F1C" w:rsidRDefault="00653571" w:rsidP="00653571">
      <w:pPr>
        <w:spacing w:before="120" w:after="120" w:line="360" w:lineRule="auto"/>
        <w:rPr>
          <w:rFonts w:ascii="Times New Roman" w:eastAsia="Times New Roman" w:hAnsi="Times New Roman" w:cs="Times New Roman"/>
          <w:i/>
          <w:noProof/>
          <w:sz w:val="24"/>
          <w:szCs w:val="24"/>
        </w:rPr>
      </w:pPr>
      <w:r w:rsidRPr="008C5F1C">
        <w:rPr>
          <w:rFonts w:ascii="Times New Roman" w:eastAsia="Times New Roman" w:hAnsi="Times New Roman" w:cs="Times New Roman"/>
          <w:i/>
          <w:noProof/>
          <w:sz w:val="24"/>
          <w:szCs w:val="24"/>
        </w:rPr>
        <w:t>Reference: Article 17(3)(d)(i),(iii),(iv),(v),(vi);</w:t>
      </w:r>
    </w:p>
    <w:p w14:paraId="794A21F1" w14:textId="77777777" w:rsidR="00653571" w:rsidRPr="008C5F1C" w:rsidRDefault="00653571" w:rsidP="00653571">
      <w:pPr>
        <w:bidi/>
        <w:spacing w:before="120" w:after="120" w:line="360" w:lineRule="auto"/>
        <w:jc w:val="right"/>
        <w:rPr>
          <w:rFonts w:ascii="Times New Roman" w:eastAsia="Times New Roman" w:hAnsi="Times New Roman" w:cs="Times New Roman"/>
          <w:b/>
          <w:bCs/>
          <w:i/>
          <w:iCs/>
          <w:noProof/>
          <w:sz w:val="24"/>
          <w:szCs w:val="24"/>
          <w:u w:val="single"/>
        </w:rPr>
      </w:pPr>
      <w:r w:rsidRPr="008C5F1C">
        <w:rPr>
          <w:rFonts w:ascii="Times New Roman" w:eastAsia="Times New Roman" w:hAnsi="Times New Roman" w:cs="Times New Roman"/>
          <w:i/>
          <w:noProof/>
          <w:sz w:val="24"/>
          <w:szCs w:val="24"/>
        </w:rPr>
        <w:t>The related types of actions – Article 17(3)(d)(i) CPR; Article 6(2) ESF+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653571" w:rsidRPr="008C5F1C" w14:paraId="66178E80" w14:textId="77777777" w:rsidTr="00534127">
        <w:tc>
          <w:tcPr>
            <w:tcW w:w="9288" w:type="dxa"/>
            <w:tcBorders>
              <w:top w:val="single" w:sz="4" w:space="0" w:color="auto"/>
              <w:left w:val="single" w:sz="4" w:space="0" w:color="auto"/>
              <w:bottom w:val="single" w:sz="4" w:space="0" w:color="auto"/>
              <w:right w:val="single" w:sz="4" w:space="0" w:color="auto"/>
            </w:tcBorders>
            <w:hideMark/>
          </w:tcPr>
          <w:p w14:paraId="758AFD91" w14:textId="4E5CDEDE" w:rsidR="00053954" w:rsidRPr="008C5F1C" w:rsidRDefault="00053954" w:rsidP="008131FB">
            <w:pPr>
              <w:spacing w:after="120" w:line="240" w:lineRule="auto"/>
              <w:jc w:val="both"/>
              <w:rPr>
                <w:rFonts w:ascii="Times New Roman" w:hAnsi="Times New Roman" w:cs="Times New Roman"/>
              </w:rPr>
            </w:pPr>
            <w:r w:rsidRPr="008C5F1C">
              <w:rPr>
                <w:rFonts w:ascii="Times New Roman" w:hAnsi="Times New Roman" w:cs="Times New Roman"/>
              </w:rPr>
              <w:t xml:space="preserve">Dintre toate rutele rețelei TEN-T Core de pe teritoriul țării, doar una dintre cuprinde un tronson foarte scurt pe teritoriul Regiunii Nord-Vest (Sebeș –Turda –Târgu Mureș –Târgu Neamț –Iași –granița cu Republica Moldova (Ungheni)): dinspre Regiunea Centru (județul Mureș) </w:t>
            </w:r>
            <w:r w:rsidRPr="008C5F1C">
              <w:rPr>
                <w:rFonts w:ascii="Times New Roman" w:hAnsi="Times New Roman" w:cs="Times New Roman"/>
              </w:rPr>
              <w:t xml:space="preserve"> din zona satului Stejeriș (județul Cluj), spre Municipiul Turda, spre Municipiul Câmpia Turzii, spre Satul Luncani (județul Cluj) </w:t>
            </w:r>
            <w:r w:rsidRPr="008C5F1C">
              <w:rPr>
                <w:rFonts w:ascii="Times New Roman" w:hAnsi="Times New Roman" w:cs="Times New Roman"/>
              </w:rPr>
              <w:t> continuând spre Regiunea Centru (județul Mureș). Rețeaua TEN-T Core deservește astfel foarte puțin Regiunea de Dezvoltare Nord-Vest deoarece doar traversează partea sudică a regiunii și unește Alba Iulia de Câmpia Turzii și Târgu-Mureș continuând spre Regiunea de Dezvoltare Nord-Est.</w:t>
            </w:r>
          </w:p>
          <w:p w14:paraId="0C0DC21F" w14:textId="2BE01B19" w:rsidR="00053954" w:rsidRPr="008C5F1C" w:rsidRDefault="00053954" w:rsidP="008131FB">
            <w:pPr>
              <w:spacing w:after="120" w:line="240" w:lineRule="auto"/>
              <w:jc w:val="both"/>
              <w:rPr>
                <w:rFonts w:ascii="Times New Roman" w:hAnsi="Times New Roman" w:cs="Times New Roman"/>
              </w:rPr>
            </w:pPr>
            <w:r w:rsidRPr="008C5F1C">
              <w:rPr>
                <w:rFonts w:ascii="Times New Roman" w:hAnsi="Times New Roman" w:cs="Times New Roman"/>
              </w:rPr>
              <w:t xml:space="preserve">Cu toate acestea, la nivel național a fost constituită ca o prioritate dezvoltarea autostrăzii Transilvania (A3) care asigură legătura între Oradea, Zalău, Cluj-Napoca, Târgu Mureș, Brașov, Ploiești și București. Deși autostrada A3 nu face parte din rețeaua TEN-T </w:t>
            </w:r>
            <w:r w:rsidR="00EB3816">
              <w:rPr>
                <w:rFonts w:ascii="Times New Roman" w:hAnsi="Times New Roman" w:cs="Times New Roman"/>
              </w:rPr>
              <w:t xml:space="preserve">Comprehensive, se suprapune ca traseu </w:t>
            </w:r>
            <w:r w:rsidRPr="008C5F1C">
              <w:rPr>
                <w:rFonts w:ascii="Times New Roman" w:hAnsi="Times New Roman" w:cs="Times New Roman"/>
              </w:rPr>
              <w:t>(segmentul Cluj-Napoca – Zalău - Oradea)</w:t>
            </w:r>
            <w:r w:rsidR="00EB3816">
              <w:rPr>
                <w:rFonts w:ascii="Times New Roman" w:hAnsi="Times New Roman" w:cs="Times New Roman"/>
              </w:rPr>
              <w:t xml:space="preserve">, </w:t>
            </w:r>
            <w:r w:rsidRPr="008C5F1C">
              <w:rPr>
                <w:rFonts w:ascii="Times New Roman" w:hAnsi="Times New Roman" w:cs="Times New Roman"/>
              </w:rPr>
              <w:t>reprez</w:t>
            </w:r>
            <w:r w:rsidR="00EB3816">
              <w:rPr>
                <w:rFonts w:ascii="Times New Roman" w:hAnsi="Times New Roman" w:cs="Times New Roman"/>
              </w:rPr>
              <w:t>entând</w:t>
            </w:r>
            <w:r w:rsidRPr="008C5F1C">
              <w:rPr>
                <w:rFonts w:ascii="Times New Roman" w:hAnsi="Times New Roman" w:cs="Times New Roman"/>
              </w:rPr>
              <w:t xml:space="preserve"> o legătură importantă a regiunii cu orașele din Ungaria. Deja autostrada M4 (Ungaria) este la câțiva kilometrii distanță de </w:t>
            </w:r>
            <w:proofErr w:type="spellStart"/>
            <w:r w:rsidRPr="008C5F1C">
              <w:rPr>
                <w:rFonts w:ascii="Times New Roman" w:hAnsi="Times New Roman" w:cs="Times New Roman"/>
              </w:rPr>
              <w:t>Berettyóújfalu</w:t>
            </w:r>
            <w:proofErr w:type="spellEnd"/>
            <w:r w:rsidRPr="008C5F1C">
              <w:rPr>
                <w:rFonts w:ascii="Times New Roman" w:hAnsi="Times New Roman" w:cs="Times New Roman"/>
              </w:rPr>
              <w:t xml:space="preserve"> urmând ca legătura până la granița cu România (Vama Borș) să fie finalizată în curând.</w:t>
            </w:r>
          </w:p>
          <w:p w14:paraId="06DCCCE6" w14:textId="09541E20" w:rsidR="00053954" w:rsidRPr="008C5F1C" w:rsidRDefault="00053954" w:rsidP="008131FB">
            <w:pPr>
              <w:spacing w:after="120" w:line="240" w:lineRule="auto"/>
              <w:jc w:val="both"/>
              <w:rPr>
                <w:rFonts w:ascii="Times New Roman" w:hAnsi="Times New Roman" w:cs="Times New Roman"/>
              </w:rPr>
            </w:pPr>
            <w:r w:rsidRPr="008C5F1C">
              <w:rPr>
                <w:rFonts w:ascii="Times New Roman" w:hAnsi="Times New Roman" w:cs="Times New Roman"/>
              </w:rPr>
              <w:t xml:space="preserve">În ceea ce privește rețeaua TEN-T </w:t>
            </w:r>
            <w:r w:rsidR="00EB3816">
              <w:rPr>
                <w:rFonts w:ascii="Times New Roman" w:hAnsi="Times New Roman" w:cs="Times New Roman"/>
              </w:rPr>
              <w:t>C</w:t>
            </w:r>
            <w:r w:rsidRPr="008C5F1C">
              <w:rPr>
                <w:rFonts w:ascii="Times New Roman" w:hAnsi="Times New Roman" w:cs="Times New Roman"/>
              </w:rPr>
              <w:t>omprehensive rutieră, Regiunea Nord-Vest este traversată după cum urmează:</w:t>
            </w:r>
          </w:p>
          <w:p w14:paraId="5FAD386B" w14:textId="77777777" w:rsidR="00053954" w:rsidRPr="008C5F1C" w:rsidRDefault="00053954" w:rsidP="008131FB">
            <w:pPr>
              <w:pStyle w:val="ListParagraph"/>
              <w:numPr>
                <w:ilvl w:val="0"/>
                <w:numId w:val="76"/>
              </w:numPr>
              <w:spacing w:before="0" w:line="240" w:lineRule="auto"/>
              <w:jc w:val="both"/>
              <w:rPr>
                <w:sz w:val="22"/>
                <w:lang w:val="ro-RO"/>
              </w:rPr>
            </w:pPr>
            <w:r w:rsidRPr="008C5F1C">
              <w:rPr>
                <w:sz w:val="22"/>
                <w:lang w:val="ro-RO"/>
              </w:rPr>
              <w:t xml:space="preserve">Dinspre Regiunea Vest </w:t>
            </w:r>
            <w:r w:rsidRPr="008C5F1C">
              <w:rPr>
                <w:sz w:val="22"/>
                <w:lang w:val="ro-RO"/>
              </w:rPr>
              <w:sym w:font="Wingdings" w:char="F0E0"/>
            </w:r>
            <w:r w:rsidRPr="008C5F1C">
              <w:rPr>
                <w:sz w:val="22"/>
                <w:lang w:val="ro-RO"/>
              </w:rPr>
              <w:t xml:space="preserve"> spre Municipiul Oradea (de-a lungul drumului  european E671, spre Municipiul Marghita de-a lungul drumului național DN19E, spre Municipiul Zalău de-a lungul drumului național DN19B, spre Municipiul Cluj-Napoca și Municipiul Turda de-a lungul drumului european E81, unde se intersectează cu rețeaua TEN-T Core rutieră;</w:t>
            </w:r>
          </w:p>
          <w:p w14:paraId="135A48CD" w14:textId="77777777" w:rsidR="00053954" w:rsidRPr="008C5F1C" w:rsidRDefault="00053954" w:rsidP="008131FB">
            <w:pPr>
              <w:pStyle w:val="ListParagraph"/>
              <w:numPr>
                <w:ilvl w:val="0"/>
                <w:numId w:val="76"/>
              </w:numPr>
              <w:spacing w:before="0" w:line="240" w:lineRule="auto"/>
              <w:jc w:val="both"/>
              <w:rPr>
                <w:sz w:val="22"/>
                <w:lang w:val="ro-RO"/>
              </w:rPr>
            </w:pPr>
            <w:r w:rsidRPr="008C5F1C">
              <w:rPr>
                <w:sz w:val="22"/>
                <w:lang w:val="ro-RO"/>
              </w:rPr>
              <w:t>Din Satul Halmeu (județul Satu Mare), spre Municipiul Satu Mare și Municipiul Carei de-a lungul drumului E671, spre Orașul Tășnad de-a lungul drumului național DN1F, spre Municipiul Zalău de-a lungul drumului european E81, unde se întâlnește cu tronsonul menționat anterior (parte din rețeaua TEN-T Comprehensive).</w:t>
            </w:r>
          </w:p>
          <w:p w14:paraId="09A7917B" w14:textId="77777777" w:rsidR="00053954" w:rsidRPr="008C5F1C" w:rsidRDefault="00053954" w:rsidP="008131FB">
            <w:pPr>
              <w:spacing w:after="120" w:line="240" w:lineRule="auto"/>
              <w:jc w:val="both"/>
              <w:rPr>
                <w:rFonts w:ascii="Times New Roman" w:hAnsi="Times New Roman" w:cs="Times New Roman"/>
              </w:rPr>
            </w:pPr>
            <w:r w:rsidRPr="008C5F1C">
              <w:rPr>
                <w:rFonts w:ascii="Times New Roman" w:hAnsi="Times New Roman" w:cs="Times New Roman"/>
              </w:rPr>
              <w:t>Municipii importante din regiune precum Baia Mare, Bistrița și Sighetu Marmației se află în afara rețelei TEN-T, componenta rutieră și nu sunt deservite nici de autostrada A3. De asemenea, rețeaua TEN-T nu ia în considerare importanța legăturii rutiere între orașele din regiune și cele din nordul Moldovei (Regiunea de Dezvoltare Nord-Est).</w:t>
            </w:r>
          </w:p>
          <w:p w14:paraId="45B52CDE" w14:textId="0B98E3E6" w:rsidR="00053954" w:rsidRPr="008C5F1C" w:rsidRDefault="00053954" w:rsidP="008131FB">
            <w:pPr>
              <w:spacing w:after="120" w:line="240" w:lineRule="auto"/>
              <w:jc w:val="both"/>
              <w:rPr>
                <w:rFonts w:ascii="Times New Roman" w:hAnsi="Times New Roman" w:cs="Times New Roman"/>
              </w:rPr>
            </w:pPr>
            <w:r w:rsidRPr="008C5F1C">
              <w:rPr>
                <w:rFonts w:ascii="Times New Roman" w:hAnsi="Times New Roman" w:cs="Times New Roman"/>
              </w:rPr>
              <w:lastRenderedPageBreak/>
              <w:t>Deși regiunea Nord-Vest beneficiază de o poziționare favorabilă în relație cu Europa de vest infrastructura de transport rutier încă subdezvoltată limitează posibilitatea de valorificare a acestei poziționări. Principalele coridoare de transport ocolesc regiunea, legăturile între principalele centre urbane, Cluj-Napoca și Oradea sunt suprasolicitate. Dificultăți apar și la nivelul legăturilor între celelalte municipii reședință de județ, mai ales pe segmentele Cluj-Napoca – Dej și Satu Mare – Baia Mare iar grupări de orașe precum cele din Sălaj (Jibou / Cehu Silvaniei), nordul județului Maramureș sau sudul județului Bihor sunt relativ izolate și greu accesibile.</w:t>
            </w:r>
          </w:p>
          <w:p w14:paraId="27B7F3EA" w14:textId="0690C960" w:rsidR="00053954" w:rsidRPr="008C5F1C" w:rsidRDefault="00053954" w:rsidP="008131FB">
            <w:pPr>
              <w:spacing w:after="120" w:line="240" w:lineRule="auto"/>
              <w:jc w:val="both"/>
              <w:rPr>
                <w:rFonts w:ascii="Times New Roman" w:hAnsi="Times New Roman" w:cs="Times New Roman"/>
              </w:rPr>
            </w:pPr>
            <w:r w:rsidRPr="008C5F1C">
              <w:rPr>
                <w:rFonts w:ascii="Times New Roman" w:hAnsi="Times New Roman" w:cs="Times New Roman"/>
              </w:rPr>
              <w:t>Datorită unei rețele de drumuri destul de dezvoltate, susținută de legături cu o capacitate mai mare (A3, DN1, DN1C), municipiul Cluj-Napoca beneficiază de cele mai ridicate valori de accesibilitate incluzând în izocrona de 60 minute alte 2 municipii, respectiv Turda și Câmpia Turzii. O bună conectivitate face ca și Satu Mare alături de Oradea să beneficieze de relații bune cu teritoriul învecinat incluzând în izocronă și o serie de orașe precum Carei, Livada, Ardud, Salonta sau Aleșd. Și celelalte 3 municipii reședință de județ includ în izocrona de 60 minute alte orașe, însă acoperirea teritorială este considerabil mai mică.</w:t>
            </w:r>
          </w:p>
          <w:p w14:paraId="036BB0CC" w14:textId="6081011D" w:rsidR="00053954" w:rsidRPr="008C5F1C" w:rsidRDefault="00053954" w:rsidP="008131FB">
            <w:pPr>
              <w:spacing w:after="120" w:line="240" w:lineRule="auto"/>
              <w:jc w:val="both"/>
              <w:rPr>
                <w:rFonts w:ascii="Times New Roman" w:hAnsi="Times New Roman" w:cs="Times New Roman"/>
              </w:rPr>
            </w:pPr>
            <w:r w:rsidRPr="008C5F1C">
              <w:rPr>
                <w:rFonts w:ascii="Times New Roman" w:hAnsi="Times New Roman" w:cs="Times New Roman"/>
              </w:rPr>
              <w:t>Cu toate acestea, se identifică două zone la nivel regional ce nu beneficiază de o accesibilitate la fel de facilă către marile centre urbane din regiune, respectiv zona din sud-estul municipiului Cluj-Napoca (orașele Beiuș, Ștei, Nucet), precum și zona situată în nord-estul regiunii (orașele Vișeu de Sus, Săliștea de Sus, Borșa, Sângeorz Băi). Acest lucru diminuează accesul populației din aceste zone către municipiile reședință de județ, fiind necesară o deplasare mai îndelungată ca perioadă de timp pentru a accesa anumite servicii.</w:t>
            </w:r>
          </w:p>
          <w:p w14:paraId="2C0507DF" w14:textId="57BE19F5" w:rsidR="00F91A2E" w:rsidRPr="008C5F1C" w:rsidRDefault="00653571" w:rsidP="008131FB">
            <w:pPr>
              <w:spacing w:after="120" w:line="240" w:lineRule="auto"/>
              <w:jc w:val="both"/>
              <w:rPr>
                <w:rFonts w:ascii="Times New Roman" w:hAnsi="Times New Roman" w:cs="Times New Roman"/>
              </w:rPr>
            </w:pPr>
            <w:r w:rsidRPr="008C5F1C">
              <w:rPr>
                <w:rFonts w:ascii="Times New Roman" w:hAnsi="Times New Roman" w:cs="Times New Roman"/>
              </w:rPr>
              <w:t xml:space="preserve">Regiunea de Dezvoltare Nord-Vest are printre cele mai mici procente de drumuri publice modernizate. Astfel, din totalul de km de drumuri publice, doar aproximativ o treime sunt modernizate. </w:t>
            </w:r>
            <w:r w:rsidR="00053954" w:rsidRPr="008C5F1C">
              <w:rPr>
                <w:rFonts w:ascii="Times New Roman" w:hAnsi="Times New Roman" w:cs="Times New Roman"/>
              </w:rPr>
              <w:t xml:space="preserve">Doar județele Bihor și Cluj au peste 300 km de drumuri județene modernizate. Deși județul Cluj are cea mai mare cantitate de drumuri modernizate are și cea mai mare cantitate de drumuri pietruite. Cele mai mici valori de drumuri județene modernizate se regăsesc în județele Bistrița-Năsăud, Satu-Mare și Sălaj. Totuși, Satu Mare deține cea mai mare cantitate de drumuri cu </w:t>
            </w:r>
            <w:proofErr w:type="spellStart"/>
            <w:r w:rsidR="00053954" w:rsidRPr="008C5F1C">
              <w:rPr>
                <w:rFonts w:ascii="Times New Roman" w:hAnsi="Times New Roman" w:cs="Times New Roman"/>
              </w:rPr>
              <w:t>îmbrăcăminți</w:t>
            </w:r>
            <w:proofErr w:type="spellEnd"/>
            <w:r w:rsidR="00053954" w:rsidRPr="008C5F1C">
              <w:rPr>
                <w:rFonts w:ascii="Times New Roman" w:hAnsi="Times New Roman" w:cs="Times New Roman"/>
              </w:rPr>
              <w:t xml:space="preserve"> ușoare din regiune.</w:t>
            </w:r>
          </w:p>
          <w:p w14:paraId="014BA4C3" w14:textId="3F16E6A3" w:rsidR="00053954" w:rsidRPr="008C5F1C" w:rsidRDefault="00053954" w:rsidP="008131FB">
            <w:pPr>
              <w:spacing w:after="120" w:line="240" w:lineRule="auto"/>
              <w:jc w:val="both"/>
              <w:rPr>
                <w:rFonts w:ascii="Times New Roman" w:hAnsi="Times New Roman" w:cs="Times New Roman"/>
              </w:rPr>
            </w:pPr>
            <w:r w:rsidRPr="008C5F1C">
              <w:rPr>
                <w:rFonts w:ascii="Times New Roman" w:hAnsi="Times New Roman" w:cs="Times New Roman"/>
              </w:rPr>
              <w:t>La nivelul anului 2018 în Regiunea Nord-Vest erau încă 777 km de drumuri județene pietruite și 257 km de drum județean de pământ. Principalele drumuri județene nemodernizate se regăsesc în zone montane cu un relief accidentat și deservesc comune mai slab populate. Drumurile județene care alimentează municipiile și orașele din regiune se află de regulă într-o stare bună. Dificultăți apar în ceea ce privește deservirea orașelor Săliștea de Sus, Dragomirești, Târgu Lăpuș și Ulmeni. Totuși cea mai mare parte a drumurilor județene se află deja în proces de modernizare fiind fie în curs de implementare (finanțare POR sau PNDL) sau sunt pregătite pentru următoarea perioadă de programare.</w:t>
            </w:r>
            <w:r w:rsidR="00EB3816" w:rsidRPr="008C5F1C">
              <w:rPr>
                <w:rFonts w:ascii="Times New Roman" w:hAnsi="Times New Roman" w:cs="Times New Roman"/>
              </w:rPr>
              <w:t xml:space="preserve"> Evaluarea Axei 6 din POR 2014-2020 indică în continuare nevoia semnificativă de finanțare a sectorului și importanța fondurilor europene ca investiții în drumurile județene. </w:t>
            </w:r>
          </w:p>
          <w:p w14:paraId="32F6A0C0" w14:textId="0FA85DA8" w:rsidR="00053954" w:rsidRPr="008C5F1C" w:rsidRDefault="00053954" w:rsidP="008131FB">
            <w:pPr>
              <w:spacing w:after="120" w:line="240" w:lineRule="auto"/>
              <w:jc w:val="both"/>
              <w:rPr>
                <w:rFonts w:ascii="Times New Roman" w:hAnsi="Times New Roman" w:cs="Times New Roman"/>
              </w:rPr>
            </w:pPr>
            <w:r w:rsidRPr="008C5F1C">
              <w:rPr>
                <w:rFonts w:ascii="Times New Roman" w:hAnsi="Times New Roman" w:cs="Times New Roman"/>
              </w:rPr>
              <w:t>Calitatea infrastructurii rutiere rămâne o problemă importantă în cazul mediului rural sau a satelor aparținătoare din mediul urban. Cea mai mare pondere a numărului de drumuri comunale modernizate din total se regăsește în județul Satu Mare (peste 25%). În județul Bistrița-Năsăud există doar 1 km de drum comunal modernizat, din totalul de 583 km.</w:t>
            </w:r>
          </w:p>
          <w:p w14:paraId="7AE9D33D" w14:textId="4B865BF3" w:rsidR="00053954" w:rsidRPr="008C5F1C" w:rsidRDefault="00053954" w:rsidP="008131FB">
            <w:pPr>
              <w:spacing w:after="120" w:line="240" w:lineRule="auto"/>
              <w:jc w:val="both"/>
              <w:rPr>
                <w:rFonts w:ascii="Times New Roman" w:hAnsi="Times New Roman" w:cs="Times New Roman"/>
              </w:rPr>
            </w:pPr>
            <w:r w:rsidRPr="008C5F1C">
              <w:rPr>
                <w:rFonts w:ascii="Times New Roman" w:hAnsi="Times New Roman" w:cs="Times New Roman"/>
              </w:rPr>
              <w:t>În ceea ce privește calitatea drumurilor la nivel local, în anul 2018, conform datelor INS, cei mai mulți k</w:t>
            </w:r>
            <w:r w:rsidR="00550377" w:rsidRPr="008C5F1C">
              <w:rPr>
                <w:rFonts w:ascii="Times New Roman" w:hAnsi="Times New Roman" w:cs="Times New Roman"/>
              </w:rPr>
              <w:t>m</w:t>
            </w:r>
            <w:r w:rsidRPr="008C5F1C">
              <w:rPr>
                <w:rFonts w:ascii="Times New Roman" w:hAnsi="Times New Roman" w:cs="Times New Roman"/>
              </w:rPr>
              <w:t xml:space="preserve"> de străzi modernizate raportat la lungimea totală a drumurilor se înregistrează în următoarele localități</w:t>
            </w:r>
            <w:r w:rsidR="009F28F2">
              <w:rPr>
                <w:rFonts w:ascii="Times New Roman" w:hAnsi="Times New Roman" w:cs="Times New Roman"/>
              </w:rPr>
              <w:t xml:space="preserve"> </w:t>
            </w:r>
            <w:r w:rsidRPr="008C5F1C">
              <w:rPr>
                <w:rFonts w:ascii="Times New Roman" w:hAnsi="Times New Roman" w:cs="Times New Roman"/>
              </w:rPr>
              <w:t>(în ordine descrescătoare): Orașul Jibou și Orașul Ștei (100% fiecare), Municipiul Carei (96%), Municipiul Cluj-Napoca (95%), Orașul Șomcuța Mare (93%), Orașul Târgu Lăpuș (92%), Municipiul Câmpia Turzii (90%), Orașul Ulmeni (89%), Municipiul Satu Mare (88%), Municipiul Baia Mare (88%), Orașul Ardud (88%), Municipiul Gherla (83%), Municipiul Oradea (79%). Municipiul Zalău și Municipiul Bistrița se află în clasamentul celor 43 de orașe și municipii ale regiunii pe locurile 29 și 30, cu 66% drumuri modernizate, respectiv 64%.</w:t>
            </w:r>
          </w:p>
          <w:p w14:paraId="7759B4F5" w14:textId="13A9401C" w:rsidR="00053954" w:rsidRPr="008C5F1C" w:rsidRDefault="00053954" w:rsidP="008131FB">
            <w:pPr>
              <w:spacing w:after="120" w:line="240" w:lineRule="auto"/>
              <w:jc w:val="both"/>
              <w:rPr>
                <w:rFonts w:ascii="Times New Roman" w:hAnsi="Times New Roman" w:cs="Times New Roman"/>
              </w:rPr>
            </w:pPr>
            <w:r w:rsidRPr="008C5F1C">
              <w:rPr>
                <w:rFonts w:ascii="Times New Roman" w:hAnsi="Times New Roman" w:cs="Times New Roman"/>
              </w:rPr>
              <w:t xml:space="preserve">Ponderea străzilor nemodernizate este mai ridicată în cazul orașelor mai mici, calitatea redusă a acestora reprezentând o problemă pentru traficul local, acesta fiind îngreunat și putând să creeze probleme de congestie și/sau de reducere a accesibilității în anumite zone ale orașului. </w:t>
            </w:r>
          </w:p>
          <w:p w14:paraId="5848AED5" w14:textId="77777777" w:rsidR="00D81298" w:rsidRPr="008C5F1C" w:rsidRDefault="00D81298" w:rsidP="008131FB">
            <w:pPr>
              <w:spacing w:after="120" w:line="240" w:lineRule="auto"/>
              <w:jc w:val="both"/>
              <w:rPr>
                <w:rFonts w:ascii="Times New Roman" w:hAnsi="Times New Roman" w:cs="Times New Roman"/>
              </w:rPr>
            </w:pPr>
            <w:r w:rsidRPr="008C5F1C">
              <w:rPr>
                <w:rFonts w:ascii="Times New Roman" w:hAnsi="Times New Roman" w:cs="Times New Roman"/>
              </w:rPr>
              <w:t>Infrastructura de transport în marile ora</w:t>
            </w:r>
            <w:r w:rsidR="00106240" w:rsidRPr="008C5F1C">
              <w:rPr>
                <w:rFonts w:ascii="Times New Roman" w:hAnsi="Times New Roman" w:cs="Times New Roman"/>
              </w:rPr>
              <w:t>ș</w:t>
            </w:r>
            <w:r w:rsidRPr="008C5F1C">
              <w:rPr>
                <w:rFonts w:ascii="Times New Roman" w:hAnsi="Times New Roman" w:cs="Times New Roman"/>
              </w:rPr>
              <w:t xml:space="preserve">e este congestionată în orele de vârf. </w:t>
            </w:r>
          </w:p>
          <w:p w14:paraId="77680029" w14:textId="2E587DB7" w:rsidR="00D81298" w:rsidRPr="008C5F1C" w:rsidRDefault="00D81298" w:rsidP="008131FB">
            <w:pPr>
              <w:spacing w:after="120" w:line="240" w:lineRule="auto"/>
              <w:jc w:val="both"/>
              <w:rPr>
                <w:rFonts w:ascii="Times New Roman" w:hAnsi="Times New Roman" w:cs="Times New Roman"/>
              </w:rPr>
            </w:pPr>
            <w:r w:rsidRPr="008C5F1C">
              <w:rPr>
                <w:rFonts w:ascii="Times New Roman" w:hAnsi="Times New Roman" w:cs="Times New Roman"/>
              </w:rPr>
              <w:lastRenderedPageBreak/>
              <w:t xml:space="preserve">În lipsa dotărilor, obiectivelor de interes </w:t>
            </w:r>
            <w:r w:rsidR="00106240" w:rsidRPr="008C5F1C">
              <w:rPr>
                <w:rFonts w:ascii="Times New Roman" w:hAnsi="Times New Roman" w:cs="Times New Roman"/>
              </w:rPr>
              <w:t>ș</w:t>
            </w:r>
            <w:r w:rsidRPr="008C5F1C">
              <w:rPr>
                <w:rFonts w:ascii="Times New Roman" w:hAnsi="Times New Roman" w:cs="Times New Roman"/>
              </w:rPr>
              <w:t>i a locurilor de muncă noile zone reziden</w:t>
            </w:r>
            <w:r w:rsidR="00E22FF2" w:rsidRPr="008C5F1C">
              <w:rPr>
                <w:rFonts w:ascii="Times New Roman" w:hAnsi="Times New Roman" w:cs="Times New Roman"/>
              </w:rPr>
              <w:t>ț</w:t>
            </w:r>
            <w:r w:rsidRPr="008C5F1C">
              <w:rPr>
                <w:rFonts w:ascii="Times New Roman" w:hAnsi="Times New Roman" w:cs="Times New Roman"/>
              </w:rPr>
              <w:t xml:space="preserve">iale din </w:t>
            </w:r>
            <w:proofErr w:type="spellStart"/>
            <w:r w:rsidRPr="008C5F1C">
              <w:rPr>
                <w:rFonts w:ascii="Times New Roman" w:hAnsi="Times New Roman" w:cs="Times New Roman"/>
              </w:rPr>
              <w:t>periurban</w:t>
            </w:r>
            <w:proofErr w:type="spellEnd"/>
            <w:r w:rsidRPr="008C5F1C">
              <w:rPr>
                <w:rFonts w:ascii="Times New Roman" w:hAnsi="Times New Roman" w:cs="Times New Roman"/>
              </w:rPr>
              <w:t xml:space="preserve"> generează deplasări frecvente către centrul urban. Infrastructura de transport nu este adaptată pentru a sus</w:t>
            </w:r>
            <w:r w:rsidR="00E22FF2" w:rsidRPr="008C5F1C">
              <w:rPr>
                <w:rFonts w:ascii="Times New Roman" w:hAnsi="Times New Roman" w:cs="Times New Roman"/>
              </w:rPr>
              <w:t>ț</w:t>
            </w:r>
            <w:r w:rsidRPr="008C5F1C">
              <w:rPr>
                <w:rFonts w:ascii="Times New Roman" w:hAnsi="Times New Roman" w:cs="Times New Roman"/>
              </w:rPr>
              <w:t xml:space="preserve">ine acest număr ridicat de deplasări, ceea ce duce la aglomerarea traficului. Congestia legăturilor principale are un impact negativ </w:t>
            </w:r>
            <w:r w:rsidR="00106240" w:rsidRPr="008C5F1C">
              <w:rPr>
                <w:rFonts w:ascii="Times New Roman" w:hAnsi="Times New Roman" w:cs="Times New Roman"/>
              </w:rPr>
              <w:t>ș</w:t>
            </w:r>
            <w:r w:rsidRPr="008C5F1C">
              <w:rPr>
                <w:rFonts w:ascii="Times New Roman" w:hAnsi="Times New Roman" w:cs="Times New Roman"/>
              </w:rPr>
              <w:t>i asupra mijloacelor de transport public care nu î</w:t>
            </w:r>
            <w:r w:rsidR="00106240" w:rsidRPr="008C5F1C">
              <w:rPr>
                <w:rFonts w:ascii="Times New Roman" w:hAnsi="Times New Roman" w:cs="Times New Roman"/>
              </w:rPr>
              <w:t>ș</w:t>
            </w:r>
            <w:r w:rsidRPr="008C5F1C">
              <w:rPr>
                <w:rFonts w:ascii="Times New Roman" w:hAnsi="Times New Roman" w:cs="Times New Roman"/>
              </w:rPr>
              <w:t xml:space="preserve">i pot respecta programul. </w:t>
            </w:r>
          </w:p>
          <w:p w14:paraId="6BDB1C7A" w14:textId="77777777" w:rsidR="007B5FD9" w:rsidRPr="008C5F1C" w:rsidRDefault="007B5FD9" w:rsidP="008131FB">
            <w:pPr>
              <w:spacing w:after="120" w:line="240" w:lineRule="auto"/>
              <w:jc w:val="both"/>
              <w:rPr>
                <w:rFonts w:ascii="Times New Roman" w:hAnsi="Times New Roman" w:cs="Times New Roman"/>
              </w:rPr>
            </w:pPr>
            <w:r w:rsidRPr="008C5F1C">
              <w:rPr>
                <w:rFonts w:ascii="Times New Roman" w:hAnsi="Times New Roman" w:cs="Times New Roman"/>
              </w:rPr>
              <w:t xml:space="preserve">Pentru a putea asigura </w:t>
            </w:r>
            <w:proofErr w:type="spellStart"/>
            <w:r w:rsidRPr="008C5F1C">
              <w:rPr>
                <w:rFonts w:ascii="Times New Roman" w:hAnsi="Times New Roman" w:cs="Times New Roman"/>
              </w:rPr>
              <w:t>prioritizarea</w:t>
            </w:r>
            <w:proofErr w:type="spellEnd"/>
            <w:r w:rsidRPr="008C5F1C">
              <w:rPr>
                <w:rFonts w:ascii="Times New Roman" w:hAnsi="Times New Roman" w:cs="Times New Roman"/>
              </w:rPr>
              <w:t xml:space="preserve"> transportului public </w:t>
            </w:r>
            <w:r w:rsidR="00106240" w:rsidRPr="008C5F1C">
              <w:rPr>
                <w:rFonts w:ascii="Times New Roman" w:hAnsi="Times New Roman" w:cs="Times New Roman"/>
              </w:rPr>
              <w:t>ș</w:t>
            </w:r>
            <w:r w:rsidRPr="008C5F1C">
              <w:rPr>
                <w:rFonts w:ascii="Times New Roman" w:hAnsi="Times New Roman" w:cs="Times New Roman"/>
              </w:rPr>
              <w:t>i dezvoltarea infrastructurii pentru biciclete este adesea nevoie de lărgirea profilului străzilor sau de cre</w:t>
            </w:r>
            <w:r w:rsidR="00106240" w:rsidRPr="008C5F1C">
              <w:rPr>
                <w:rFonts w:ascii="Times New Roman" w:hAnsi="Times New Roman" w:cs="Times New Roman"/>
              </w:rPr>
              <w:t>ș</w:t>
            </w:r>
            <w:r w:rsidRPr="008C5F1C">
              <w:rPr>
                <w:rFonts w:ascii="Times New Roman" w:hAnsi="Times New Roman" w:cs="Times New Roman"/>
              </w:rPr>
              <w:t>terea capacită</w:t>
            </w:r>
            <w:r w:rsidR="00E22FF2" w:rsidRPr="008C5F1C">
              <w:rPr>
                <w:rFonts w:ascii="Times New Roman" w:hAnsi="Times New Roman" w:cs="Times New Roman"/>
              </w:rPr>
              <w:t>ț</w:t>
            </w:r>
            <w:r w:rsidRPr="008C5F1C">
              <w:rPr>
                <w:rFonts w:ascii="Times New Roman" w:hAnsi="Times New Roman" w:cs="Times New Roman"/>
              </w:rPr>
              <w:t>ii intersec</w:t>
            </w:r>
            <w:r w:rsidR="00E22FF2" w:rsidRPr="008C5F1C">
              <w:rPr>
                <w:rFonts w:ascii="Times New Roman" w:hAnsi="Times New Roman" w:cs="Times New Roman"/>
              </w:rPr>
              <w:t>ț</w:t>
            </w:r>
            <w:r w:rsidRPr="008C5F1C">
              <w:rPr>
                <w:rFonts w:ascii="Times New Roman" w:hAnsi="Times New Roman" w:cs="Times New Roman"/>
              </w:rPr>
              <w:t xml:space="preserve">iilor.  </w:t>
            </w:r>
          </w:p>
          <w:p w14:paraId="704D9126" w14:textId="4F7C53B1" w:rsidR="007B5FD9" w:rsidRPr="008C5F1C" w:rsidRDefault="007B5FD9" w:rsidP="008131FB">
            <w:pPr>
              <w:spacing w:after="120" w:line="240" w:lineRule="auto"/>
              <w:jc w:val="both"/>
              <w:rPr>
                <w:rFonts w:ascii="Times New Roman" w:hAnsi="Times New Roman" w:cs="Times New Roman"/>
              </w:rPr>
            </w:pPr>
            <w:r w:rsidRPr="008C5F1C">
              <w:rPr>
                <w:rFonts w:ascii="Times New Roman" w:hAnsi="Times New Roman" w:cs="Times New Roman"/>
              </w:rPr>
              <w:t>În cazul ora</w:t>
            </w:r>
            <w:r w:rsidR="00106240" w:rsidRPr="008C5F1C">
              <w:rPr>
                <w:rFonts w:ascii="Times New Roman" w:hAnsi="Times New Roman" w:cs="Times New Roman"/>
              </w:rPr>
              <w:t>ș</w:t>
            </w:r>
            <w:r w:rsidRPr="008C5F1C">
              <w:rPr>
                <w:rFonts w:ascii="Times New Roman" w:hAnsi="Times New Roman" w:cs="Times New Roman"/>
              </w:rPr>
              <w:t xml:space="preserve">elor mici lipsa unei centuri face ca traficul greu să traverseze adesea zona centrală suprasolicitând infrastructura de transport local </w:t>
            </w:r>
            <w:r w:rsidR="00106240" w:rsidRPr="008C5F1C">
              <w:rPr>
                <w:rFonts w:ascii="Times New Roman" w:hAnsi="Times New Roman" w:cs="Times New Roman"/>
              </w:rPr>
              <w:t>ș</w:t>
            </w:r>
            <w:r w:rsidRPr="008C5F1C">
              <w:rPr>
                <w:rFonts w:ascii="Times New Roman" w:hAnsi="Times New Roman" w:cs="Times New Roman"/>
              </w:rPr>
              <w:t xml:space="preserve">i afectând într-un mod negativ calitatea aerului </w:t>
            </w:r>
            <w:r w:rsidR="00106240" w:rsidRPr="008C5F1C">
              <w:rPr>
                <w:rFonts w:ascii="Times New Roman" w:hAnsi="Times New Roman" w:cs="Times New Roman"/>
              </w:rPr>
              <w:t>ș</w:t>
            </w:r>
            <w:r w:rsidRPr="008C5F1C">
              <w:rPr>
                <w:rFonts w:ascii="Times New Roman" w:hAnsi="Times New Roman" w:cs="Times New Roman"/>
              </w:rPr>
              <w:t>i siguran</w:t>
            </w:r>
            <w:r w:rsidR="00E22FF2" w:rsidRPr="008C5F1C">
              <w:rPr>
                <w:rFonts w:ascii="Times New Roman" w:hAnsi="Times New Roman" w:cs="Times New Roman"/>
              </w:rPr>
              <w:t>ț</w:t>
            </w:r>
            <w:r w:rsidRPr="008C5F1C">
              <w:rPr>
                <w:rFonts w:ascii="Times New Roman" w:hAnsi="Times New Roman" w:cs="Times New Roman"/>
              </w:rPr>
              <w:t>a rutieră. De asemenea, faptul că traficul greu traversează încă ora</w:t>
            </w:r>
            <w:r w:rsidR="00106240" w:rsidRPr="008C5F1C">
              <w:rPr>
                <w:rFonts w:ascii="Times New Roman" w:hAnsi="Times New Roman" w:cs="Times New Roman"/>
              </w:rPr>
              <w:t>ș</w:t>
            </w:r>
            <w:r w:rsidRPr="008C5F1C">
              <w:rPr>
                <w:rFonts w:ascii="Times New Roman" w:hAnsi="Times New Roman" w:cs="Times New Roman"/>
              </w:rPr>
              <w:t>ele din regiune compromite implementarea unor proiecte de mobilitate urbană durabilă precum dezvoltarea infrastructurii pentru biciclete sau a traseelor pietonale. Municipii precum Satu Mare, Bistri</w:t>
            </w:r>
            <w:r w:rsidR="00E22FF2" w:rsidRPr="008C5F1C">
              <w:rPr>
                <w:rFonts w:ascii="Times New Roman" w:hAnsi="Times New Roman" w:cs="Times New Roman"/>
              </w:rPr>
              <w:t>ț</w:t>
            </w:r>
            <w:r w:rsidRPr="008C5F1C">
              <w:rPr>
                <w:rFonts w:ascii="Times New Roman" w:hAnsi="Times New Roman" w:cs="Times New Roman"/>
              </w:rPr>
              <w:t>a, Baia Mare, Turda</w:t>
            </w:r>
            <w:r w:rsidR="00B52A3E" w:rsidRPr="008C5F1C">
              <w:rPr>
                <w:rFonts w:ascii="Times New Roman" w:hAnsi="Times New Roman" w:cs="Times New Roman"/>
              </w:rPr>
              <w:t xml:space="preserve">, Câmpia Turzii, </w:t>
            </w:r>
            <w:r w:rsidRPr="008C5F1C">
              <w:rPr>
                <w:rFonts w:ascii="Times New Roman" w:hAnsi="Times New Roman" w:cs="Times New Roman"/>
              </w:rPr>
              <w:t>sau ora</w:t>
            </w:r>
            <w:r w:rsidR="00106240" w:rsidRPr="008C5F1C">
              <w:rPr>
                <w:rFonts w:ascii="Times New Roman" w:hAnsi="Times New Roman" w:cs="Times New Roman"/>
              </w:rPr>
              <w:t>ș</w:t>
            </w:r>
            <w:r w:rsidRPr="008C5F1C">
              <w:rPr>
                <w:rFonts w:ascii="Times New Roman" w:hAnsi="Times New Roman" w:cs="Times New Roman"/>
              </w:rPr>
              <w:t>e precum Beclean sau Năsăud sunt traversate de ape sau căi ferate. Numărul insuficient de conexiuni peste aceste obstacole face ca pasajele existente să fie suprasolicitate.</w:t>
            </w:r>
          </w:p>
          <w:p w14:paraId="6AC655A4" w14:textId="77777777" w:rsidR="00F91A2E" w:rsidRPr="008C5F1C" w:rsidRDefault="00653571" w:rsidP="008131FB">
            <w:pPr>
              <w:spacing w:after="120" w:line="240" w:lineRule="auto"/>
              <w:jc w:val="both"/>
              <w:rPr>
                <w:rFonts w:ascii="Times New Roman" w:hAnsi="Times New Roman" w:cs="Times New Roman"/>
              </w:rPr>
            </w:pPr>
            <w:r w:rsidRPr="008C5F1C">
              <w:rPr>
                <w:rFonts w:ascii="Times New Roman" w:hAnsi="Times New Roman" w:cs="Times New Roman"/>
              </w:rPr>
              <w:t>În vederea cre</w:t>
            </w:r>
            <w:r w:rsidR="00106240" w:rsidRPr="008C5F1C">
              <w:rPr>
                <w:rFonts w:ascii="Times New Roman" w:hAnsi="Times New Roman" w:cs="Times New Roman"/>
              </w:rPr>
              <w:t>ș</w:t>
            </w:r>
            <w:r w:rsidRPr="008C5F1C">
              <w:rPr>
                <w:rFonts w:ascii="Times New Roman" w:hAnsi="Times New Roman" w:cs="Times New Roman"/>
              </w:rPr>
              <w:t xml:space="preserve">terii gradului de accesibilitate </w:t>
            </w:r>
            <w:r w:rsidR="00106240" w:rsidRPr="008C5F1C">
              <w:rPr>
                <w:rFonts w:ascii="Times New Roman" w:hAnsi="Times New Roman" w:cs="Times New Roman"/>
              </w:rPr>
              <w:t>ș</w:t>
            </w:r>
            <w:r w:rsidRPr="008C5F1C">
              <w:rPr>
                <w:rFonts w:ascii="Times New Roman" w:hAnsi="Times New Roman" w:cs="Times New Roman"/>
              </w:rPr>
              <w:t>i îmbun</w:t>
            </w:r>
            <w:r w:rsidR="00BA7827" w:rsidRPr="008C5F1C">
              <w:rPr>
                <w:rFonts w:ascii="Times New Roman" w:hAnsi="Times New Roman" w:cs="Times New Roman"/>
              </w:rPr>
              <w:t>ă</w:t>
            </w:r>
            <w:r w:rsidRPr="008C5F1C">
              <w:rPr>
                <w:rFonts w:ascii="Times New Roman" w:hAnsi="Times New Roman" w:cs="Times New Roman"/>
              </w:rPr>
              <w:t>t</w:t>
            </w:r>
            <w:r w:rsidR="00BA7827" w:rsidRPr="008C5F1C">
              <w:rPr>
                <w:rFonts w:ascii="Times New Roman" w:hAnsi="Times New Roman" w:cs="Times New Roman"/>
              </w:rPr>
              <w:t>ă</w:t>
            </w:r>
            <w:r w:rsidR="00E22FF2" w:rsidRPr="008C5F1C">
              <w:rPr>
                <w:rFonts w:ascii="Times New Roman" w:hAnsi="Times New Roman" w:cs="Times New Roman"/>
              </w:rPr>
              <w:t>ț</w:t>
            </w:r>
            <w:r w:rsidRPr="008C5F1C">
              <w:rPr>
                <w:rFonts w:ascii="Times New Roman" w:hAnsi="Times New Roman" w:cs="Times New Roman"/>
              </w:rPr>
              <w:t>irii calit</w:t>
            </w:r>
            <w:r w:rsidR="00BA7827" w:rsidRPr="008C5F1C">
              <w:rPr>
                <w:rFonts w:ascii="Times New Roman" w:hAnsi="Times New Roman" w:cs="Times New Roman"/>
              </w:rPr>
              <w:t>ă</w:t>
            </w:r>
            <w:r w:rsidR="00E22FF2" w:rsidRPr="008C5F1C">
              <w:rPr>
                <w:rFonts w:ascii="Times New Roman" w:hAnsi="Times New Roman" w:cs="Times New Roman"/>
              </w:rPr>
              <w:t>ț</w:t>
            </w:r>
            <w:r w:rsidRPr="008C5F1C">
              <w:rPr>
                <w:rFonts w:ascii="Times New Roman" w:hAnsi="Times New Roman" w:cs="Times New Roman"/>
              </w:rPr>
              <w:t>ii infrastructurii de transport din regiune, se au în v</w:t>
            </w:r>
            <w:r w:rsidR="00EF19AC" w:rsidRPr="008C5F1C">
              <w:rPr>
                <w:rFonts w:ascii="Times New Roman" w:hAnsi="Times New Roman" w:cs="Times New Roman"/>
              </w:rPr>
              <w:t>edere</w:t>
            </w:r>
            <w:r w:rsidRPr="008C5F1C">
              <w:rPr>
                <w:rFonts w:ascii="Times New Roman" w:hAnsi="Times New Roman" w:cs="Times New Roman"/>
              </w:rPr>
              <w:t xml:space="preserve"> urm</w:t>
            </w:r>
            <w:r w:rsidR="00BA7827" w:rsidRPr="008C5F1C">
              <w:rPr>
                <w:rFonts w:ascii="Times New Roman" w:hAnsi="Times New Roman" w:cs="Times New Roman"/>
              </w:rPr>
              <w:t>ă</w:t>
            </w:r>
            <w:r w:rsidR="00EF19AC" w:rsidRPr="008C5F1C">
              <w:rPr>
                <w:rFonts w:ascii="Times New Roman" w:hAnsi="Times New Roman" w:cs="Times New Roman"/>
              </w:rPr>
              <w:t>toarele tipuri de ac</w:t>
            </w:r>
            <w:r w:rsidR="00E22FF2" w:rsidRPr="008C5F1C">
              <w:rPr>
                <w:rFonts w:ascii="Times New Roman" w:hAnsi="Times New Roman" w:cs="Times New Roman"/>
              </w:rPr>
              <w:t>ț</w:t>
            </w:r>
            <w:r w:rsidR="00EF19AC" w:rsidRPr="008C5F1C">
              <w:rPr>
                <w:rFonts w:ascii="Times New Roman" w:hAnsi="Times New Roman" w:cs="Times New Roman"/>
              </w:rPr>
              <w:t>iuni</w:t>
            </w:r>
            <w:r w:rsidR="00F91A2E" w:rsidRPr="008C5F1C">
              <w:rPr>
                <w:rFonts w:ascii="Times New Roman" w:hAnsi="Times New Roman" w:cs="Times New Roman"/>
              </w:rPr>
              <w:t>:</w:t>
            </w:r>
          </w:p>
          <w:p w14:paraId="55D051B7" w14:textId="5C1681B7" w:rsidR="00F91A2E" w:rsidRPr="008C5F1C" w:rsidRDefault="00653571" w:rsidP="008131FB">
            <w:pPr>
              <w:spacing w:after="120" w:line="240" w:lineRule="auto"/>
              <w:jc w:val="both"/>
              <w:rPr>
                <w:rFonts w:ascii="Times New Roman" w:hAnsi="Times New Roman" w:cs="Times New Roman"/>
              </w:rPr>
            </w:pPr>
            <w:r w:rsidRPr="008C5F1C">
              <w:rPr>
                <w:rFonts w:ascii="Times New Roman" w:hAnsi="Times New Roman" w:cs="Times New Roman"/>
                <w:b/>
                <w:bCs/>
              </w:rPr>
              <w:t>a) Construirea</w:t>
            </w:r>
            <w:r w:rsidR="008131FB" w:rsidRPr="008C5F1C">
              <w:rPr>
                <w:rFonts w:ascii="Times New Roman" w:hAnsi="Times New Roman" w:cs="Times New Roman"/>
                <w:b/>
                <w:bCs/>
              </w:rPr>
              <w:t>/r</w:t>
            </w:r>
            <w:r w:rsidRPr="008C5F1C">
              <w:rPr>
                <w:rFonts w:ascii="Times New Roman" w:hAnsi="Times New Roman" w:cs="Times New Roman"/>
                <w:b/>
                <w:bCs/>
              </w:rPr>
              <w:t>eabilitarea leg</w:t>
            </w:r>
            <w:r w:rsidR="00BA7827" w:rsidRPr="008C5F1C">
              <w:rPr>
                <w:rFonts w:ascii="Times New Roman" w:hAnsi="Times New Roman" w:cs="Times New Roman"/>
                <w:b/>
                <w:bCs/>
              </w:rPr>
              <w:t>ă</w:t>
            </w:r>
            <w:r w:rsidRPr="008C5F1C">
              <w:rPr>
                <w:rFonts w:ascii="Times New Roman" w:hAnsi="Times New Roman" w:cs="Times New Roman"/>
                <w:b/>
                <w:bCs/>
              </w:rPr>
              <w:t>turilor rutiere secundare c</w:t>
            </w:r>
            <w:r w:rsidR="00BA7827" w:rsidRPr="008C5F1C">
              <w:rPr>
                <w:rFonts w:ascii="Times New Roman" w:hAnsi="Times New Roman" w:cs="Times New Roman"/>
                <w:b/>
                <w:bCs/>
              </w:rPr>
              <w:t>ă</w:t>
            </w:r>
            <w:r w:rsidRPr="008C5F1C">
              <w:rPr>
                <w:rFonts w:ascii="Times New Roman" w:hAnsi="Times New Roman" w:cs="Times New Roman"/>
                <w:b/>
                <w:bCs/>
              </w:rPr>
              <w:t>tre re</w:t>
            </w:r>
            <w:r w:rsidR="00E22FF2" w:rsidRPr="008C5F1C">
              <w:rPr>
                <w:rFonts w:ascii="Times New Roman" w:hAnsi="Times New Roman" w:cs="Times New Roman"/>
                <w:b/>
                <w:bCs/>
              </w:rPr>
              <w:t>ț</w:t>
            </w:r>
            <w:r w:rsidRPr="008C5F1C">
              <w:rPr>
                <w:rFonts w:ascii="Times New Roman" w:hAnsi="Times New Roman" w:cs="Times New Roman"/>
                <w:b/>
                <w:bCs/>
              </w:rPr>
              <w:t>eaua rutier</w:t>
            </w:r>
            <w:r w:rsidR="00BA7827" w:rsidRPr="008C5F1C">
              <w:rPr>
                <w:rFonts w:ascii="Times New Roman" w:hAnsi="Times New Roman" w:cs="Times New Roman"/>
                <w:b/>
                <w:bCs/>
              </w:rPr>
              <w:t>ă</w:t>
            </w:r>
            <w:r w:rsidRPr="008C5F1C">
              <w:rPr>
                <w:rFonts w:ascii="Times New Roman" w:hAnsi="Times New Roman" w:cs="Times New Roman"/>
                <w:b/>
                <w:bCs/>
              </w:rPr>
              <w:t xml:space="preserve"> </w:t>
            </w:r>
            <w:r w:rsidR="00106240" w:rsidRPr="008C5F1C">
              <w:rPr>
                <w:rFonts w:ascii="Times New Roman" w:hAnsi="Times New Roman" w:cs="Times New Roman"/>
                <w:b/>
                <w:bCs/>
              </w:rPr>
              <w:t>ș</w:t>
            </w:r>
            <w:r w:rsidRPr="008C5F1C">
              <w:rPr>
                <w:rFonts w:ascii="Times New Roman" w:hAnsi="Times New Roman" w:cs="Times New Roman"/>
                <w:b/>
                <w:bCs/>
              </w:rPr>
              <w:t xml:space="preserve">i nodurile TEN-T </w:t>
            </w:r>
            <w:r w:rsidRPr="008C5F1C">
              <w:rPr>
                <w:rFonts w:ascii="Times New Roman" w:hAnsi="Times New Roman" w:cs="Times New Roman"/>
              </w:rPr>
              <w:t>(drumuri jude</w:t>
            </w:r>
            <w:r w:rsidR="00E22FF2" w:rsidRPr="008C5F1C">
              <w:rPr>
                <w:rFonts w:ascii="Times New Roman" w:hAnsi="Times New Roman" w:cs="Times New Roman"/>
              </w:rPr>
              <w:t>ț</w:t>
            </w:r>
            <w:r w:rsidRPr="008C5F1C">
              <w:rPr>
                <w:rFonts w:ascii="Times New Roman" w:hAnsi="Times New Roman" w:cs="Times New Roman"/>
              </w:rPr>
              <w:t>ene, desc</w:t>
            </w:r>
            <w:r w:rsidR="00BA7827" w:rsidRPr="008C5F1C">
              <w:rPr>
                <w:rFonts w:ascii="Times New Roman" w:hAnsi="Times New Roman" w:cs="Times New Roman"/>
              </w:rPr>
              <w:t>ă</w:t>
            </w:r>
            <w:r w:rsidRPr="008C5F1C">
              <w:rPr>
                <w:rFonts w:ascii="Times New Roman" w:hAnsi="Times New Roman" w:cs="Times New Roman"/>
              </w:rPr>
              <w:t>rc</w:t>
            </w:r>
            <w:r w:rsidR="00BA7827" w:rsidRPr="008C5F1C">
              <w:rPr>
                <w:rFonts w:ascii="Times New Roman" w:hAnsi="Times New Roman" w:cs="Times New Roman"/>
              </w:rPr>
              <w:t>ă</w:t>
            </w:r>
            <w:r w:rsidRPr="008C5F1C">
              <w:rPr>
                <w:rFonts w:ascii="Times New Roman" w:hAnsi="Times New Roman" w:cs="Times New Roman"/>
              </w:rPr>
              <w:t>ri autostrad</w:t>
            </w:r>
            <w:r w:rsidR="00BA7827" w:rsidRPr="008C5F1C">
              <w:rPr>
                <w:rFonts w:ascii="Times New Roman" w:hAnsi="Times New Roman" w:cs="Times New Roman"/>
              </w:rPr>
              <w:t>ă</w:t>
            </w:r>
            <w:r w:rsidRPr="008C5F1C">
              <w:rPr>
                <w:rFonts w:ascii="Times New Roman" w:hAnsi="Times New Roman" w:cs="Times New Roman"/>
              </w:rPr>
              <w:t>, conectivitatea la re</w:t>
            </w:r>
            <w:r w:rsidR="00E22FF2" w:rsidRPr="008C5F1C">
              <w:rPr>
                <w:rFonts w:ascii="Times New Roman" w:hAnsi="Times New Roman" w:cs="Times New Roman"/>
              </w:rPr>
              <w:t>ț</w:t>
            </w:r>
            <w:r w:rsidRPr="008C5F1C">
              <w:rPr>
                <w:rFonts w:ascii="Times New Roman" w:hAnsi="Times New Roman" w:cs="Times New Roman"/>
              </w:rPr>
              <w:t>eaua CORE TEN-T, centuri ocolitoare</w:t>
            </w:r>
            <w:r w:rsidR="0039758D" w:rsidRPr="008C5F1C">
              <w:rPr>
                <w:rFonts w:ascii="Times New Roman" w:hAnsi="Times New Roman" w:cs="Times New Roman"/>
              </w:rPr>
              <w:t>, con</w:t>
            </w:r>
            <w:r w:rsidR="00053954" w:rsidRPr="008C5F1C">
              <w:rPr>
                <w:rFonts w:ascii="Times New Roman" w:hAnsi="Times New Roman" w:cs="Times New Roman"/>
              </w:rPr>
              <w:t>e</w:t>
            </w:r>
            <w:r w:rsidR="0039758D" w:rsidRPr="008C5F1C">
              <w:rPr>
                <w:rFonts w:ascii="Times New Roman" w:hAnsi="Times New Roman" w:cs="Times New Roman"/>
              </w:rPr>
              <w:t xml:space="preserve">ctivitatea </w:t>
            </w:r>
            <w:r w:rsidR="00530033" w:rsidRPr="008C5F1C">
              <w:rPr>
                <w:rFonts w:ascii="Times New Roman" w:hAnsi="Times New Roman" w:cs="Times New Roman"/>
              </w:rPr>
              <w:t xml:space="preserve">regionala </w:t>
            </w:r>
            <w:r w:rsidR="0039758D" w:rsidRPr="008C5F1C">
              <w:rPr>
                <w:rFonts w:ascii="Times New Roman" w:hAnsi="Times New Roman" w:cs="Times New Roman"/>
              </w:rPr>
              <w:t>către punctele de frontiera deschise pentru mobilitatea transfrontaliera</w:t>
            </w:r>
            <w:r w:rsidRPr="008C5F1C">
              <w:rPr>
                <w:rFonts w:ascii="Times New Roman" w:hAnsi="Times New Roman" w:cs="Times New Roman"/>
              </w:rPr>
              <w:t>).</w:t>
            </w:r>
          </w:p>
          <w:p w14:paraId="33DBAAEE" w14:textId="0C4F935A" w:rsidR="00333C71" w:rsidRPr="008C5F1C" w:rsidRDefault="00333C71" w:rsidP="008131FB">
            <w:pPr>
              <w:spacing w:after="120" w:line="240" w:lineRule="auto"/>
              <w:jc w:val="both"/>
              <w:rPr>
                <w:rFonts w:ascii="Times New Roman" w:hAnsi="Times New Roman" w:cs="Times New Roman"/>
                <w:b/>
                <w:bCs/>
              </w:rPr>
            </w:pPr>
            <w:r w:rsidRPr="008C5F1C">
              <w:rPr>
                <w:rFonts w:ascii="Times New Roman" w:hAnsi="Times New Roman" w:cs="Times New Roman"/>
                <w:b/>
                <w:bCs/>
              </w:rPr>
              <w:t xml:space="preserve">b) </w:t>
            </w:r>
            <w:r w:rsidR="00137BB8" w:rsidRPr="008C5F1C">
              <w:rPr>
                <w:rFonts w:ascii="Times New Roman" w:hAnsi="Times New Roman" w:cs="Times New Roman"/>
                <w:b/>
                <w:bCs/>
              </w:rPr>
              <w:t>Solu</w:t>
            </w:r>
            <w:r w:rsidR="00E22FF2" w:rsidRPr="008C5F1C">
              <w:rPr>
                <w:rFonts w:ascii="Times New Roman" w:hAnsi="Times New Roman" w:cs="Times New Roman"/>
                <w:b/>
                <w:bCs/>
              </w:rPr>
              <w:t>ț</w:t>
            </w:r>
            <w:r w:rsidR="00137BB8" w:rsidRPr="008C5F1C">
              <w:rPr>
                <w:rFonts w:ascii="Times New Roman" w:hAnsi="Times New Roman" w:cs="Times New Roman"/>
                <w:b/>
                <w:bCs/>
              </w:rPr>
              <w:t>ii</w:t>
            </w:r>
            <w:r w:rsidR="002463EC" w:rsidRPr="008C5F1C">
              <w:rPr>
                <w:rFonts w:ascii="Times New Roman" w:hAnsi="Times New Roman" w:cs="Times New Roman"/>
                <w:b/>
                <w:bCs/>
              </w:rPr>
              <w:t xml:space="preserve"> pentru decongestionarea / fluidizarea traficului</w:t>
            </w:r>
            <w:r w:rsidR="00B57942" w:rsidRPr="008C5F1C">
              <w:rPr>
                <w:rFonts w:ascii="Times New Roman" w:hAnsi="Times New Roman" w:cs="Times New Roman"/>
                <w:b/>
                <w:bCs/>
              </w:rPr>
              <w:t xml:space="preserve"> </w:t>
            </w:r>
            <w:r w:rsidR="00B57942" w:rsidRPr="008C5F1C">
              <w:rPr>
                <w:rFonts w:ascii="Times New Roman" w:hAnsi="Times New Roman" w:cs="Times New Roman"/>
              </w:rPr>
              <w:t>(pasaje, extinderi la 4 benzi, m</w:t>
            </w:r>
            <w:r w:rsidR="00BA7827" w:rsidRPr="008C5F1C">
              <w:rPr>
                <w:rFonts w:ascii="Times New Roman" w:hAnsi="Times New Roman" w:cs="Times New Roman"/>
              </w:rPr>
              <w:t>ă</w:t>
            </w:r>
            <w:r w:rsidR="00B57942" w:rsidRPr="008C5F1C">
              <w:rPr>
                <w:rFonts w:ascii="Times New Roman" w:hAnsi="Times New Roman" w:cs="Times New Roman"/>
              </w:rPr>
              <w:t>suri de siguran</w:t>
            </w:r>
            <w:r w:rsidR="00E22FF2" w:rsidRPr="008C5F1C">
              <w:rPr>
                <w:rFonts w:ascii="Times New Roman" w:hAnsi="Times New Roman" w:cs="Times New Roman"/>
              </w:rPr>
              <w:t>ț</w:t>
            </w:r>
            <w:r w:rsidR="00BA7827" w:rsidRPr="008C5F1C">
              <w:rPr>
                <w:rFonts w:ascii="Times New Roman" w:hAnsi="Times New Roman" w:cs="Times New Roman"/>
              </w:rPr>
              <w:t>ă</w:t>
            </w:r>
            <w:r w:rsidR="00B57942" w:rsidRPr="008C5F1C">
              <w:rPr>
                <w:rFonts w:ascii="Times New Roman" w:hAnsi="Times New Roman" w:cs="Times New Roman"/>
              </w:rPr>
              <w:t>)</w:t>
            </w:r>
            <w:r w:rsidR="0039758D" w:rsidRPr="008C5F1C">
              <w:rPr>
                <w:rFonts w:ascii="Times New Roman" w:hAnsi="Times New Roman" w:cs="Times New Roman"/>
              </w:rPr>
              <w:t>, pentru localitățile urbane, pe sectoare rutiere aflate in proprietate/ administrarea UAT.</w:t>
            </w:r>
          </w:p>
          <w:p w14:paraId="0D3930F3" w14:textId="77777777" w:rsidR="002463EC" w:rsidRPr="008C5F1C" w:rsidRDefault="002463EC" w:rsidP="00A71BFA">
            <w:pPr>
              <w:pStyle w:val="ListParagraph"/>
              <w:spacing w:after="0" w:line="240" w:lineRule="auto"/>
              <w:ind w:left="1440"/>
              <w:jc w:val="both"/>
              <w:rPr>
                <w:rFonts w:eastAsia="Times New Roman"/>
                <w:b/>
                <w:bCs/>
                <w:i/>
                <w:noProof/>
                <w:lang w:val="ro-RO"/>
              </w:rPr>
            </w:pPr>
          </w:p>
        </w:tc>
      </w:tr>
    </w:tbl>
    <w:p w14:paraId="30C2B57E" w14:textId="77777777" w:rsidR="00653571" w:rsidRPr="008C5F1C" w:rsidRDefault="00653571" w:rsidP="00653571">
      <w:pPr>
        <w:spacing w:before="120" w:after="120" w:line="360" w:lineRule="auto"/>
        <w:rPr>
          <w:rFonts w:ascii="Times New Roman" w:eastAsia="Times New Roman" w:hAnsi="Times New Roman" w:cs="Times New Roman"/>
          <w:b/>
          <w:i/>
          <w:iCs/>
          <w:noProof/>
          <w:sz w:val="24"/>
          <w:szCs w:val="24"/>
        </w:rPr>
      </w:pPr>
      <w:r w:rsidRPr="008C5F1C">
        <w:rPr>
          <w:rFonts w:ascii="Times New Roman" w:eastAsia="Times New Roman" w:hAnsi="Times New Roman" w:cs="Times New Roman"/>
          <w:i/>
          <w:noProof/>
          <w:sz w:val="24"/>
          <w:szCs w:val="24"/>
        </w:rPr>
        <w:lastRenderedPageBreak/>
        <w:t>The main target groups - Article 17(3)(d)(iii):</w:t>
      </w:r>
    </w:p>
    <w:p w14:paraId="38B97951" w14:textId="77777777" w:rsidR="00653571" w:rsidRPr="008C5F1C" w:rsidRDefault="00FA0FB4" w:rsidP="00653571">
      <w:pPr>
        <w:spacing w:before="120" w:after="120" w:line="360" w:lineRule="auto"/>
        <w:rPr>
          <w:rFonts w:ascii="Times New Roman" w:eastAsia="Times New Roman" w:hAnsi="Times New Roman" w:cs="Times New Roman"/>
          <w:i/>
          <w:noProof/>
          <w:sz w:val="24"/>
          <w:szCs w:val="24"/>
        </w:rPr>
      </w:pPr>
      <w:r w:rsidRPr="008C5F1C">
        <w:rPr>
          <w:rFonts w:ascii="Times New Roman" w:eastAsia="Times New Roman" w:hAnsi="Times New Roman" w:cs="Times New Roman"/>
          <w:i/>
          <w:iCs/>
          <w:noProof/>
          <w:sz w:val="24"/>
          <w:szCs w:val="24"/>
        </w:rPr>
        <w:t>Utilizatorii infrastructurii de transport reabilitate/ noi</w:t>
      </w:r>
      <w:r w:rsidR="00653571" w:rsidRPr="008C5F1C">
        <w:rPr>
          <w:rFonts w:ascii="Times New Roman" w:eastAsia="Times New Roman" w:hAnsi="Times New Roman" w:cs="Times New Roman"/>
          <w:i/>
          <w:noProof/>
          <w:sz w:val="24"/>
          <w:szCs w:val="24"/>
        </w:rPr>
        <w:t>Specific territories tageted, including the planned use of territorial tools – Article 17(3)(d)(iv)</w:t>
      </w:r>
    </w:p>
    <w:p w14:paraId="3E6FEA66" w14:textId="77777777" w:rsidR="00653571" w:rsidRPr="008C5F1C" w:rsidRDefault="00373924" w:rsidP="0065357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rPr>
      </w:pPr>
      <w:r w:rsidRPr="008C5F1C">
        <w:rPr>
          <w:rFonts w:ascii="Times New Roman" w:eastAsia="Times New Roman" w:hAnsi="Times New Roman" w:cs="Times New Roman"/>
          <w:i/>
          <w:iCs/>
          <w:noProof/>
          <w:sz w:val="24"/>
          <w:szCs w:val="24"/>
        </w:rPr>
        <w:t>Zone urbane</w:t>
      </w:r>
    </w:p>
    <w:p w14:paraId="668019F4" w14:textId="77777777" w:rsidR="00653571" w:rsidRPr="008C5F1C" w:rsidRDefault="00653571" w:rsidP="00653571">
      <w:pPr>
        <w:spacing w:before="120" w:after="120" w:line="360" w:lineRule="auto"/>
        <w:rPr>
          <w:rFonts w:ascii="Times New Roman" w:eastAsia="Times New Roman" w:hAnsi="Times New Roman" w:cs="Times New Roman"/>
          <w:b/>
          <w:i/>
          <w:iCs/>
          <w:noProof/>
          <w:sz w:val="24"/>
          <w:szCs w:val="24"/>
        </w:rPr>
      </w:pPr>
      <w:r w:rsidRPr="008C5F1C">
        <w:rPr>
          <w:rFonts w:ascii="Times New Roman" w:eastAsia="Times New Roman" w:hAnsi="Times New Roman" w:cs="Times New Roman"/>
          <w:i/>
          <w:noProof/>
          <w:sz w:val="24"/>
          <w:szCs w:val="24"/>
        </w:rPr>
        <w:t>The interregional and transnational actions  –Article – 17(3)(d)(v)</w:t>
      </w:r>
    </w:p>
    <w:p w14:paraId="5B7089BE" w14:textId="77777777" w:rsidR="00653571" w:rsidRPr="008C5F1C" w:rsidRDefault="00653571" w:rsidP="0065357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rPr>
      </w:pPr>
      <w:r w:rsidRPr="008C5F1C">
        <w:rPr>
          <w:rFonts w:ascii="Times New Roman" w:eastAsia="Times New Roman" w:hAnsi="Times New Roman" w:cs="Times New Roman"/>
          <w:i/>
          <w:iCs/>
          <w:noProof/>
          <w:sz w:val="24"/>
          <w:szCs w:val="24"/>
        </w:rPr>
        <w:t>Nu este cazul</w:t>
      </w:r>
    </w:p>
    <w:p w14:paraId="076131A4" w14:textId="77777777" w:rsidR="00653571" w:rsidRPr="008C5F1C" w:rsidRDefault="00653571" w:rsidP="00653571">
      <w:pPr>
        <w:spacing w:before="120" w:after="120" w:line="360" w:lineRule="auto"/>
        <w:rPr>
          <w:rFonts w:ascii="Times New Roman" w:eastAsia="Times New Roman" w:hAnsi="Times New Roman" w:cs="Times New Roman"/>
          <w:b/>
          <w:i/>
          <w:iCs/>
          <w:noProof/>
          <w:sz w:val="24"/>
          <w:szCs w:val="24"/>
        </w:rPr>
      </w:pPr>
      <w:r w:rsidRPr="008C5F1C">
        <w:rPr>
          <w:rFonts w:ascii="Times New Roman" w:eastAsia="Times New Roman" w:hAnsi="Times New Roman" w:cs="Times New Roman"/>
          <w:i/>
          <w:noProof/>
          <w:sz w:val="24"/>
          <w:szCs w:val="24"/>
        </w:rPr>
        <w:t>The planned use of financial instruments – Article – 17(3)(d)(vi)</w:t>
      </w:r>
    </w:p>
    <w:p w14:paraId="36BA1E78" w14:textId="77777777" w:rsidR="00653571" w:rsidRPr="008C5F1C" w:rsidRDefault="00653571" w:rsidP="0065357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rPr>
      </w:pPr>
      <w:r w:rsidRPr="008C5F1C">
        <w:rPr>
          <w:rFonts w:ascii="Times New Roman" w:eastAsia="Times New Roman" w:hAnsi="Times New Roman" w:cs="Times New Roman"/>
          <w:i/>
          <w:iCs/>
          <w:noProof/>
          <w:sz w:val="24"/>
          <w:szCs w:val="24"/>
        </w:rPr>
        <w:t>Nu este cazul</w:t>
      </w:r>
    </w:p>
    <w:p w14:paraId="1D2FBCC9" w14:textId="77777777" w:rsidR="00653571" w:rsidRPr="008C5F1C" w:rsidRDefault="00653571" w:rsidP="00653571">
      <w:pPr>
        <w:pStyle w:val="Heading4"/>
        <w:numPr>
          <w:ilvl w:val="0"/>
          <w:numId w:val="0"/>
        </w:numPr>
        <w:ind w:left="851" w:hanging="851"/>
        <w:rPr>
          <w:rFonts w:cs="Times New Roman"/>
          <w:b/>
          <w:bCs/>
          <w:lang w:val="ro-RO"/>
        </w:rPr>
      </w:pPr>
      <w:r w:rsidRPr="008C5F1C">
        <w:rPr>
          <w:rFonts w:cs="Times New Roman"/>
          <w:b/>
          <w:bCs/>
          <w:lang w:val="ro-RO"/>
        </w:rPr>
        <w:t xml:space="preserve">2.A.3.2 </w:t>
      </w:r>
      <w:proofErr w:type="spellStart"/>
      <w:r w:rsidRPr="008C5F1C">
        <w:rPr>
          <w:rFonts w:cs="Times New Roman"/>
          <w:b/>
          <w:bCs/>
          <w:lang w:val="ro-RO"/>
        </w:rPr>
        <w:t>Indicators</w:t>
      </w:r>
      <w:proofErr w:type="spellEnd"/>
    </w:p>
    <w:p w14:paraId="4B6A20AB" w14:textId="77777777" w:rsidR="00653571" w:rsidRPr="008C5F1C" w:rsidRDefault="00653571" w:rsidP="00653571">
      <w:pPr>
        <w:rPr>
          <w:rFonts w:ascii="Times New Roman" w:hAnsi="Times New Roman" w:cs="Times New Roman"/>
          <w:b/>
          <w:bCs/>
          <w:i/>
          <w:u w:val="single"/>
        </w:rPr>
      </w:pPr>
      <w:proofErr w:type="spellStart"/>
      <w:r w:rsidRPr="008C5F1C">
        <w:rPr>
          <w:rFonts w:ascii="Times New Roman" w:hAnsi="Times New Roman" w:cs="Times New Roman"/>
          <w:i/>
        </w:rPr>
        <w:t>Reference</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Article</w:t>
      </w:r>
      <w:proofErr w:type="spellEnd"/>
      <w:r w:rsidRPr="008C5F1C">
        <w:rPr>
          <w:rFonts w:ascii="Times New Roman" w:hAnsi="Times New Roman" w:cs="Times New Roman"/>
          <w:i/>
        </w:rPr>
        <w:t xml:space="preserve"> 17(3)(d)(ii) CPR </w:t>
      </w:r>
    </w:p>
    <w:tbl>
      <w:tblPr>
        <w:tblW w:w="52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8"/>
        <w:gridCol w:w="1647"/>
        <w:gridCol w:w="625"/>
        <w:gridCol w:w="875"/>
        <w:gridCol w:w="545"/>
        <w:gridCol w:w="2162"/>
        <w:gridCol w:w="1158"/>
        <w:gridCol w:w="1011"/>
        <w:gridCol w:w="1273"/>
      </w:tblGrid>
      <w:tr w:rsidR="00653571" w:rsidRPr="008C5F1C" w14:paraId="1E65406C" w14:textId="77777777" w:rsidTr="00446BA4">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41741C0F" w14:textId="77777777" w:rsidR="00653571" w:rsidRPr="008C5F1C" w:rsidRDefault="00653571" w:rsidP="00534127">
            <w:pPr>
              <w:rPr>
                <w:rFonts w:ascii="Times New Roman" w:hAnsi="Times New Roman" w:cs="Times New Roman"/>
                <w:b/>
              </w:rPr>
            </w:pPr>
            <w:r w:rsidRPr="008C5F1C">
              <w:rPr>
                <w:rFonts w:ascii="Times New Roman" w:hAnsi="Times New Roman" w:cs="Times New Roman"/>
                <w:b/>
                <w:iCs/>
              </w:rPr>
              <w:t xml:space="preserve">Table 2: Output </w:t>
            </w:r>
            <w:proofErr w:type="spellStart"/>
            <w:r w:rsidRPr="008C5F1C">
              <w:rPr>
                <w:rFonts w:ascii="Times New Roman" w:hAnsi="Times New Roman" w:cs="Times New Roman"/>
                <w:b/>
                <w:iCs/>
              </w:rPr>
              <w:t>indicators</w:t>
            </w:r>
            <w:proofErr w:type="spellEnd"/>
          </w:p>
        </w:tc>
      </w:tr>
      <w:tr w:rsidR="00653571" w:rsidRPr="008C5F1C" w14:paraId="44654C7C" w14:textId="77777777" w:rsidTr="00446BA4">
        <w:trPr>
          <w:trHeight w:val="751"/>
        </w:trPr>
        <w:tc>
          <w:tcPr>
            <w:tcW w:w="377" w:type="pct"/>
            <w:tcBorders>
              <w:top w:val="single" w:sz="4" w:space="0" w:color="auto"/>
              <w:left w:val="single" w:sz="4" w:space="0" w:color="auto"/>
              <w:bottom w:val="single" w:sz="4" w:space="0" w:color="auto"/>
              <w:right w:val="single" w:sz="4" w:space="0" w:color="auto"/>
            </w:tcBorders>
            <w:hideMark/>
          </w:tcPr>
          <w:p w14:paraId="2D6521F6"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Priority</w:t>
            </w:r>
            <w:proofErr w:type="spellEnd"/>
            <w:r w:rsidRPr="008C5F1C">
              <w:rPr>
                <w:rFonts w:ascii="Times New Roman" w:hAnsi="Times New Roman" w:cs="Times New Roman"/>
                <w:b/>
                <w:sz w:val="16"/>
                <w:szCs w:val="16"/>
              </w:rPr>
              <w:t xml:space="preserve"> </w:t>
            </w:r>
          </w:p>
        </w:tc>
        <w:tc>
          <w:tcPr>
            <w:tcW w:w="819" w:type="pct"/>
            <w:tcBorders>
              <w:top w:val="single" w:sz="4" w:space="0" w:color="auto"/>
              <w:left w:val="single" w:sz="4" w:space="0" w:color="auto"/>
              <w:bottom w:val="single" w:sz="4" w:space="0" w:color="auto"/>
              <w:right w:val="single" w:sz="4" w:space="0" w:color="auto"/>
            </w:tcBorders>
            <w:hideMark/>
          </w:tcPr>
          <w:p w14:paraId="1BD4B316"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 xml:space="preserve">Specific </w:t>
            </w:r>
            <w:proofErr w:type="spellStart"/>
            <w:r w:rsidRPr="008C5F1C">
              <w:rPr>
                <w:rFonts w:ascii="Times New Roman" w:hAnsi="Times New Roman" w:cs="Times New Roman"/>
                <w:b/>
                <w:sz w:val="16"/>
                <w:szCs w:val="16"/>
              </w:rPr>
              <w:t>objective</w:t>
            </w:r>
            <w:proofErr w:type="spellEnd"/>
            <w:r w:rsidRPr="008C5F1C">
              <w:rPr>
                <w:rFonts w:ascii="Times New Roman" w:hAnsi="Times New Roman" w:cs="Times New Roman"/>
                <w:b/>
                <w:sz w:val="16"/>
                <w:szCs w:val="16"/>
              </w:rPr>
              <w:t xml:space="preserve"> (Investment for </w:t>
            </w:r>
            <w:proofErr w:type="spellStart"/>
            <w:r w:rsidRPr="008C5F1C">
              <w:rPr>
                <w:rFonts w:ascii="Times New Roman" w:hAnsi="Times New Roman" w:cs="Times New Roman"/>
                <w:b/>
                <w:sz w:val="16"/>
                <w:szCs w:val="16"/>
              </w:rPr>
              <w:t>Jobs</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and</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Growth</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goal</w:t>
            </w:r>
            <w:proofErr w:type="spellEnd"/>
            <w:r w:rsidRPr="008C5F1C">
              <w:rPr>
                <w:rFonts w:ascii="Times New Roman" w:hAnsi="Times New Roman" w:cs="Times New Roman"/>
                <w:b/>
                <w:sz w:val="16"/>
                <w:szCs w:val="16"/>
              </w:rPr>
              <w:t xml:space="preserve"> or EMFF)</w:t>
            </w:r>
          </w:p>
        </w:tc>
        <w:tc>
          <w:tcPr>
            <w:tcW w:w="311" w:type="pct"/>
            <w:tcBorders>
              <w:top w:val="single" w:sz="4" w:space="0" w:color="auto"/>
              <w:left w:val="single" w:sz="4" w:space="0" w:color="auto"/>
              <w:bottom w:val="single" w:sz="4" w:space="0" w:color="auto"/>
              <w:right w:val="single" w:sz="4" w:space="0" w:color="auto"/>
            </w:tcBorders>
            <w:hideMark/>
          </w:tcPr>
          <w:p w14:paraId="49E708DE"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Fund</w:t>
            </w:r>
          </w:p>
        </w:tc>
        <w:tc>
          <w:tcPr>
            <w:tcW w:w="435" w:type="pct"/>
            <w:tcBorders>
              <w:top w:val="single" w:sz="4" w:space="0" w:color="auto"/>
              <w:left w:val="single" w:sz="4" w:space="0" w:color="auto"/>
              <w:bottom w:val="single" w:sz="4" w:space="0" w:color="auto"/>
              <w:right w:val="single" w:sz="4" w:space="0" w:color="auto"/>
            </w:tcBorders>
            <w:hideMark/>
          </w:tcPr>
          <w:p w14:paraId="3F4BF721"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Category</w:t>
            </w:r>
            <w:proofErr w:type="spellEnd"/>
            <w:r w:rsidRPr="008C5F1C">
              <w:rPr>
                <w:rFonts w:ascii="Times New Roman" w:hAnsi="Times New Roman" w:cs="Times New Roman"/>
                <w:b/>
                <w:sz w:val="16"/>
                <w:szCs w:val="16"/>
              </w:rPr>
              <w:t xml:space="preserve"> of </w:t>
            </w:r>
            <w:proofErr w:type="spellStart"/>
            <w:r w:rsidRPr="008C5F1C">
              <w:rPr>
                <w:rFonts w:ascii="Times New Roman" w:hAnsi="Times New Roman" w:cs="Times New Roman"/>
                <w:b/>
                <w:sz w:val="16"/>
                <w:szCs w:val="16"/>
              </w:rPr>
              <w:t>region</w:t>
            </w:r>
            <w:proofErr w:type="spellEnd"/>
          </w:p>
        </w:tc>
        <w:tc>
          <w:tcPr>
            <w:tcW w:w="271" w:type="pct"/>
            <w:tcBorders>
              <w:top w:val="single" w:sz="4" w:space="0" w:color="auto"/>
              <w:left w:val="single" w:sz="4" w:space="0" w:color="auto"/>
              <w:bottom w:val="single" w:sz="4" w:space="0" w:color="auto"/>
              <w:right w:val="single" w:sz="4" w:space="0" w:color="auto"/>
            </w:tcBorders>
            <w:hideMark/>
          </w:tcPr>
          <w:p w14:paraId="60547598"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ID [5]</w:t>
            </w:r>
          </w:p>
        </w:tc>
        <w:tc>
          <w:tcPr>
            <w:tcW w:w="1075" w:type="pct"/>
            <w:tcBorders>
              <w:top w:val="single" w:sz="4" w:space="0" w:color="auto"/>
              <w:left w:val="single" w:sz="4" w:space="0" w:color="auto"/>
              <w:bottom w:val="single" w:sz="4" w:space="0" w:color="auto"/>
              <w:right w:val="single" w:sz="4" w:space="0" w:color="auto"/>
            </w:tcBorders>
            <w:hideMark/>
          </w:tcPr>
          <w:p w14:paraId="2330226F"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 xml:space="preserve">Indicator [255] </w:t>
            </w:r>
          </w:p>
        </w:tc>
        <w:tc>
          <w:tcPr>
            <w:tcW w:w="576" w:type="pct"/>
            <w:tcBorders>
              <w:top w:val="single" w:sz="4" w:space="0" w:color="auto"/>
              <w:left w:val="single" w:sz="4" w:space="0" w:color="auto"/>
              <w:bottom w:val="single" w:sz="4" w:space="0" w:color="auto"/>
              <w:right w:val="single" w:sz="4" w:space="0" w:color="auto"/>
            </w:tcBorders>
            <w:hideMark/>
          </w:tcPr>
          <w:p w14:paraId="08A5CA7A"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Measurement</w:t>
            </w:r>
            <w:proofErr w:type="spellEnd"/>
            <w:r w:rsidRPr="008C5F1C">
              <w:rPr>
                <w:rFonts w:ascii="Times New Roman" w:hAnsi="Times New Roman" w:cs="Times New Roman"/>
                <w:b/>
                <w:sz w:val="16"/>
                <w:szCs w:val="16"/>
              </w:rPr>
              <w:t xml:space="preserve"> unit</w:t>
            </w:r>
          </w:p>
        </w:tc>
        <w:tc>
          <w:tcPr>
            <w:tcW w:w="503" w:type="pct"/>
            <w:tcBorders>
              <w:top w:val="single" w:sz="4" w:space="0" w:color="auto"/>
              <w:left w:val="single" w:sz="4" w:space="0" w:color="auto"/>
              <w:bottom w:val="single" w:sz="4" w:space="0" w:color="auto"/>
              <w:right w:val="single" w:sz="4" w:space="0" w:color="auto"/>
            </w:tcBorders>
          </w:tcPr>
          <w:p w14:paraId="5B556F1A"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Milestone</w:t>
            </w:r>
            <w:proofErr w:type="spellEnd"/>
            <w:r w:rsidRPr="008C5F1C">
              <w:rPr>
                <w:rFonts w:ascii="Times New Roman" w:hAnsi="Times New Roman" w:cs="Times New Roman"/>
                <w:b/>
                <w:sz w:val="16"/>
                <w:szCs w:val="16"/>
              </w:rPr>
              <w:t xml:space="preserve"> (2024)</w:t>
            </w:r>
          </w:p>
          <w:p w14:paraId="77942EE7" w14:textId="77777777" w:rsidR="00653571" w:rsidRPr="008C5F1C" w:rsidRDefault="00653571" w:rsidP="00534127">
            <w:pPr>
              <w:rPr>
                <w:rFonts w:ascii="Times New Roman" w:hAnsi="Times New Roman" w:cs="Times New Roman"/>
                <w:b/>
                <w:sz w:val="16"/>
                <w:szCs w:val="16"/>
              </w:rPr>
            </w:pPr>
          </w:p>
        </w:tc>
        <w:tc>
          <w:tcPr>
            <w:tcW w:w="633" w:type="pct"/>
            <w:tcBorders>
              <w:top w:val="single" w:sz="4" w:space="0" w:color="auto"/>
              <w:left w:val="single" w:sz="4" w:space="0" w:color="auto"/>
              <w:bottom w:val="single" w:sz="4" w:space="0" w:color="auto"/>
              <w:right w:val="single" w:sz="4" w:space="0" w:color="auto"/>
            </w:tcBorders>
          </w:tcPr>
          <w:p w14:paraId="0AD85ACB"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Target (2029)</w:t>
            </w:r>
          </w:p>
          <w:p w14:paraId="291FCF6D" w14:textId="77777777" w:rsidR="00653571" w:rsidRPr="008C5F1C" w:rsidRDefault="00653571" w:rsidP="00534127">
            <w:pPr>
              <w:rPr>
                <w:rFonts w:ascii="Times New Roman" w:hAnsi="Times New Roman" w:cs="Times New Roman"/>
                <w:b/>
                <w:sz w:val="16"/>
                <w:szCs w:val="16"/>
              </w:rPr>
            </w:pPr>
          </w:p>
        </w:tc>
      </w:tr>
      <w:tr w:rsidR="00653571" w:rsidRPr="008C5F1C" w14:paraId="45F26492" w14:textId="77777777" w:rsidTr="00446BA4">
        <w:trPr>
          <w:trHeight w:val="340"/>
        </w:trPr>
        <w:tc>
          <w:tcPr>
            <w:tcW w:w="377" w:type="pct"/>
            <w:tcBorders>
              <w:top w:val="single" w:sz="4" w:space="0" w:color="auto"/>
              <w:left w:val="single" w:sz="4" w:space="0" w:color="auto"/>
              <w:bottom w:val="single" w:sz="4" w:space="0" w:color="auto"/>
              <w:right w:val="single" w:sz="4" w:space="0" w:color="auto"/>
            </w:tcBorders>
          </w:tcPr>
          <w:p w14:paraId="7D33FA40" w14:textId="77777777" w:rsidR="00653571" w:rsidRPr="008C5F1C" w:rsidRDefault="00904C61" w:rsidP="00534127">
            <w:pPr>
              <w:rPr>
                <w:rFonts w:ascii="Times New Roman" w:hAnsi="Times New Roman" w:cs="Times New Roman"/>
                <w:bCs/>
                <w:iCs/>
                <w:sz w:val="16"/>
                <w:szCs w:val="16"/>
              </w:rPr>
            </w:pPr>
            <w:r w:rsidRPr="008C5F1C">
              <w:rPr>
                <w:rFonts w:ascii="Times New Roman" w:hAnsi="Times New Roman" w:cs="Times New Roman"/>
                <w:bCs/>
                <w:iCs/>
                <w:sz w:val="16"/>
                <w:szCs w:val="16"/>
              </w:rPr>
              <w:t>4</w:t>
            </w:r>
          </w:p>
        </w:tc>
        <w:tc>
          <w:tcPr>
            <w:tcW w:w="819" w:type="pct"/>
            <w:tcBorders>
              <w:top w:val="single" w:sz="4" w:space="0" w:color="auto"/>
              <w:left w:val="single" w:sz="4" w:space="0" w:color="auto"/>
              <w:bottom w:val="single" w:sz="4" w:space="0" w:color="auto"/>
              <w:right w:val="single" w:sz="4" w:space="0" w:color="auto"/>
            </w:tcBorders>
          </w:tcPr>
          <w:p w14:paraId="4E1454D9"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bCs/>
                <w:iCs/>
                <w:sz w:val="16"/>
                <w:szCs w:val="16"/>
              </w:rPr>
              <w:t>c (iii) Dezvoltarea unei mobilit</w:t>
            </w:r>
            <w:r w:rsidR="00BA7827" w:rsidRPr="008C5F1C">
              <w:rPr>
                <w:rFonts w:ascii="Times New Roman" w:hAnsi="Times New Roman" w:cs="Times New Roman"/>
                <w:bCs/>
                <w:iCs/>
                <w:sz w:val="16"/>
                <w:szCs w:val="16"/>
              </w:rPr>
              <w:t>ă</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i na</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 xml:space="preserve">ionale, regionale </w:t>
            </w:r>
            <w:r w:rsidR="00106240" w:rsidRPr="008C5F1C">
              <w:rPr>
                <w:rFonts w:ascii="Times New Roman" w:hAnsi="Times New Roman" w:cs="Times New Roman"/>
                <w:bCs/>
                <w:iCs/>
                <w:sz w:val="16"/>
                <w:szCs w:val="16"/>
              </w:rPr>
              <w:t>ș</w:t>
            </w:r>
            <w:r w:rsidRPr="008C5F1C">
              <w:rPr>
                <w:rFonts w:ascii="Times New Roman" w:hAnsi="Times New Roman" w:cs="Times New Roman"/>
                <w:bCs/>
                <w:iCs/>
                <w:sz w:val="16"/>
                <w:szCs w:val="16"/>
              </w:rPr>
              <w:t xml:space="preserve">i locale durabile, </w:t>
            </w:r>
            <w:proofErr w:type="spellStart"/>
            <w:r w:rsidRPr="008C5F1C">
              <w:rPr>
                <w:rFonts w:ascii="Times New Roman" w:hAnsi="Times New Roman" w:cs="Times New Roman"/>
                <w:bCs/>
                <w:iCs/>
                <w:sz w:val="16"/>
                <w:szCs w:val="16"/>
              </w:rPr>
              <w:t>reziliente</w:t>
            </w:r>
            <w:proofErr w:type="spellEnd"/>
            <w:r w:rsidRPr="008C5F1C">
              <w:rPr>
                <w:rFonts w:ascii="Times New Roman" w:hAnsi="Times New Roman" w:cs="Times New Roman"/>
                <w:bCs/>
                <w:iCs/>
                <w:sz w:val="16"/>
                <w:szCs w:val="16"/>
              </w:rPr>
              <w:t xml:space="preserve"> în fa</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 xml:space="preserve">a </w:t>
            </w:r>
            <w:r w:rsidRPr="008C5F1C">
              <w:rPr>
                <w:rFonts w:ascii="Times New Roman" w:hAnsi="Times New Roman" w:cs="Times New Roman"/>
                <w:bCs/>
                <w:iCs/>
                <w:sz w:val="16"/>
                <w:szCs w:val="16"/>
              </w:rPr>
              <w:lastRenderedPageBreak/>
              <w:t>schimb</w:t>
            </w:r>
            <w:r w:rsidR="00BA7827" w:rsidRPr="008C5F1C">
              <w:rPr>
                <w:rFonts w:ascii="Times New Roman" w:hAnsi="Times New Roman" w:cs="Times New Roman"/>
                <w:bCs/>
                <w:iCs/>
                <w:sz w:val="16"/>
                <w:szCs w:val="16"/>
              </w:rPr>
              <w:t>ă</w:t>
            </w:r>
            <w:r w:rsidRPr="008C5F1C">
              <w:rPr>
                <w:rFonts w:ascii="Times New Roman" w:hAnsi="Times New Roman" w:cs="Times New Roman"/>
                <w:bCs/>
                <w:iCs/>
                <w:sz w:val="16"/>
                <w:szCs w:val="16"/>
              </w:rPr>
              <w:t xml:space="preserve">rilor climatice, inteligente </w:t>
            </w:r>
            <w:r w:rsidR="00106240" w:rsidRPr="008C5F1C">
              <w:rPr>
                <w:rFonts w:ascii="Times New Roman" w:hAnsi="Times New Roman" w:cs="Times New Roman"/>
                <w:bCs/>
                <w:iCs/>
                <w:sz w:val="16"/>
                <w:szCs w:val="16"/>
              </w:rPr>
              <w:t>ș</w:t>
            </w:r>
            <w:r w:rsidRPr="008C5F1C">
              <w:rPr>
                <w:rFonts w:ascii="Times New Roman" w:hAnsi="Times New Roman" w:cs="Times New Roman"/>
                <w:bCs/>
                <w:iCs/>
                <w:sz w:val="16"/>
                <w:szCs w:val="16"/>
              </w:rPr>
              <w:t xml:space="preserve">i </w:t>
            </w:r>
            <w:proofErr w:type="spellStart"/>
            <w:r w:rsidRPr="008C5F1C">
              <w:rPr>
                <w:rFonts w:ascii="Times New Roman" w:hAnsi="Times New Roman" w:cs="Times New Roman"/>
                <w:bCs/>
                <w:iCs/>
                <w:sz w:val="16"/>
                <w:szCs w:val="16"/>
              </w:rPr>
              <w:t>intermodale</w:t>
            </w:r>
            <w:proofErr w:type="spellEnd"/>
            <w:r w:rsidRPr="008C5F1C">
              <w:rPr>
                <w:rFonts w:ascii="Times New Roman" w:hAnsi="Times New Roman" w:cs="Times New Roman"/>
                <w:bCs/>
                <w:iCs/>
                <w:sz w:val="16"/>
                <w:szCs w:val="16"/>
              </w:rPr>
              <w:t>, inclusiv îmbun</w:t>
            </w:r>
            <w:r w:rsidR="00BA7827" w:rsidRPr="008C5F1C">
              <w:rPr>
                <w:rFonts w:ascii="Times New Roman" w:hAnsi="Times New Roman" w:cs="Times New Roman"/>
                <w:bCs/>
                <w:iCs/>
                <w:sz w:val="16"/>
                <w:szCs w:val="16"/>
              </w:rPr>
              <w:t>ă</w:t>
            </w:r>
            <w:r w:rsidRPr="008C5F1C">
              <w:rPr>
                <w:rFonts w:ascii="Times New Roman" w:hAnsi="Times New Roman" w:cs="Times New Roman"/>
                <w:bCs/>
                <w:iCs/>
                <w:sz w:val="16"/>
                <w:szCs w:val="16"/>
              </w:rPr>
              <w:t>t</w:t>
            </w:r>
            <w:r w:rsidR="00BA7827" w:rsidRPr="008C5F1C">
              <w:rPr>
                <w:rFonts w:ascii="Times New Roman" w:hAnsi="Times New Roman" w:cs="Times New Roman"/>
                <w:bCs/>
                <w:iCs/>
                <w:sz w:val="16"/>
                <w:szCs w:val="16"/>
              </w:rPr>
              <w:t>ă</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 xml:space="preserve">irea accesului la TEN-T </w:t>
            </w:r>
            <w:r w:rsidR="00106240" w:rsidRPr="008C5F1C">
              <w:rPr>
                <w:rFonts w:ascii="Times New Roman" w:hAnsi="Times New Roman" w:cs="Times New Roman"/>
                <w:bCs/>
                <w:iCs/>
                <w:sz w:val="16"/>
                <w:szCs w:val="16"/>
              </w:rPr>
              <w:t>ș</w:t>
            </w:r>
            <w:r w:rsidRPr="008C5F1C">
              <w:rPr>
                <w:rFonts w:ascii="Times New Roman" w:hAnsi="Times New Roman" w:cs="Times New Roman"/>
                <w:bCs/>
                <w:iCs/>
                <w:sz w:val="16"/>
                <w:szCs w:val="16"/>
              </w:rPr>
              <w:t>i a mobilit</w:t>
            </w:r>
            <w:r w:rsidR="00BA7827" w:rsidRPr="008C5F1C">
              <w:rPr>
                <w:rFonts w:ascii="Times New Roman" w:hAnsi="Times New Roman" w:cs="Times New Roman"/>
                <w:bCs/>
                <w:iCs/>
                <w:sz w:val="16"/>
                <w:szCs w:val="16"/>
              </w:rPr>
              <w:t>ă</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ii transfrontaliere</w:t>
            </w:r>
          </w:p>
        </w:tc>
        <w:tc>
          <w:tcPr>
            <w:tcW w:w="311" w:type="pct"/>
            <w:tcBorders>
              <w:top w:val="single" w:sz="4" w:space="0" w:color="auto"/>
              <w:left w:val="single" w:sz="4" w:space="0" w:color="auto"/>
              <w:bottom w:val="single" w:sz="4" w:space="0" w:color="auto"/>
              <w:right w:val="single" w:sz="4" w:space="0" w:color="auto"/>
            </w:tcBorders>
          </w:tcPr>
          <w:p w14:paraId="7D07DC60"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noProof/>
                <w:sz w:val="16"/>
                <w:szCs w:val="16"/>
              </w:rPr>
              <w:lastRenderedPageBreak/>
              <w:t>FEDR</w:t>
            </w:r>
          </w:p>
        </w:tc>
        <w:tc>
          <w:tcPr>
            <w:tcW w:w="435" w:type="pct"/>
            <w:tcBorders>
              <w:top w:val="single" w:sz="4" w:space="0" w:color="auto"/>
              <w:left w:val="single" w:sz="4" w:space="0" w:color="auto"/>
              <w:bottom w:val="single" w:sz="4" w:space="0" w:color="auto"/>
              <w:right w:val="single" w:sz="4" w:space="0" w:color="auto"/>
            </w:tcBorders>
          </w:tcPr>
          <w:p w14:paraId="319E3D05"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noProof/>
                <w:sz w:val="16"/>
                <w:szCs w:val="16"/>
              </w:rPr>
              <w:t>Mai pu</w:t>
            </w:r>
            <w:r w:rsidR="00E22FF2" w:rsidRPr="008C5F1C">
              <w:rPr>
                <w:rFonts w:ascii="Times New Roman" w:hAnsi="Times New Roman" w:cs="Times New Roman"/>
                <w:noProof/>
                <w:sz w:val="16"/>
                <w:szCs w:val="16"/>
              </w:rPr>
              <w:t>ț</w:t>
            </w:r>
            <w:r w:rsidRPr="008C5F1C">
              <w:rPr>
                <w:rFonts w:ascii="Times New Roman" w:hAnsi="Times New Roman" w:cs="Times New Roman"/>
                <w:noProof/>
                <w:sz w:val="16"/>
                <w:szCs w:val="16"/>
              </w:rPr>
              <w:t>in dezvoltate</w:t>
            </w:r>
          </w:p>
        </w:tc>
        <w:tc>
          <w:tcPr>
            <w:tcW w:w="271" w:type="pct"/>
            <w:tcBorders>
              <w:top w:val="single" w:sz="4" w:space="0" w:color="auto"/>
              <w:left w:val="single" w:sz="4" w:space="0" w:color="auto"/>
              <w:bottom w:val="single" w:sz="4" w:space="0" w:color="auto"/>
              <w:right w:val="single" w:sz="4" w:space="0" w:color="auto"/>
            </w:tcBorders>
          </w:tcPr>
          <w:p w14:paraId="1E97C342"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bCs/>
                <w:iCs/>
                <w:sz w:val="16"/>
                <w:szCs w:val="16"/>
              </w:rPr>
              <w:t xml:space="preserve">RCO 44 </w:t>
            </w:r>
          </w:p>
          <w:p w14:paraId="3F2A77AB" w14:textId="77777777" w:rsidR="00653571" w:rsidRPr="008C5F1C" w:rsidRDefault="00653571" w:rsidP="00534127">
            <w:pPr>
              <w:rPr>
                <w:rFonts w:ascii="Times New Roman" w:hAnsi="Times New Roman" w:cs="Times New Roman"/>
                <w:bCs/>
                <w:iCs/>
                <w:sz w:val="16"/>
                <w:szCs w:val="16"/>
              </w:rPr>
            </w:pPr>
          </w:p>
        </w:tc>
        <w:tc>
          <w:tcPr>
            <w:tcW w:w="1075" w:type="pct"/>
            <w:tcBorders>
              <w:top w:val="single" w:sz="4" w:space="0" w:color="auto"/>
              <w:left w:val="single" w:sz="4" w:space="0" w:color="auto"/>
              <w:bottom w:val="single" w:sz="4" w:space="0" w:color="auto"/>
              <w:right w:val="single" w:sz="4" w:space="0" w:color="auto"/>
            </w:tcBorders>
          </w:tcPr>
          <w:p w14:paraId="5B3DB9E7"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bCs/>
                <w:iCs/>
                <w:sz w:val="16"/>
                <w:szCs w:val="16"/>
              </w:rPr>
              <w:t>RCO 44 – Lungimea drumurilor noi care beneficiaz</w:t>
            </w:r>
            <w:r w:rsidR="00BA7827" w:rsidRPr="008C5F1C">
              <w:rPr>
                <w:rFonts w:ascii="Times New Roman" w:hAnsi="Times New Roman" w:cs="Times New Roman"/>
                <w:bCs/>
                <w:iCs/>
                <w:sz w:val="16"/>
                <w:szCs w:val="16"/>
              </w:rPr>
              <w:t>ă</w:t>
            </w:r>
            <w:r w:rsidRPr="008C5F1C">
              <w:rPr>
                <w:rFonts w:ascii="Times New Roman" w:hAnsi="Times New Roman" w:cs="Times New Roman"/>
                <w:bCs/>
                <w:iCs/>
                <w:sz w:val="16"/>
                <w:szCs w:val="16"/>
              </w:rPr>
              <w:t xml:space="preserve"> de sprijin – altele</w:t>
            </w:r>
          </w:p>
          <w:p w14:paraId="6A11CA80" w14:textId="77777777" w:rsidR="00653571" w:rsidRPr="008C5F1C" w:rsidRDefault="00653571" w:rsidP="00534127">
            <w:pPr>
              <w:rPr>
                <w:rFonts w:ascii="Times New Roman" w:hAnsi="Times New Roman" w:cs="Times New Roman"/>
                <w:bCs/>
                <w:iCs/>
                <w:sz w:val="16"/>
                <w:szCs w:val="16"/>
              </w:rPr>
            </w:pPr>
          </w:p>
        </w:tc>
        <w:tc>
          <w:tcPr>
            <w:tcW w:w="576" w:type="pct"/>
            <w:tcBorders>
              <w:top w:val="single" w:sz="4" w:space="0" w:color="auto"/>
              <w:left w:val="single" w:sz="4" w:space="0" w:color="auto"/>
              <w:bottom w:val="single" w:sz="4" w:space="0" w:color="auto"/>
              <w:right w:val="single" w:sz="4" w:space="0" w:color="auto"/>
            </w:tcBorders>
          </w:tcPr>
          <w:p w14:paraId="47928CCE" w14:textId="77777777" w:rsidR="00653571" w:rsidRPr="008C5F1C" w:rsidRDefault="0096280B" w:rsidP="00534127">
            <w:pPr>
              <w:rPr>
                <w:rFonts w:ascii="Times New Roman" w:hAnsi="Times New Roman" w:cs="Times New Roman"/>
                <w:bCs/>
                <w:iCs/>
                <w:sz w:val="16"/>
                <w:szCs w:val="16"/>
              </w:rPr>
            </w:pPr>
            <w:r w:rsidRPr="008C5F1C">
              <w:rPr>
                <w:rFonts w:ascii="Times New Roman" w:hAnsi="Times New Roman" w:cs="Times New Roman"/>
                <w:bCs/>
                <w:iCs/>
                <w:sz w:val="16"/>
                <w:szCs w:val="16"/>
              </w:rPr>
              <w:lastRenderedPageBreak/>
              <w:t>km</w:t>
            </w:r>
          </w:p>
        </w:tc>
        <w:tc>
          <w:tcPr>
            <w:tcW w:w="503" w:type="pct"/>
            <w:tcBorders>
              <w:top w:val="single" w:sz="4" w:space="0" w:color="auto"/>
              <w:left w:val="single" w:sz="4" w:space="0" w:color="auto"/>
              <w:bottom w:val="single" w:sz="4" w:space="0" w:color="auto"/>
              <w:right w:val="single" w:sz="4" w:space="0" w:color="auto"/>
            </w:tcBorders>
          </w:tcPr>
          <w:p w14:paraId="5C30A1C9" w14:textId="3B176F6E" w:rsidR="00653571" w:rsidRPr="008C5F1C" w:rsidRDefault="00DD0134" w:rsidP="00DD0134">
            <w:pPr>
              <w:jc w:val="center"/>
              <w:rPr>
                <w:rFonts w:ascii="Times New Roman" w:hAnsi="Times New Roman" w:cs="Times New Roman"/>
                <w:bCs/>
                <w:iCs/>
                <w:sz w:val="16"/>
                <w:szCs w:val="16"/>
              </w:rPr>
            </w:pPr>
            <w:r w:rsidRPr="008C5F1C">
              <w:rPr>
                <w:rFonts w:ascii="Times New Roman" w:hAnsi="Times New Roman" w:cs="Times New Roman"/>
                <w:bCs/>
                <w:iCs/>
                <w:sz w:val="16"/>
                <w:szCs w:val="16"/>
              </w:rPr>
              <w:t>0</w:t>
            </w:r>
          </w:p>
        </w:tc>
        <w:tc>
          <w:tcPr>
            <w:tcW w:w="633" w:type="pct"/>
            <w:tcBorders>
              <w:top w:val="single" w:sz="4" w:space="0" w:color="auto"/>
              <w:left w:val="single" w:sz="4" w:space="0" w:color="auto"/>
              <w:bottom w:val="single" w:sz="4" w:space="0" w:color="auto"/>
              <w:right w:val="single" w:sz="4" w:space="0" w:color="auto"/>
            </w:tcBorders>
          </w:tcPr>
          <w:p w14:paraId="50BB8BE3" w14:textId="20B09F63" w:rsidR="00653571" w:rsidRPr="008C5F1C" w:rsidRDefault="00DD0134" w:rsidP="00DD0134">
            <w:pPr>
              <w:jc w:val="center"/>
              <w:rPr>
                <w:rFonts w:ascii="Times New Roman" w:hAnsi="Times New Roman" w:cs="Times New Roman"/>
                <w:bCs/>
                <w:iCs/>
                <w:sz w:val="16"/>
                <w:szCs w:val="16"/>
              </w:rPr>
            </w:pPr>
            <w:r w:rsidRPr="008C5F1C">
              <w:rPr>
                <w:rFonts w:ascii="Times New Roman" w:hAnsi="Times New Roman" w:cs="Times New Roman"/>
                <w:bCs/>
                <w:iCs/>
                <w:sz w:val="16"/>
                <w:szCs w:val="16"/>
              </w:rPr>
              <w:t>45</w:t>
            </w:r>
          </w:p>
        </w:tc>
      </w:tr>
      <w:tr w:rsidR="00653571" w:rsidRPr="008C5F1C" w14:paraId="3480AD46" w14:textId="77777777" w:rsidTr="00446BA4">
        <w:trPr>
          <w:trHeight w:val="340"/>
        </w:trPr>
        <w:tc>
          <w:tcPr>
            <w:tcW w:w="377" w:type="pct"/>
            <w:tcBorders>
              <w:top w:val="single" w:sz="4" w:space="0" w:color="auto"/>
              <w:left w:val="single" w:sz="4" w:space="0" w:color="auto"/>
              <w:bottom w:val="single" w:sz="4" w:space="0" w:color="auto"/>
              <w:right w:val="single" w:sz="4" w:space="0" w:color="auto"/>
            </w:tcBorders>
          </w:tcPr>
          <w:p w14:paraId="7F091E76" w14:textId="77777777" w:rsidR="00653571" w:rsidRPr="008C5F1C" w:rsidRDefault="00904C61" w:rsidP="00534127">
            <w:pPr>
              <w:rPr>
                <w:rFonts w:ascii="Times New Roman" w:hAnsi="Times New Roman" w:cs="Times New Roman"/>
                <w:bCs/>
                <w:iCs/>
                <w:sz w:val="16"/>
                <w:szCs w:val="16"/>
              </w:rPr>
            </w:pPr>
            <w:r w:rsidRPr="008C5F1C">
              <w:rPr>
                <w:rFonts w:ascii="Times New Roman" w:hAnsi="Times New Roman" w:cs="Times New Roman"/>
                <w:bCs/>
                <w:iCs/>
                <w:sz w:val="16"/>
                <w:szCs w:val="16"/>
              </w:rPr>
              <w:t>4</w:t>
            </w:r>
          </w:p>
        </w:tc>
        <w:tc>
          <w:tcPr>
            <w:tcW w:w="819" w:type="pct"/>
            <w:tcBorders>
              <w:top w:val="single" w:sz="4" w:space="0" w:color="auto"/>
              <w:left w:val="single" w:sz="4" w:space="0" w:color="auto"/>
              <w:bottom w:val="single" w:sz="4" w:space="0" w:color="auto"/>
              <w:right w:val="single" w:sz="4" w:space="0" w:color="auto"/>
            </w:tcBorders>
          </w:tcPr>
          <w:p w14:paraId="1BE28483"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bCs/>
                <w:iCs/>
                <w:sz w:val="16"/>
                <w:szCs w:val="16"/>
              </w:rPr>
              <w:t>c (iii) Dezvoltarea unei mobilit</w:t>
            </w:r>
            <w:r w:rsidR="00BA7827" w:rsidRPr="008C5F1C">
              <w:rPr>
                <w:rFonts w:ascii="Times New Roman" w:hAnsi="Times New Roman" w:cs="Times New Roman"/>
                <w:bCs/>
                <w:iCs/>
                <w:sz w:val="16"/>
                <w:szCs w:val="16"/>
              </w:rPr>
              <w:t>ă</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i na</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 xml:space="preserve">ionale, regionale </w:t>
            </w:r>
            <w:r w:rsidR="00106240" w:rsidRPr="008C5F1C">
              <w:rPr>
                <w:rFonts w:ascii="Times New Roman" w:hAnsi="Times New Roman" w:cs="Times New Roman"/>
                <w:bCs/>
                <w:iCs/>
                <w:sz w:val="16"/>
                <w:szCs w:val="16"/>
              </w:rPr>
              <w:t>ș</w:t>
            </w:r>
            <w:r w:rsidRPr="008C5F1C">
              <w:rPr>
                <w:rFonts w:ascii="Times New Roman" w:hAnsi="Times New Roman" w:cs="Times New Roman"/>
                <w:bCs/>
                <w:iCs/>
                <w:sz w:val="16"/>
                <w:szCs w:val="16"/>
              </w:rPr>
              <w:t xml:space="preserve">i locale durabile, </w:t>
            </w:r>
            <w:proofErr w:type="spellStart"/>
            <w:r w:rsidRPr="008C5F1C">
              <w:rPr>
                <w:rFonts w:ascii="Times New Roman" w:hAnsi="Times New Roman" w:cs="Times New Roman"/>
                <w:bCs/>
                <w:iCs/>
                <w:sz w:val="16"/>
                <w:szCs w:val="16"/>
              </w:rPr>
              <w:t>reziliente</w:t>
            </w:r>
            <w:proofErr w:type="spellEnd"/>
            <w:r w:rsidRPr="008C5F1C">
              <w:rPr>
                <w:rFonts w:ascii="Times New Roman" w:hAnsi="Times New Roman" w:cs="Times New Roman"/>
                <w:bCs/>
                <w:iCs/>
                <w:sz w:val="16"/>
                <w:szCs w:val="16"/>
              </w:rPr>
              <w:t xml:space="preserve"> în fa</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a schimb</w:t>
            </w:r>
            <w:r w:rsidR="00BA7827" w:rsidRPr="008C5F1C">
              <w:rPr>
                <w:rFonts w:ascii="Times New Roman" w:hAnsi="Times New Roman" w:cs="Times New Roman"/>
                <w:bCs/>
                <w:iCs/>
                <w:sz w:val="16"/>
                <w:szCs w:val="16"/>
              </w:rPr>
              <w:t>ă</w:t>
            </w:r>
            <w:r w:rsidRPr="008C5F1C">
              <w:rPr>
                <w:rFonts w:ascii="Times New Roman" w:hAnsi="Times New Roman" w:cs="Times New Roman"/>
                <w:bCs/>
                <w:iCs/>
                <w:sz w:val="16"/>
                <w:szCs w:val="16"/>
              </w:rPr>
              <w:t xml:space="preserve">rilor climatice, inteligente </w:t>
            </w:r>
            <w:r w:rsidR="00106240" w:rsidRPr="008C5F1C">
              <w:rPr>
                <w:rFonts w:ascii="Times New Roman" w:hAnsi="Times New Roman" w:cs="Times New Roman"/>
                <w:bCs/>
                <w:iCs/>
                <w:sz w:val="16"/>
                <w:szCs w:val="16"/>
              </w:rPr>
              <w:t>ș</w:t>
            </w:r>
            <w:r w:rsidRPr="008C5F1C">
              <w:rPr>
                <w:rFonts w:ascii="Times New Roman" w:hAnsi="Times New Roman" w:cs="Times New Roman"/>
                <w:bCs/>
                <w:iCs/>
                <w:sz w:val="16"/>
                <w:szCs w:val="16"/>
              </w:rPr>
              <w:t xml:space="preserve">i </w:t>
            </w:r>
            <w:proofErr w:type="spellStart"/>
            <w:r w:rsidRPr="008C5F1C">
              <w:rPr>
                <w:rFonts w:ascii="Times New Roman" w:hAnsi="Times New Roman" w:cs="Times New Roman"/>
                <w:bCs/>
                <w:iCs/>
                <w:sz w:val="16"/>
                <w:szCs w:val="16"/>
              </w:rPr>
              <w:t>intermodale</w:t>
            </w:r>
            <w:proofErr w:type="spellEnd"/>
            <w:r w:rsidRPr="008C5F1C">
              <w:rPr>
                <w:rFonts w:ascii="Times New Roman" w:hAnsi="Times New Roman" w:cs="Times New Roman"/>
                <w:bCs/>
                <w:iCs/>
                <w:sz w:val="16"/>
                <w:szCs w:val="16"/>
              </w:rPr>
              <w:t>, inclusiv îmbun</w:t>
            </w:r>
            <w:r w:rsidR="00BA7827" w:rsidRPr="008C5F1C">
              <w:rPr>
                <w:rFonts w:ascii="Times New Roman" w:hAnsi="Times New Roman" w:cs="Times New Roman"/>
                <w:bCs/>
                <w:iCs/>
                <w:sz w:val="16"/>
                <w:szCs w:val="16"/>
              </w:rPr>
              <w:t>ă</w:t>
            </w:r>
            <w:r w:rsidRPr="008C5F1C">
              <w:rPr>
                <w:rFonts w:ascii="Times New Roman" w:hAnsi="Times New Roman" w:cs="Times New Roman"/>
                <w:bCs/>
                <w:iCs/>
                <w:sz w:val="16"/>
                <w:szCs w:val="16"/>
              </w:rPr>
              <w:t>t</w:t>
            </w:r>
            <w:r w:rsidR="00BA7827" w:rsidRPr="008C5F1C">
              <w:rPr>
                <w:rFonts w:ascii="Times New Roman" w:hAnsi="Times New Roman" w:cs="Times New Roman"/>
                <w:bCs/>
                <w:iCs/>
                <w:sz w:val="16"/>
                <w:szCs w:val="16"/>
              </w:rPr>
              <w:t>ă</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 xml:space="preserve">irea accesului la TEN-T </w:t>
            </w:r>
            <w:r w:rsidR="00106240" w:rsidRPr="008C5F1C">
              <w:rPr>
                <w:rFonts w:ascii="Times New Roman" w:hAnsi="Times New Roman" w:cs="Times New Roman"/>
                <w:bCs/>
                <w:iCs/>
                <w:sz w:val="16"/>
                <w:szCs w:val="16"/>
              </w:rPr>
              <w:t>ș</w:t>
            </w:r>
            <w:r w:rsidRPr="008C5F1C">
              <w:rPr>
                <w:rFonts w:ascii="Times New Roman" w:hAnsi="Times New Roman" w:cs="Times New Roman"/>
                <w:bCs/>
                <w:iCs/>
                <w:sz w:val="16"/>
                <w:szCs w:val="16"/>
              </w:rPr>
              <w:t>i a mobilit</w:t>
            </w:r>
            <w:r w:rsidR="00BA7827" w:rsidRPr="008C5F1C">
              <w:rPr>
                <w:rFonts w:ascii="Times New Roman" w:hAnsi="Times New Roman" w:cs="Times New Roman"/>
                <w:bCs/>
                <w:iCs/>
                <w:sz w:val="16"/>
                <w:szCs w:val="16"/>
              </w:rPr>
              <w:t>ă</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ii transfrontaliere</w:t>
            </w:r>
          </w:p>
        </w:tc>
        <w:tc>
          <w:tcPr>
            <w:tcW w:w="311" w:type="pct"/>
            <w:tcBorders>
              <w:top w:val="single" w:sz="4" w:space="0" w:color="auto"/>
              <w:left w:val="single" w:sz="4" w:space="0" w:color="auto"/>
              <w:bottom w:val="single" w:sz="4" w:space="0" w:color="auto"/>
              <w:right w:val="single" w:sz="4" w:space="0" w:color="auto"/>
            </w:tcBorders>
          </w:tcPr>
          <w:p w14:paraId="5C0261F1" w14:textId="77777777" w:rsidR="00653571" w:rsidRPr="008C5F1C" w:rsidRDefault="00653571" w:rsidP="00534127">
            <w:pPr>
              <w:rPr>
                <w:rFonts w:ascii="Times New Roman" w:hAnsi="Times New Roman" w:cs="Times New Roman"/>
                <w:noProof/>
                <w:sz w:val="16"/>
                <w:szCs w:val="16"/>
              </w:rPr>
            </w:pPr>
            <w:r w:rsidRPr="008C5F1C">
              <w:rPr>
                <w:rFonts w:ascii="Times New Roman" w:hAnsi="Times New Roman" w:cs="Times New Roman"/>
                <w:noProof/>
                <w:sz w:val="16"/>
                <w:szCs w:val="16"/>
              </w:rPr>
              <w:t>FEDR</w:t>
            </w:r>
          </w:p>
        </w:tc>
        <w:tc>
          <w:tcPr>
            <w:tcW w:w="435" w:type="pct"/>
            <w:tcBorders>
              <w:top w:val="single" w:sz="4" w:space="0" w:color="auto"/>
              <w:left w:val="single" w:sz="4" w:space="0" w:color="auto"/>
              <w:bottom w:val="single" w:sz="4" w:space="0" w:color="auto"/>
              <w:right w:val="single" w:sz="4" w:space="0" w:color="auto"/>
            </w:tcBorders>
          </w:tcPr>
          <w:p w14:paraId="627437E9" w14:textId="77777777" w:rsidR="00653571" w:rsidRPr="008C5F1C" w:rsidRDefault="00653571" w:rsidP="00534127">
            <w:pPr>
              <w:rPr>
                <w:rFonts w:ascii="Times New Roman" w:hAnsi="Times New Roman" w:cs="Times New Roman"/>
                <w:noProof/>
                <w:sz w:val="16"/>
                <w:szCs w:val="16"/>
              </w:rPr>
            </w:pPr>
            <w:r w:rsidRPr="008C5F1C">
              <w:rPr>
                <w:rFonts w:ascii="Times New Roman" w:hAnsi="Times New Roman" w:cs="Times New Roman"/>
                <w:noProof/>
                <w:sz w:val="16"/>
                <w:szCs w:val="16"/>
              </w:rPr>
              <w:t>Mai pu</w:t>
            </w:r>
            <w:r w:rsidR="00E22FF2" w:rsidRPr="008C5F1C">
              <w:rPr>
                <w:rFonts w:ascii="Times New Roman" w:hAnsi="Times New Roman" w:cs="Times New Roman"/>
                <w:noProof/>
                <w:sz w:val="16"/>
                <w:szCs w:val="16"/>
              </w:rPr>
              <w:t>ț</w:t>
            </w:r>
            <w:r w:rsidRPr="008C5F1C">
              <w:rPr>
                <w:rFonts w:ascii="Times New Roman" w:hAnsi="Times New Roman" w:cs="Times New Roman"/>
                <w:noProof/>
                <w:sz w:val="16"/>
                <w:szCs w:val="16"/>
              </w:rPr>
              <w:t>in dezvoltate</w:t>
            </w:r>
          </w:p>
        </w:tc>
        <w:tc>
          <w:tcPr>
            <w:tcW w:w="271" w:type="pct"/>
            <w:tcBorders>
              <w:top w:val="single" w:sz="4" w:space="0" w:color="auto"/>
              <w:left w:val="single" w:sz="4" w:space="0" w:color="auto"/>
              <w:bottom w:val="single" w:sz="4" w:space="0" w:color="auto"/>
              <w:right w:val="single" w:sz="4" w:space="0" w:color="auto"/>
            </w:tcBorders>
          </w:tcPr>
          <w:p w14:paraId="1F91CBED"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bCs/>
                <w:iCs/>
                <w:sz w:val="16"/>
                <w:szCs w:val="16"/>
              </w:rPr>
              <w:t>RCO 46</w:t>
            </w:r>
          </w:p>
        </w:tc>
        <w:tc>
          <w:tcPr>
            <w:tcW w:w="1075" w:type="pct"/>
            <w:tcBorders>
              <w:top w:val="single" w:sz="4" w:space="0" w:color="auto"/>
              <w:left w:val="single" w:sz="4" w:space="0" w:color="auto"/>
              <w:bottom w:val="single" w:sz="4" w:space="0" w:color="auto"/>
              <w:right w:val="single" w:sz="4" w:space="0" w:color="auto"/>
            </w:tcBorders>
          </w:tcPr>
          <w:p w14:paraId="3748F440"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bCs/>
                <w:iCs/>
                <w:sz w:val="16"/>
                <w:szCs w:val="16"/>
              </w:rPr>
              <w:t>RCO 46 – Lungimea drumurilor reconstruite sau modernizate – altele</w:t>
            </w:r>
          </w:p>
        </w:tc>
        <w:tc>
          <w:tcPr>
            <w:tcW w:w="576" w:type="pct"/>
            <w:tcBorders>
              <w:top w:val="single" w:sz="4" w:space="0" w:color="auto"/>
              <w:left w:val="single" w:sz="4" w:space="0" w:color="auto"/>
              <w:bottom w:val="single" w:sz="4" w:space="0" w:color="auto"/>
              <w:right w:val="single" w:sz="4" w:space="0" w:color="auto"/>
            </w:tcBorders>
          </w:tcPr>
          <w:p w14:paraId="04CF1B16" w14:textId="77777777" w:rsidR="00653571" w:rsidRPr="008C5F1C" w:rsidRDefault="0096280B" w:rsidP="00534127">
            <w:pPr>
              <w:rPr>
                <w:rFonts w:ascii="Times New Roman" w:hAnsi="Times New Roman" w:cs="Times New Roman"/>
                <w:bCs/>
                <w:iCs/>
                <w:sz w:val="16"/>
                <w:szCs w:val="16"/>
              </w:rPr>
            </w:pPr>
            <w:r w:rsidRPr="008C5F1C">
              <w:rPr>
                <w:rFonts w:ascii="Times New Roman" w:hAnsi="Times New Roman" w:cs="Times New Roman"/>
                <w:bCs/>
                <w:iCs/>
                <w:sz w:val="16"/>
                <w:szCs w:val="16"/>
              </w:rPr>
              <w:t>km</w:t>
            </w:r>
          </w:p>
        </w:tc>
        <w:tc>
          <w:tcPr>
            <w:tcW w:w="503" w:type="pct"/>
            <w:tcBorders>
              <w:top w:val="single" w:sz="4" w:space="0" w:color="auto"/>
              <w:left w:val="single" w:sz="4" w:space="0" w:color="auto"/>
              <w:bottom w:val="single" w:sz="4" w:space="0" w:color="auto"/>
              <w:right w:val="single" w:sz="4" w:space="0" w:color="auto"/>
            </w:tcBorders>
          </w:tcPr>
          <w:p w14:paraId="184EDAAF" w14:textId="0F791587" w:rsidR="00653571" w:rsidRPr="008C5F1C" w:rsidRDefault="00DD0134" w:rsidP="00DD0134">
            <w:pPr>
              <w:jc w:val="center"/>
              <w:rPr>
                <w:rFonts w:ascii="Times New Roman" w:hAnsi="Times New Roman" w:cs="Times New Roman"/>
                <w:bCs/>
                <w:iCs/>
                <w:sz w:val="16"/>
                <w:szCs w:val="16"/>
              </w:rPr>
            </w:pPr>
            <w:r w:rsidRPr="008C5F1C">
              <w:rPr>
                <w:rFonts w:ascii="Times New Roman" w:hAnsi="Times New Roman" w:cs="Times New Roman"/>
                <w:bCs/>
                <w:iCs/>
                <w:sz w:val="16"/>
                <w:szCs w:val="16"/>
              </w:rPr>
              <w:t>0</w:t>
            </w:r>
          </w:p>
        </w:tc>
        <w:tc>
          <w:tcPr>
            <w:tcW w:w="633" w:type="pct"/>
            <w:tcBorders>
              <w:top w:val="single" w:sz="4" w:space="0" w:color="auto"/>
              <w:left w:val="single" w:sz="4" w:space="0" w:color="auto"/>
              <w:bottom w:val="single" w:sz="4" w:space="0" w:color="auto"/>
              <w:right w:val="single" w:sz="4" w:space="0" w:color="auto"/>
            </w:tcBorders>
          </w:tcPr>
          <w:p w14:paraId="24282E30" w14:textId="4BDEFF17" w:rsidR="00653571" w:rsidRPr="008C5F1C" w:rsidRDefault="00DD0134" w:rsidP="00DD0134">
            <w:pPr>
              <w:jc w:val="center"/>
              <w:rPr>
                <w:rFonts w:ascii="Times New Roman" w:hAnsi="Times New Roman" w:cs="Times New Roman"/>
                <w:bCs/>
                <w:iCs/>
                <w:sz w:val="16"/>
                <w:szCs w:val="16"/>
              </w:rPr>
            </w:pPr>
            <w:r w:rsidRPr="008C5F1C">
              <w:rPr>
                <w:rFonts w:ascii="Times New Roman" w:hAnsi="Times New Roman" w:cs="Times New Roman"/>
                <w:bCs/>
                <w:iCs/>
                <w:sz w:val="16"/>
                <w:szCs w:val="16"/>
              </w:rPr>
              <w:t>206</w:t>
            </w:r>
          </w:p>
        </w:tc>
      </w:tr>
    </w:tbl>
    <w:p w14:paraId="478414FF" w14:textId="77777777" w:rsidR="00653571" w:rsidRPr="008C5F1C" w:rsidRDefault="00653571" w:rsidP="00653571">
      <w:pPr>
        <w:rPr>
          <w:rFonts w:ascii="Times New Roman" w:hAnsi="Times New Roman" w:cs="Times New Roman"/>
          <w:sz w:val="12"/>
        </w:rPr>
      </w:pPr>
    </w:p>
    <w:tbl>
      <w:tblPr>
        <w:tblW w:w="5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8"/>
        <w:gridCol w:w="1248"/>
        <w:gridCol w:w="625"/>
        <w:gridCol w:w="874"/>
        <w:gridCol w:w="537"/>
        <w:gridCol w:w="1007"/>
        <w:gridCol w:w="1158"/>
        <w:gridCol w:w="856"/>
        <w:gridCol w:w="900"/>
        <w:gridCol w:w="936"/>
        <w:gridCol w:w="688"/>
        <w:gridCol w:w="954"/>
      </w:tblGrid>
      <w:tr w:rsidR="00653571" w:rsidRPr="008C5F1C" w14:paraId="249DD3DA" w14:textId="77777777" w:rsidTr="00EA6490">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14:paraId="312647D0" w14:textId="77777777" w:rsidR="00653571" w:rsidRPr="008C5F1C" w:rsidRDefault="00653571" w:rsidP="00534127">
            <w:pPr>
              <w:rPr>
                <w:rFonts w:ascii="Times New Roman" w:hAnsi="Times New Roman" w:cs="Times New Roman"/>
                <w:b/>
              </w:rPr>
            </w:pPr>
            <w:r w:rsidRPr="008C5F1C">
              <w:rPr>
                <w:rFonts w:ascii="Times New Roman" w:hAnsi="Times New Roman" w:cs="Times New Roman"/>
                <w:b/>
                <w:iCs/>
              </w:rPr>
              <w:t xml:space="preserve">Table 3: </w:t>
            </w:r>
            <w:proofErr w:type="spellStart"/>
            <w:r w:rsidRPr="008C5F1C">
              <w:rPr>
                <w:rFonts w:ascii="Times New Roman" w:hAnsi="Times New Roman" w:cs="Times New Roman"/>
                <w:b/>
                <w:iCs/>
              </w:rPr>
              <w:t>Result</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indicators</w:t>
            </w:r>
            <w:proofErr w:type="spellEnd"/>
          </w:p>
        </w:tc>
      </w:tr>
      <w:tr w:rsidR="00653571" w:rsidRPr="008C5F1C" w14:paraId="2D34C214" w14:textId="77777777" w:rsidTr="00EA6490">
        <w:trPr>
          <w:trHeight w:val="1046"/>
        </w:trPr>
        <w:tc>
          <w:tcPr>
            <w:tcW w:w="360" w:type="pct"/>
            <w:tcBorders>
              <w:top w:val="single" w:sz="4" w:space="0" w:color="auto"/>
              <w:left w:val="single" w:sz="4" w:space="0" w:color="auto"/>
              <w:bottom w:val="single" w:sz="4" w:space="0" w:color="auto"/>
              <w:right w:val="single" w:sz="4" w:space="0" w:color="auto"/>
            </w:tcBorders>
            <w:hideMark/>
          </w:tcPr>
          <w:p w14:paraId="55D50B24"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Priority</w:t>
            </w:r>
            <w:proofErr w:type="spellEnd"/>
            <w:r w:rsidRPr="008C5F1C">
              <w:rPr>
                <w:rFonts w:ascii="Times New Roman" w:hAnsi="Times New Roman" w:cs="Times New Roman"/>
                <w:b/>
                <w:sz w:val="16"/>
                <w:szCs w:val="16"/>
              </w:rPr>
              <w:t xml:space="preserve"> </w:t>
            </w:r>
          </w:p>
        </w:tc>
        <w:tc>
          <w:tcPr>
            <w:tcW w:w="714" w:type="pct"/>
            <w:tcBorders>
              <w:top w:val="single" w:sz="4" w:space="0" w:color="auto"/>
              <w:left w:val="single" w:sz="4" w:space="0" w:color="auto"/>
              <w:bottom w:val="single" w:sz="4" w:space="0" w:color="auto"/>
              <w:right w:val="single" w:sz="4" w:space="0" w:color="auto"/>
            </w:tcBorders>
            <w:hideMark/>
          </w:tcPr>
          <w:p w14:paraId="69193FB7"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 xml:space="preserve">Specific </w:t>
            </w:r>
            <w:proofErr w:type="spellStart"/>
            <w:r w:rsidRPr="008C5F1C">
              <w:rPr>
                <w:rFonts w:ascii="Times New Roman" w:hAnsi="Times New Roman" w:cs="Times New Roman"/>
                <w:b/>
                <w:sz w:val="16"/>
                <w:szCs w:val="16"/>
              </w:rPr>
              <w:t>objective</w:t>
            </w:r>
            <w:proofErr w:type="spellEnd"/>
            <w:r w:rsidRPr="008C5F1C">
              <w:rPr>
                <w:rFonts w:ascii="Times New Roman" w:hAnsi="Times New Roman" w:cs="Times New Roman"/>
                <w:b/>
                <w:sz w:val="16"/>
                <w:szCs w:val="16"/>
              </w:rPr>
              <w:t xml:space="preserve"> (Investment for </w:t>
            </w:r>
            <w:proofErr w:type="spellStart"/>
            <w:r w:rsidRPr="008C5F1C">
              <w:rPr>
                <w:rFonts w:ascii="Times New Roman" w:hAnsi="Times New Roman" w:cs="Times New Roman"/>
                <w:b/>
                <w:sz w:val="16"/>
                <w:szCs w:val="16"/>
              </w:rPr>
              <w:t>Jobs</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and</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Growth</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goal</w:t>
            </w:r>
            <w:proofErr w:type="spellEnd"/>
            <w:r w:rsidRPr="008C5F1C">
              <w:rPr>
                <w:rFonts w:ascii="Times New Roman" w:hAnsi="Times New Roman" w:cs="Times New Roman"/>
                <w:b/>
                <w:sz w:val="16"/>
                <w:szCs w:val="16"/>
              </w:rPr>
              <w:t xml:space="preserve"> or EMFF)</w:t>
            </w:r>
          </w:p>
        </w:tc>
        <w:tc>
          <w:tcPr>
            <w:tcW w:w="296" w:type="pct"/>
            <w:tcBorders>
              <w:top w:val="single" w:sz="4" w:space="0" w:color="auto"/>
              <w:left w:val="single" w:sz="4" w:space="0" w:color="auto"/>
              <w:bottom w:val="single" w:sz="4" w:space="0" w:color="auto"/>
              <w:right w:val="single" w:sz="4" w:space="0" w:color="auto"/>
            </w:tcBorders>
            <w:hideMark/>
          </w:tcPr>
          <w:p w14:paraId="08AE2EF1"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Fund</w:t>
            </w:r>
          </w:p>
        </w:tc>
        <w:tc>
          <w:tcPr>
            <w:tcW w:w="415" w:type="pct"/>
            <w:tcBorders>
              <w:top w:val="single" w:sz="4" w:space="0" w:color="auto"/>
              <w:left w:val="single" w:sz="4" w:space="0" w:color="auto"/>
              <w:bottom w:val="single" w:sz="4" w:space="0" w:color="auto"/>
              <w:right w:val="single" w:sz="4" w:space="0" w:color="auto"/>
            </w:tcBorders>
            <w:hideMark/>
          </w:tcPr>
          <w:p w14:paraId="1D4B96C4"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Category</w:t>
            </w:r>
            <w:proofErr w:type="spellEnd"/>
            <w:r w:rsidRPr="008C5F1C">
              <w:rPr>
                <w:rFonts w:ascii="Times New Roman" w:hAnsi="Times New Roman" w:cs="Times New Roman"/>
                <w:b/>
                <w:sz w:val="16"/>
                <w:szCs w:val="16"/>
              </w:rPr>
              <w:t xml:space="preserve"> of </w:t>
            </w:r>
            <w:proofErr w:type="spellStart"/>
            <w:r w:rsidRPr="008C5F1C">
              <w:rPr>
                <w:rFonts w:ascii="Times New Roman" w:hAnsi="Times New Roman" w:cs="Times New Roman"/>
                <w:b/>
                <w:sz w:val="16"/>
                <w:szCs w:val="16"/>
              </w:rPr>
              <w:t>region</w:t>
            </w:r>
            <w:proofErr w:type="spellEnd"/>
            <w:r w:rsidRPr="008C5F1C">
              <w:rPr>
                <w:rFonts w:ascii="Times New Roman" w:hAnsi="Times New Roman" w:cs="Times New Roman"/>
                <w:sz w:val="16"/>
                <w:szCs w:val="16"/>
              </w:rPr>
              <w:t xml:space="preserve"> </w:t>
            </w:r>
          </w:p>
        </w:tc>
        <w:tc>
          <w:tcPr>
            <w:tcW w:w="255" w:type="pct"/>
            <w:tcBorders>
              <w:top w:val="single" w:sz="4" w:space="0" w:color="auto"/>
              <w:left w:val="single" w:sz="4" w:space="0" w:color="auto"/>
              <w:bottom w:val="single" w:sz="4" w:space="0" w:color="auto"/>
              <w:right w:val="single" w:sz="4" w:space="0" w:color="auto"/>
            </w:tcBorders>
            <w:hideMark/>
          </w:tcPr>
          <w:p w14:paraId="77E38E0E"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ID [5]</w:t>
            </w:r>
          </w:p>
        </w:tc>
        <w:tc>
          <w:tcPr>
            <w:tcW w:w="478" w:type="pct"/>
            <w:tcBorders>
              <w:top w:val="single" w:sz="4" w:space="0" w:color="auto"/>
              <w:left w:val="single" w:sz="4" w:space="0" w:color="auto"/>
              <w:bottom w:val="single" w:sz="4" w:space="0" w:color="auto"/>
              <w:right w:val="single" w:sz="4" w:space="0" w:color="auto"/>
            </w:tcBorders>
            <w:hideMark/>
          </w:tcPr>
          <w:p w14:paraId="6FCD9968"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Indicator [255]</w:t>
            </w:r>
          </w:p>
        </w:tc>
        <w:tc>
          <w:tcPr>
            <w:tcW w:w="549" w:type="pct"/>
            <w:tcBorders>
              <w:top w:val="single" w:sz="4" w:space="0" w:color="auto"/>
              <w:left w:val="single" w:sz="4" w:space="0" w:color="auto"/>
              <w:bottom w:val="single" w:sz="4" w:space="0" w:color="auto"/>
              <w:right w:val="single" w:sz="4" w:space="0" w:color="auto"/>
            </w:tcBorders>
            <w:hideMark/>
          </w:tcPr>
          <w:p w14:paraId="3D832165"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Measurement</w:t>
            </w:r>
            <w:proofErr w:type="spellEnd"/>
            <w:r w:rsidRPr="008C5F1C">
              <w:rPr>
                <w:rFonts w:ascii="Times New Roman" w:hAnsi="Times New Roman" w:cs="Times New Roman"/>
                <w:b/>
                <w:sz w:val="16"/>
                <w:szCs w:val="16"/>
              </w:rPr>
              <w:t xml:space="preserve"> unit</w:t>
            </w:r>
          </w:p>
        </w:tc>
        <w:tc>
          <w:tcPr>
            <w:tcW w:w="406" w:type="pct"/>
            <w:tcBorders>
              <w:top w:val="single" w:sz="4" w:space="0" w:color="auto"/>
              <w:left w:val="single" w:sz="4" w:space="0" w:color="auto"/>
              <w:bottom w:val="single" w:sz="4" w:space="0" w:color="auto"/>
              <w:right w:val="single" w:sz="4" w:space="0" w:color="auto"/>
            </w:tcBorders>
            <w:hideMark/>
          </w:tcPr>
          <w:p w14:paraId="6AA4E7D8"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Baseline</w:t>
            </w:r>
            <w:proofErr w:type="spellEnd"/>
            <w:r w:rsidRPr="008C5F1C">
              <w:rPr>
                <w:rFonts w:ascii="Times New Roman" w:hAnsi="Times New Roman" w:cs="Times New Roman"/>
                <w:b/>
                <w:sz w:val="16"/>
                <w:szCs w:val="16"/>
              </w:rPr>
              <w:t xml:space="preserve"> or </w:t>
            </w:r>
            <w:proofErr w:type="spellStart"/>
            <w:r w:rsidRPr="008C5F1C">
              <w:rPr>
                <w:rFonts w:ascii="Times New Roman" w:hAnsi="Times New Roman" w:cs="Times New Roman"/>
                <w:b/>
                <w:sz w:val="16"/>
                <w:szCs w:val="16"/>
              </w:rPr>
              <w:t>reference</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value</w:t>
            </w:r>
            <w:proofErr w:type="spellEnd"/>
          </w:p>
        </w:tc>
        <w:tc>
          <w:tcPr>
            <w:tcW w:w="427" w:type="pct"/>
            <w:tcBorders>
              <w:top w:val="single" w:sz="4" w:space="0" w:color="auto"/>
              <w:left w:val="single" w:sz="4" w:space="0" w:color="auto"/>
              <w:bottom w:val="single" w:sz="4" w:space="0" w:color="auto"/>
              <w:right w:val="single" w:sz="4" w:space="0" w:color="auto"/>
            </w:tcBorders>
            <w:hideMark/>
          </w:tcPr>
          <w:p w14:paraId="535F4699"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Reference</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year</w:t>
            </w:r>
            <w:proofErr w:type="spellEnd"/>
          </w:p>
        </w:tc>
        <w:tc>
          <w:tcPr>
            <w:tcW w:w="322" w:type="pct"/>
            <w:tcBorders>
              <w:top w:val="single" w:sz="4" w:space="0" w:color="auto"/>
              <w:left w:val="single" w:sz="4" w:space="0" w:color="auto"/>
              <w:bottom w:val="single" w:sz="4" w:space="0" w:color="auto"/>
              <w:right w:val="single" w:sz="4" w:space="0" w:color="auto"/>
            </w:tcBorders>
          </w:tcPr>
          <w:p w14:paraId="09244276"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Target (2029)</w:t>
            </w:r>
          </w:p>
          <w:p w14:paraId="4F166B67" w14:textId="77777777" w:rsidR="00653571" w:rsidRPr="008C5F1C" w:rsidRDefault="00653571" w:rsidP="00534127">
            <w:pPr>
              <w:rPr>
                <w:rFonts w:ascii="Times New Roman" w:hAnsi="Times New Roman" w:cs="Times New Roman"/>
                <w:b/>
                <w:sz w:val="16"/>
                <w:szCs w:val="16"/>
              </w:rPr>
            </w:pPr>
          </w:p>
        </w:tc>
        <w:tc>
          <w:tcPr>
            <w:tcW w:w="326" w:type="pct"/>
            <w:tcBorders>
              <w:top w:val="single" w:sz="4" w:space="0" w:color="auto"/>
              <w:left w:val="single" w:sz="4" w:space="0" w:color="auto"/>
              <w:bottom w:val="single" w:sz="4" w:space="0" w:color="auto"/>
              <w:right w:val="single" w:sz="4" w:space="0" w:color="auto"/>
            </w:tcBorders>
            <w:hideMark/>
          </w:tcPr>
          <w:p w14:paraId="2A2333A6"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Source</w:t>
            </w:r>
            <w:proofErr w:type="spellEnd"/>
            <w:r w:rsidRPr="008C5F1C">
              <w:rPr>
                <w:rFonts w:ascii="Times New Roman" w:hAnsi="Times New Roman" w:cs="Times New Roman"/>
                <w:b/>
                <w:sz w:val="16"/>
                <w:szCs w:val="16"/>
              </w:rPr>
              <w:t xml:space="preserve"> of data [200]</w:t>
            </w:r>
          </w:p>
        </w:tc>
        <w:tc>
          <w:tcPr>
            <w:tcW w:w="453" w:type="pct"/>
            <w:tcBorders>
              <w:top w:val="single" w:sz="4" w:space="0" w:color="auto"/>
              <w:left w:val="single" w:sz="4" w:space="0" w:color="auto"/>
              <w:bottom w:val="single" w:sz="4" w:space="0" w:color="auto"/>
              <w:right w:val="single" w:sz="4" w:space="0" w:color="auto"/>
            </w:tcBorders>
            <w:hideMark/>
          </w:tcPr>
          <w:p w14:paraId="238129FE"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Comments</w:t>
            </w:r>
            <w:proofErr w:type="spellEnd"/>
            <w:r w:rsidRPr="008C5F1C">
              <w:rPr>
                <w:rFonts w:ascii="Times New Roman" w:hAnsi="Times New Roman" w:cs="Times New Roman"/>
                <w:b/>
                <w:sz w:val="16"/>
                <w:szCs w:val="16"/>
              </w:rPr>
              <w:t xml:space="preserve"> [200]</w:t>
            </w:r>
          </w:p>
        </w:tc>
      </w:tr>
      <w:tr w:rsidR="00653571" w:rsidRPr="008C5F1C" w14:paraId="074410EC" w14:textId="77777777" w:rsidTr="00EA6490">
        <w:trPr>
          <w:trHeight w:val="434"/>
        </w:trPr>
        <w:tc>
          <w:tcPr>
            <w:tcW w:w="360" w:type="pct"/>
            <w:tcBorders>
              <w:top w:val="single" w:sz="4" w:space="0" w:color="auto"/>
              <w:left w:val="single" w:sz="4" w:space="0" w:color="auto"/>
              <w:bottom w:val="single" w:sz="4" w:space="0" w:color="auto"/>
              <w:right w:val="single" w:sz="4" w:space="0" w:color="auto"/>
            </w:tcBorders>
          </w:tcPr>
          <w:p w14:paraId="5C0633B5" w14:textId="77777777" w:rsidR="00653571" w:rsidRPr="008C5F1C" w:rsidRDefault="00904C61" w:rsidP="00534127">
            <w:pPr>
              <w:rPr>
                <w:rFonts w:ascii="Times New Roman" w:hAnsi="Times New Roman" w:cs="Times New Roman"/>
                <w:iCs/>
                <w:sz w:val="16"/>
                <w:szCs w:val="16"/>
              </w:rPr>
            </w:pPr>
            <w:r w:rsidRPr="008C5F1C">
              <w:rPr>
                <w:rFonts w:ascii="Times New Roman" w:hAnsi="Times New Roman" w:cs="Times New Roman"/>
                <w:iCs/>
                <w:sz w:val="16"/>
                <w:szCs w:val="16"/>
              </w:rPr>
              <w:t>4</w:t>
            </w:r>
          </w:p>
        </w:tc>
        <w:tc>
          <w:tcPr>
            <w:tcW w:w="714" w:type="pct"/>
            <w:tcBorders>
              <w:top w:val="single" w:sz="4" w:space="0" w:color="auto"/>
              <w:left w:val="single" w:sz="4" w:space="0" w:color="auto"/>
              <w:bottom w:val="single" w:sz="4" w:space="0" w:color="auto"/>
              <w:right w:val="single" w:sz="4" w:space="0" w:color="auto"/>
            </w:tcBorders>
          </w:tcPr>
          <w:p w14:paraId="74FA9AAA" w14:textId="77777777" w:rsidR="00653571" w:rsidRPr="008C5F1C" w:rsidRDefault="00653571" w:rsidP="00534127">
            <w:pPr>
              <w:rPr>
                <w:rFonts w:ascii="Times New Roman" w:hAnsi="Times New Roman" w:cs="Times New Roman"/>
                <w:iCs/>
                <w:sz w:val="16"/>
                <w:szCs w:val="16"/>
              </w:rPr>
            </w:pPr>
            <w:r w:rsidRPr="008C5F1C">
              <w:rPr>
                <w:rFonts w:ascii="Times New Roman" w:hAnsi="Times New Roman" w:cs="Times New Roman"/>
                <w:bCs/>
                <w:iCs/>
                <w:sz w:val="16"/>
                <w:szCs w:val="16"/>
              </w:rPr>
              <w:t>c (iii) Dezvoltarea unei mobilit</w:t>
            </w:r>
            <w:r w:rsidR="00BA7827" w:rsidRPr="008C5F1C">
              <w:rPr>
                <w:rFonts w:ascii="Times New Roman" w:hAnsi="Times New Roman" w:cs="Times New Roman"/>
                <w:bCs/>
                <w:iCs/>
                <w:sz w:val="16"/>
                <w:szCs w:val="16"/>
              </w:rPr>
              <w:t>ă</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i na</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 xml:space="preserve">ionale, regionale </w:t>
            </w:r>
            <w:r w:rsidR="00106240" w:rsidRPr="008C5F1C">
              <w:rPr>
                <w:rFonts w:ascii="Times New Roman" w:hAnsi="Times New Roman" w:cs="Times New Roman"/>
                <w:bCs/>
                <w:iCs/>
                <w:sz w:val="16"/>
                <w:szCs w:val="16"/>
              </w:rPr>
              <w:t>ș</w:t>
            </w:r>
            <w:r w:rsidRPr="008C5F1C">
              <w:rPr>
                <w:rFonts w:ascii="Times New Roman" w:hAnsi="Times New Roman" w:cs="Times New Roman"/>
                <w:bCs/>
                <w:iCs/>
                <w:sz w:val="16"/>
                <w:szCs w:val="16"/>
              </w:rPr>
              <w:t xml:space="preserve">i locale durabile, </w:t>
            </w:r>
            <w:proofErr w:type="spellStart"/>
            <w:r w:rsidRPr="008C5F1C">
              <w:rPr>
                <w:rFonts w:ascii="Times New Roman" w:hAnsi="Times New Roman" w:cs="Times New Roman"/>
                <w:bCs/>
                <w:iCs/>
                <w:sz w:val="16"/>
                <w:szCs w:val="16"/>
              </w:rPr>
              <w:t>reziliente</w:t>
            </w:r>
            <w:proofErr w:type="spellEnd"/>
            <w:r w:rsidRPr="008C5F1C">
              <w:rPr>
                <w:rFonts w:ascii="Times New Roman" w:hAnsi="Times New Roman" w:cs="Times New Roman"/>
                <w:bCs/>
                <w:iCs/>
                <w:sz w:val="16"/>
                <w:szCs w:val="16"/>
              </w:rPr>
              <w:t xml:space="preserve"> în fa</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a schimb</w:t>
            </w:r>
            <w:r w:rsidR="00BA7827" w:rsidRPr="008C5F1C">
              <w:rPr>
                <w:rFonts w:ascii="Times New Roman" w:hAnsi="Times New Roman" w:cs="Times New Roman"/>
                <w:bCs/>
                <w:iCs/>
                <w:sz w:val="16"/>
                <w:szCs w:val="16"/>
              </w:rPr>
              <w:t>ă</w:t>
            </w:r>
            <w:r w:rsidRPr="008C5F1C">
              <w:rPr>
                <w:rFonts w:ascii="Times New Roman" w:hAnsi="Times New Roman" w:cs="Times New Roman"/>
                <w:bCs/>
                <w:iCs/>
                <w:sz w:val="16"/>
                <w:szCs w:val="16"/>
              </w:rPr>
              <w:t xml:space="preserve">rilor climatice, inteligente </w:t>
            </w:r>
            <w:r w:rsidR="00106240" w:rsidRPr="008C5F1C">
              <w:rPr>
                <w:rFonts w:ascii="Times New Roman" w:hAnsi="Times New Roman" w:cs="Times New Roman"/>
                <w:bCs/>
                <w:iCs/>
                <w:sz w:val="16"/>
                <w:szCs w:val="16"/>
              </w:rPr>
              <w:t>ș</w:t>
            </w:r>
            <w:r w:rsidRPr="008C5F1C">
              <w:rPr>
                <w:rFonts w:ascii="Times New Roman" w:hAnsi="Times New Roman" w:cs="Times New Roman"/>
                <w:bCs/>
                <w:iCs/>
                <w:sz w:val="16"/>
                <w:szCs w:val="16"/>
              </w:rPr>
              <w:t xml:space="preserve">i </w:t>
            </w:r>
            <w:proofErr w:type="spellStart"/>
            <w:r w:rsidRPr="008C5F1C">
              <w:rPr>
                <w:rFonts w:ascii="Times New Roman" w:hAnsi="Times New Roman" w:cs="Times New Roman"/>
                <w:bCs/>
                <w:iCs/>
                <w:sz w:val="16"/>
                <w:szCs w:val="16"/>
              </w:rPr>
              <w:t>intermodale</w:t>
            </w:r>
            <w:proofErr w:type="spellEnd"/>
            <w:r w:rsidRPr="008C5F1C">
              <w:rPr>
                <w:rFonts w:ascii="Times New Roman" w:hAnsi="Times New Roman" w:cs="Times New Roman"/>
                <w:bCs/>
                <w:iCs/>
                <w:sz w:val="16"/>
                <w:szCs w:val="16"/>
              </w:rPr>
              <w:t>, inclusiv îmbun</w:t>
            </w:r>
            <w:r w:rsidR="00BA7827" w:rsidRPr="008C5F1C">
              <w:rPr>
                <w:rFonts w:ascii="Times New Roman" w:hAnsi="Times New Roman" w:cs="Times New Roman"/>
                <w:bCs/>
                <w:iCs/>
                <w:sz w:val="16"/>
                <w:szCs w:val="16"/>
              </w:rPr>
              <w:t>ă</w:t>
            </w:r>
            <w:r w:rsidRPr="008C5F1C">
              <w:rPr>
                <w:rFonts w:ascii="Times New Roman" w:hAnsi="Times New Roman" w:cs="Times New Roman"/>
                <w:bCs/>
                <w:iCs/>
                <w:sz w:val="16"/>
                <w:szCs w:val="16"/>
              </w:rPr>
              <w:t>t</w:t>
            </w:r>
            <w:r w:rsidR="00BA7827" w:rsidRPr="008C5F1C">
              <w:rPr>
                <w:rFonts w:ascii="Times New Roman" w:hAnsi="Times New Roman" w:cs="Times New Roman"/>
                <w:bCs/>
                <w:iCs/>
                <w:sz w:val="16"/>
                <w:szCs w:val="16"/>
              </w:rPr>
              <w:t>ă</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 xml:space="preserve">irea accesului la TEN-T </w:t>
            </w:r>
            <w:r w:rsidR="00106240" w:rsidRPr="008C5F1C">
              <w:rPr>
                <w:rFonts w:ascii="Times New Roman" w:hAnsi="Times New Roman" w:cs="Times New Roman"/>
                <w:bCs/>
                <w:iCs/>
                <w:sz w:val="16"/>
                <w:szCs w:val="16"/>
              </w:rPr>
              <w:t>ș</w:t>
            </w:r>
            <w:r w:rsidRPr="008C5F1C">
              <w:rPr>
                <w:rFonts w:ascii="Times New Roman" w:hAnsi="Times New Roman" w:cs="Times New Roman"/>
                <w:bCs/>
                <w:iCs/>
                <w:sz w:val="16"/>
                <w:szCs w:val="16"/>
              </w:rPr>
              <w:t>i a mobilit</w:t>
            </w:r>
            <w:r w:rsidR="00BA7827" w:rsidRPr="008C5F1C">
              <w:rPr>
                <w:rFonts w:ascii="Times New Roman" w:hAnsi="Times New Roman" w:cs="Times New Roman"/>
                <w:bCs/>
                <w:iCs/>
                <w:sz w:val="16"/>
                <w:szCs w:val="16"/>
              </w:rPr>
              <w:t>ă</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ii transfrontaliere</w:t>
            </w:r>
          </w:p>
        </w:tc>
        <w:tc>
          <w:tcPr>
            <w:tcW w:w="296" w:type="pct"/>
            <w:tcBorders>
              <w:top w:val="single" w:sz="4" w:space="0" w:color="auto"/>
              <w:left w:val="single" w:sz="4" w:space="0" w:color="auto"/>
              <w:bottom w:val="single" w:sz="4" w:space="0" w:color="auto"/>
              <w:right w:val="single" w:sz="4" w:space="0" w:color="auto"/>
            </w:tcBorders>
          </w:tcPr>
          <w:p w14:paraId="4D0C6BE2" w14:textId="77777777" w:rsidR="00653571" w:rsidRPr="008C5F1C" w:rsidRDefault="00653571" w:rsidP="00534127">
            <w:pPr>
              <w:rPr>
                <w:rFonts w:ascii="Times New Roman" w:hAnsi="Times New Roman" w:cs="Times New Roman"/>
                <w:iCs/>
                <w:sz w:val="16"/>
                <w:szCs w:val="16"/>
              </w:rPr>
            </w:pPr>
            <w:r w:rsidRPr="008C5F1C">
              <w:rPr>
                <w:rFonts w:ascii="Times New Roman" w:hAnsi="Times New Roman" w:cs="Times New Roman"/>
                <w:noProof/>
                <w:sz w:val="16"/>
                <w:szCs w:val="16"/>
              </w:rPr>
              <w:t>FEDR</w:t>
            </w:r>
          </w:p>
        </w:tc>
        <w:tc>
          <w:tcPr>
            <w:tcW w:w="415" w:type="pct"/>
            <w:tcBorders>
              <w:top w:val="single" w:sz="4" w:space="0" w:color="auto"/>
              <w:left w:val="single" w:sz="4" w:space="0" w:color="auto"/>
              <w:bottom w:val="single" w:sz="4" w:space="0" w:color="auto"/>
              <w:right w:val="single" w:sz="4" w:space="0" w:color="auto"/>
            </w:tcBorders>
          </w:tcPr>
          <w:p w14:paraId="7093AE51" w14:textId="77777777" w:rsidR="00653571" w:rsidRPr="008C5F1C" w:rsidRDefault="00653571" w:rsidP="00534127">
            <w:pPr>
              <w:rPr>
                <w:rFonts w:ascii="Times New Roman" w:hAnsi="Times New Roman" w:cs="Times New Roman"/>
                <w:iCs/>
                <w:sz w:val="16"/>
                <w:szCs w:val="16"/>
              </w:rPr>
            </w:pPr>
            <w:r w:rsidRPr="008C5F1C">
              <w:rPr>
                <w:rFonts w:ascii="Times New Roman" w:hAnsi="Times New Roman" w:cs="Times New Roman"/>
                <w:noProof/>
                <w:sz w:val="16"/>
                <w:szCs w:val="16"/>
              </w:rPr>
              <w:t>Mai pu</w:t>
            </w:r>
            <w:r w:rsidR="00E22FF2" w:rsidRPr="008C5F1C">
              <w:rPr>
                <w:rFonts w:ascii="Times New Roman" w:hAnsi="Times New Roman" w:cs="Times New Roman"/>
                <w:noProof/>
                <w:sz w:val="16"/>
                <w:szCs w:val="16"/>
              </w:rPr>
              <w:t>ț</w:t>
            </w:r>
            <w:r w:rsidRPr="008C5F1C">
              <w:rPr>
                <w:rFonts w:ascii="Times New Roman" w:hAnsi="Times New Roman" w:cs="Times New Roman"/>
                <w:noProof/>
                <w:sz w:val="16"/>
                <w:szCs w:val="16"/>
              </w:rPr>
              <w:t>in dezvoltate</w:t>
            </w:r>
          </w:p>
        </w:tc>
        <w:tc>
          <w:tcPr>
            <w:tcW w:w="255" w:type="pct"/>
            <w:tcBorders>
              <w:top w:val="single" w:sz="4" w:space="0" w:color="auto"/>
              <w:left w:val="single" w:sz="4" w:space="0" w:color="auto"/>
              <w:bottom w:val="single" w:sz="4" w:space="0" w:color="auto"/>
              <w:right w:val="single" w:sz="4" w:space="0" w:color="auto"/>
            </w:tcBorders>
          </w:tcPr>
          <w:p w14:paraId="6C9344DF" w14:textId="77777777" w:rsidR="00653571" w:rsidRPr="008C5F1C" w:rsidRDefault="00653571" w:rsidP="00534127">
            <w:pPr>
              <w:rPr>
                <w:rFonts w:ascii="Times New Roman" w:hAnsi="Times New Roman" w:cs="Times New Roman"/>
                <w:iCs/>
                <w:sz w:val="16"/>
                <w:szCs w:val="16"/>
              </w:rPr>
            </w:pPr>
            <w:r w:rsidRPr="008C5F1C">
              <w:rPr>
                <w:rFonts w:ascii="Times New Roman" w:hAnsi="Times New Roman" w:cs="Times New Roman"/>
                <w:iCs/>
                <w:sz w:val="16"/>
                <w:szCs w:val="16"/>
              </w:rPr>
              <w:t xml:space="preserve">RCR 55 </w:t>
            </w:r>
          </w:p>
          <w:p w14:paraId="68C60B22" w14:textId="77777777" w:rsidR="00653571" w:rsidRPr="008C5F1C" w:rsidRDefault="00653571" w:rsidP="00534127">
            <w:pPr>
              <w:rPr>
                <w:rFonts w:ascii="Times New Roman" w:hAnsi="Times New Roman" w:cs="Times New Roman"/>
                <w:iCs/>
                <w:sz w:val="16"/>
                <w:szCs w:val="16"/>
              </w:rPr>
            </w:pPr>
          </w:p>
        </w:tc>
        <w:tc>
          <w:tcPr>
            <w:tcW w:w="478" w:type="pct"/>
            <w:tcBorders>
              <w:top w:val="single" w:sz="4" w:space="0" w:color="auto"/>
              <w:left w:val="single" w:sz="4" w:space="0" w:color="auto"/>
              <w:bottom w:val="single" w:sz="4" w:space="0" w:color="auto"/>
              <w:right w:val="single" w:sz="4" w:space="0" w:color="auto"/>
            </w:tcBorders>
          </w:tcPr>
          <w:p w14:paraId="10A5F564" w14:textId="77777777" w:rsidR="00653571" w:rsidRPr="008C5F1C" w:rsidRDefault="00653571" w:rsidP="00534127">
            <w:pPr>
              <w:rPr>
                <w:rFonts w:ascii="Times New Roman" w:hAnsi="Times New Roman" w:cs="Times New Roman"/>
                <w:iCs/>
                <w:sz w:val="16"/>
                <w:szCs w:val="16"/>
              </w:rPr>
            </w:pPr>
            <w:r w:rsidRPr="008C5F1C">
              <w:rPr>
                <w:rFonts w:ascii="Times New Roman" w:hAnsi="Times New Roman" w:cs="Times New Roman"/>
                <w:iCs/>
                <w:sz w:val="16"/>
                <w:szCs w:val="16"/>
              </w:rPr>
              <w:t>RCR 55 – Utilizatori de drumuri nou construite, reconstruite sau modernizate</w:t>
            </w:r>
          </w:p>
          <w:p w14:paraId="49C3AF3B" w14:textId="77777777" w:rsidR="00653571" w:rsidRPr="008C5F1C" w:rsidRDefault="00653571" w:rsidP="00534127">
            <w:pPr>
              <w:rPr>
                <w:rFonts w:ascii="Times New Roman" w:hAnsi="Times New Roman" w:cs="Times New Roman"/>
                <w:iCs/>
                <w:sz w:val="16"/>
                <w:szCs w:val="16"/>
              </w:rPr>
            </w:pPr>
          </w:p>
        </w:tc>
        <w:tc>
          <w:tcPr>
            <w:tcW w:w="549" w:type="pct"/>
            <w:tcBorders>
              <w:top w:val="single" w:sz="4" w:space="0" w:color="auto"/>
              <w:left w:val="single" w:sz="4" w:space="0" w:color="auto"/>
              <w:bottom w:val="single" w:sz="4" w:space="0" w:color="auto"/>
              <w:right w:val="single" w:sz="4" w:space="0" w:color="auto"/>
            </w:tcBorders>
          </w:tcPr>
          <w:p w14:paraId="73264339" w14:textId="77777777" w:rsidR="00653571" w:rsidRPr="008C5F1C" w:rsidRDefault="0096280B" w:rsidP="00534127">
            <w:pPr>
              <w:rPr>
                <w:rFonts w:ascii="Times New Roman" w:hAnsi="Times New Roman" w:cs="Times New Roman"/>
                <w:iCs/>
                <w:sz w:val="16"/>
                <w:szCs w:val="16"/>
              </w:rPr>
            </w:pPr>
            <w:proofErr w:type="spellStart"/>
            <w:r w:rsidRPr="008C5F1C">
              <w:rPr>
                <w:rFonts w:ascii="Times New Roman" w:hAnsi="Times New Roman" w:cs="Times New Roman"/>
                <w:iCs/>
                <w:sz w:val="16"/>
                <w:szCs w:val="16"/>
              </w:rPr>
              <w:t>passenger</w:t>
            </w:r>
            <w:proofErr w:type="spellEnd"/>
            <w:r w:rsidRPr="008C5F1C">
              <w:rPr>
                <w:rFonts w:ascii="Times New Roman" w:hAnsi="Times New Roman" w:cs="Times New Roman"/>
                <w:iCs/>
                <w:sz w:val="16"/>
                <w:szCs w:val="16"/>
              </w:rPr>
              <w:t xml:space="preserve">-km/ </w:t>
            </w:r>
            <w:proofErr w:type="spellStart"/>
            <w:r w:rsidRPr="008C5F1C">
              <w:rPr>
                <w:rFonts w:ascii="Times New Roman" w:hAnsi="Times New Roman" w:cs="Times New Roman"/>
                <w:iCs/>
                <w:sz w:val="16"/>
                <w:szCs w:val="16"/>
              </w:rPr>
              <w:t>year</w:t>
            </w:r>
            <w:proofErr w:type="spellEnd"/>
          </w:p>
        </w:tc>
        <w:tc>
          <w:tcPr>
            <w:tcW w:w="406" w:type="pct"/>
            <w:tcBorders>
              <w:top w:val="single" w:sz="4" w:space="0" w:color="auto"/>
              <w:left w:val="single" w:sz="4" w:space="0" w:color="auto"/>
              <w:bottom w:val="single" w:sz="4" w:space="0" w:color="auto"/>
              <w:right w:val="single" w:sz="4" w:space="0" w:color="auto"/>
            </w:tcBorders>
          </w:tcPr>
          <w:p w14:paraId="1DEDC4EA" w14:textId="77777777" w:rsidR="00653571" w:rsidRPr="00AB2458" w:rsidRDefault="0096280B" w:rsidP="00534127">
            <w:pPr>
              <w:rPr>
                <w:rFonts w:ascii="Times New Roman" w:hAnsi="Times New Roman" w:cs="Times New Roman"/>
                <w:iCs/>
                <w:sz w:val="16"/>
                <w:szCs w:val="16"/>
              </w:rPr>
            </w:pPr>
            <w:r w:rsidRPr="00AB2458">
              <w:rPr>
                <w:rFonts w:ascii="Times New Roman" w:hAnsi="Times New Roman" w:cs="Times New Roman"/>
                <w:iCs/>
                <w:sz w:val="16"/>
                <w:szCs w:val="16"/>
              </w:rPr>
              <w:t>0</w:t>
            </w:r>
          </w:p>
        </w:tc>
        <w:tc>
          <w:tcPr>
            <w:tcW w:w="427" w:type="pct"/>
            <w:tcBorders>
              <w:top w:val="single" w:sz="4" w:space="0" w:color="auto"/>
              <w:left w:val="single" w:sz="4" w:space="0" w:color="auto"/>
              <w:bottom w:val="single" w:sz="4" w:space="0" w:color="auto"/>
              <w:right w:val="single" w:sz="4" w:space="0" w:color="auto"/>
            </w:tcBorders>
          </w:tcPr>
          <w:p w14:paraId="45A80B5E" w14:textId="77777777" w:rsidR="00653571" w:rsidRPr="00AB2458" w:rsidRDefault="0096280B" w:rsidP="00534127">
            <w:pPr>
              <w:rPr>
                <w:rFonts w:ascii="Times New Roman" w:hAnsi="Times New Roman" w:cs="Times New Roman"/>
                <w:iCs/>
                <w:sz w:val="16"/>
                <w:szCs w:val="16"/>
              </w:rPr>
            </w:pPr>
            <w:r w:rsidRPr="00AB2458">
              <w:rPr>
                <w:rFonts w:ascii="Times New Roman" w:hAnsi="Times New Roman" w:cs="Times New Roman"/>
                <w:iCs/>
                <w:sz w:val="16"/>
                <w:szCs w:val="16"/>
              </w:rPr>
              <w:t>2021</w:t>
            </w:r>
          </w:p>
        </w:tc>
        <w:tc>
          <w:tcPr>
            <w:tcW w:w="322" w:type="pct"/>
            <w:tcBorders>
              <w:top w:val="single" w:sz="4" w:space="0" w:color="auto"/>
              <w:left w:val="single" w:sz="4" w:space="0" w:color="auto"/>
              <w:bottom w:val="single" w:sz="4" w:space="0" w:color="auto"/>
              <w:right w:val="single" w:sz="4" w:space="0" w:color="auto"/>
            </w:tcBorders>
          </w:tcPr>
          <w:p w14:paraId="5AC8DE21" w14:textId="0E84BDDB" w:rsidR="00653571" w:rsidRPr="00AB2458" w:rsidRDefault="009A7CCC" w:rsidP="00534127">
            <w:pPr>
              <w:rPr>
                <w:rFonts w:ascii="Times New Roman" w:hAnsi="Times New Roman" w:cs="Times New Roman"/>
                <w:iCs/>
                <w:sz w:val="16"/>
                <w:szCs w:val="16"/>
              </w:rPr>
            </w:pPr>
            <w:r w:rsidRPr="00AB2458">
              <w:rPr>
                <w:rFonts w:ascii="Times New Roman" w:hAnsi="Times New Roman" w:cs="Times New Roman"/>
                <w:iCs/>
                <w:sz w:val="16"/>
                <w:szCs w:val="16"/>
              </w:rPr>
              <w:t>23.725.000</w:t>
            </w:r>
          </w:p>
        </w:tc>
        <w:tc>
          <w:tcPr>
            <w:tcW w:w="326" w:type="pct"/>
            <w:tcBorders>
              <w:top w:val="single" w:sz="4" w:space="0" w:color="auto"/>
              <w:left w:val="single" w:sz="4" w:space="0" w:color="auto"/>
              <w:bottom w:val="single" w:sz="4" w:space="0" w:color="auto"/>
              <w:right w:val="single" w:sz="4" w:space="0" w:color="auto"/>
            </w:tcBorders>
          </w:tcPr>
          <w:p w14:paraId="66FE6EAE" w14:textId="77777777" w:rsidR="00653571" w:rsidRPr="008C5F1C" w:rsidRDefault="00653571" w:rsidP="00534127">
            <w:pPr>
              <w:rPr>
                <w:rFonts w:ascii="Times New Roman" w:hAnsi="Times New Roman" w:cs="Times New Roman"/>
                <w:iCs/>
                <w:sz w:val="16"/>
                <w:szCs w:val="16"/>
              </w:rPr>
            </w:pPr>
          </w:p>
        </w:tc>
        <w:tc>
          <w:tcPr>
            <w:tcW w:w="453" w:type="pct"/>
            <w:tcBorders>
              <w:top w:val="single" w:sz="4" w:space="0" w:color="auto"/>
              <w:left w:val="single" w:sz="4" w:space="0" w:color="auto"/>
              <w:bottom w:val="single" w:sz="4" w:space="0" w:color="auto"/>
              <w:right w:val="single" w:sz="4" w:space="0" w:color="auto"/>
            </w:tcBorders>
          </w:tcPr>
          <w:p w14:paraId="49E8E91E" w14:textId="77777777" w:rsidR="00653571" w:rsidRPr="008C5F1C" w:rsidRDefault="00653571" w:rsidP="00534127">
            <w:pPr>
              <w:rPr>
                <w:rFonts w:ascii="Times New Roman" w:hAnsi="Times New Roman" w:cs="Times New Roman"/>
                <w:iCs/>
                <w:sz w:val="16"/>
                <w:szCs w:val="16"/>
              </w:rPr>
            </w:pPr>
          </w:p>
        </w:tc>
      </w:tr>
    </w:tbl>
    <w:p w14:paraId="5949EC39" w14:textId="77777777" w:rsidR="00653571" w:rsidRPr="008C5F1C" w:rsidRDefault="00653571" w:rsidP="00653571">
      <w:pPr>
        <w:rPr>
          <w:rFonts w:ascii="Times New Roman" w:hAnsi="Times New Roman" w:cs="Times New Roman"/>
          <w:b/>
          <w:iCs/>
        </w:rPr>
      </w:pPr>
      <w:r w:rsidRPr="008C5F1C">
        <w:rPr>
          <w:rFonts w:ascii="Times New Roman" w:hAnsi="Times New Roman" w:cs="Times New Roman"/>
          <w:i/>
        </w:rPr>
        <w:t xml:space="preserve">[Point 2.1.1.3 in </w:t>
      </w:r>
      <w:proofErr w:type="spellStart"/>
      <w:r w:rsidRPr="008C5F1C">
        <w:rPr>
          <w:rFonts w:ascii="Times New Roman" w:hAnsi="Times New Roman" w:cs="Times New Roman"/>
          <w:i/>
        </w:rPr>
        <w:t>the</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Commission</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proposal</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has</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been</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moved</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up</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following</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changes</w:t>
      </w:r>
      <w:proofErr w:type="spellEnd"/>
      <w:r w:rsidRPr="008C5F1C">
        <w:rPr>
          <w:rFonts w:ascii="Times New Roman" w:hAnsi="Times New Roman" w:cs="Times New Roman"/>
          <w:i/>
        </w:rPr>
        <w:t xml:space="preserve"> in </w:t>
      </w:r>
      <w:proofErr w:type="spellStart"/>
      <w:r w:rsidRPr="008C5F1C">
        <w:rPr>
          <w:rFonts w:ascii="Times New Roman" w:hAnsi="Times New Roman" w:cs="Times New Roman"/>
          <w:i/>
        </w:rPr>
        <w:t>Article</w:t>
      </w:r>
      <w:proofErr w:type="spellEnd"/>
      <w:r w:rsidRPr="008C5F1C">
        <w:rPr>
          <w:rFonts w:ascii="Times New Roman" w:hAnsi="Times New Roman" w:cs="Times New Roman"/>
          <w:i/>
        </w:rPr>
        <w:t xml:space="preserve"> 17(3)(c) CPR </w:t>
      </w:r>
      <w:proofErr w:type="spellStart"/>
      <w:r w:rsidRPr="008C5F1C">
        <w:rPr>
          <w:rFonts w:ascii="Times New Roman" w:hAnsi="Times New Roman" w:cs="Times New Roman"/>
          <w:i/>
        </w:rPr>
        <w:t>and</w:t>
      </w:r>
      <w:proofErr w:type="spellEnd"/>
      <w:r w:rsidRPr="008C5F1C">
        <w:rPr>
          <w:rFonts w:ascii="Times New Roman" w:hAnsi="Times New Roman" w:cs="Times New Roman"/>
          <w:i/>
        </w:rPr>
        <w:t xml:space="preserve"> it </w:t>
      </w:r>
      <w:proofErr w:type="spellStart"/>
      <w:r w:rsidRPr="008C5F1C">
        <w:rPr>
          <w:rFonts w:ascii="Times New Roman" w:hAnsi="Times New Roman" w:cs="Times New Roman"/>
          <w:i/>
        </w:rPr>
        <w:t>is</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now</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point</w:t>
      </w:r>
      <w:proofErr w:type="spellEnd"/>
      <w:r w:rsidRPr="008C5F1C">
        <w:rPr>
          <w:rFonts w:ascii="Times New Roman" w:hAnsi="Times New Roman" w:cs="Times New Roman"/>
          <w:i/>
        </w:rPr>
        <w:t xml:space="preserve"> 2.1.1.bis]</w:t>
      </w:r>
    </w:p>
    <w:p w14:paraId="03F83348" w14:textId="77777777" w:rsidR="00653571" w:rsidRPr="008C5F1C" w:rsidRDefault="00653571" w:rsidP="00653571">
      <w:pPr>
        <w:rPr>
          <w:rFonts w:ascii="Times New Roman" w:hAnsi="Times New Roman" w:cs="Times New Roman"/>
          <w:b/>
        </w:rPr>
      </w:pPr>
      <w:r w:rsidRPr="008C5F1C">
        <w:rPr>
          <w:rFonts w:ascii="Times New Roman" w:hAnsi="Times New Roman" w:cs="Times New Roman"/>
          <w:b/>
        </w:rPr>
        <w:t xml:space="preserve">2.B.1.2. </w:t>
      </w:r>
      <w:proofErr w:type="spellStart"/>
      <w:r w:rsidRPr="008C5F1C">
        <w:rPr>
          <w:rFonts w:ascii="Times New Roman" w:hAnsi="Times New Roman" w:cs="Times New Roman"/>
          <w:b/>
        </w:rPr>
        <w:t>Indicators</w:t>
      </w:r>
      <w:proofErr w:type="spellEnd"/>
      <w:r w:rsidRPr="008C5F1C">
        <w:rPr>
          <w:rFonts w:ascii="Times New Roman" w:hAnsi="Times New Roman" w:cs="Times New Roman"/>
          <w:b/>
        </w:rPr>
        <w:t xml:space="preserve"> </w:t>
      </w:r>
    </w:p>
    <w:p w14:paraId="63D40C33" w14:textId="77777777" w:rsidR="00653571" w:rsidRPr="008C5F1C" w:rsidRDefault="00653571" w:rsidP="00653571">
      <w:pPr>
        <w:rPr>
          <w:rFonts w:ascii="Times New Roman" w:hAnsi="Times New Roman" w:cs="Times New Roman"/>
          <w:b/>
          <w:bCs/>
        </w:rPr>
      </w:pPr>
      <w:r w:rsidRPr="008C5F1C">
        <w:rPr>
          <w:rFonts w:ascii="Times New Roman" w:hAnsi="Times New Roman" w:cs="Times New Roman"/>
          <w:b/>
        </w:rPr>
        <w:t xml:space="preserve">Output </w:t>
      </w:r>
      <w:proofErr w:type="spellStart"/>
      <w:r w:rsidRPr="008C5F1C">
        <w:rPr>
          <w:rFonts w:ascii="Times New Roman" w:hAnsi="Times New Roman" w:cs="Times New Roman"/>
          <w:b/>
        </w:rPr>
        <w:t>indicators</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with</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the</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corresponding</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milestones</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and</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targets</w:t>
      </w:r>
      <w:proofErr w:type="spellEnd"/>
      <w:r w:rsidRPr="008C5F1C">
        <w:rPr>
          <w:rFonts w:ascii="Times New Roman" w:hAnsi="Times New Roman" w:cs="Times New Roman"/>
          <w:b/>
        </w:rPr>
        <w:t xml:space="preserve"> – </w:t>
      </w:r>
      <w:proofErr w:type="spellStart"/>
      <w:r w:rsidRPr="008C5F1C">
        <w:rPr>
          <w:rFonts w:ascii="Times New Roman" w:hAnsi="Times New Roman" w:cs="Times New Roman"/>
          <w:b/>
        </w:rPr>
        <w:t>Article</w:t>
      </w:r>
      <w:proofErr w:type="spellEnd"/>
      <w:r w:rsidRPr="008C5F1C">
        <w:rPr>
          <w:rFonts w:ascii="Times New Roman" w:hAnsi="Times New Roman" w:cs="Times New Roman"/>
          <w:b/>
        </w:rPr>
        <w:t xml:space="preserve"> 17(3)(e)bis(ii)</w:t>
      </w:r>
    </w:p>
    <w:tbl>
      <w:tblPr>
        <w:tblW w:w="51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4"/>
        <w:gridCol w:w="1357"/>
        <w:gridCol w:w="587"/>
        <w:gridCol w:w="856"/>
        <w:gridCol w:w="403"/>
        <w:gridCol w:w="2289"/>
        <w:gridCol w:w="1202"/>
        <w:gridCol w:w="1127"/>
        <w:gridCol w:w="1367"/>
      </w:tblGrid>
      <w:tr w:rsidR="00653571" w:rsidRPr="008C5F1C" w14:paraId="5F5D9106" w14:textId="77777777" w:rsidTr="00446BA4">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58E4DF76" w14:textId="77777777" w:rsidR="00653571" w:rsidRPr="008C5F1C" w:rsidRDefault="00653571" w:rsidP="00534127">
            <w:pPr>
              <w:rPr>
                <w:rFonts w:ascii="Times New Roman" w:hAnsi="Times New Roman" w:cs="Times New Roman"/>
                <w:b/>
              </w:rPr>
            </w:pPr>
            <w:r w:rsidRPr="008C5F1C">
              <w:rPr>
                <w:rFonts w:ascii="Times New Roman" w:hAnsi="Times New Roman" w:cs="Times New Roman"/>
                <w:b/>
                <w:iCs/>
              </w:rPr>
              <w:t xml:space="preserve">Table 2: Output </w:t>
            </w:r>
            <w:proofErr w:type="spellStart"/>
            <w:r w:rsidRPr="008C5F1C">
              <w:rPr>
                <w:rFonts w:ascii="Times New Roman" w:hAnsi="Times New Roman" w:cs="Times New Roman"/>
                <w:b/>
                <w:iCs/>
              </w:rPr>
              <w:t>indicators</w:t>
            </w:r>
            <w:proofErr w:type="spellEnd"/>
          </w:p>
        </w:tc>
      </w:tr>
      <w:tr w:rsidR="00653571" w:rsidRPr="008C5F1C" w14:paraId="20CE287D" w14:textId="77777777" w:rsidTr="00EA6490">
        <w:trPr>
          <w:trHeight w:val="1131"/>
        </w:trPr>
        <w:tc>
          <w:tcPr>
            <w:tcW w:w="384" w:type="pct"/>
            <w:tcBorders>
              <w:top w:val="single" w:sz="4" w:space="0" w:color="auto"/>
              <w:left w:val="single" w:sz="4" w:space="0" w:color="auto"/>
              <w:bottom w:val="single" w:sz="4" w:space="0" w:color="auto"/>
              <w:right w:val="single" w:sz="4" w:space="0" w:color="auto"/>
            </w:tcBorders>
            <w:hideMark/>
          </w:tcPr>
          <w:p w14:paraId="2391873F"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lastRenderedPageBreak/>
              <w:t>Priority</w:t>
            </w:r>
            <w:proofErr w:type="spellEnd"/>
            <w:r w:rsidRPr="008C5F1C">
              <w:rPr>
                <w:rFonts w:ascii="Times New Roman" w:hAnsi="Times New Roman" w:cs="Times New Roman"/>
                <w:b/>
                <w:sz w:val="16"/>
                <w:szCs w:val="16"/>
              </w:rPr>
              <w:t xml:space="preserve"> </w:t>
            </w:r>
          </w:p>
        </w:tc>
        <w:tc>
          <w:tcPr>
            <w:tcW w:w="682" w:type="pct"/>
            <w:tcBorders>
              <w:top w:val="single" w:sz="4" w:space="0" w:color="auto"/>
              <w:left w:val="single" w:sz="4" w:space="0" w:color="auto"/>
              <w:bottom w:val="single" w:sz="4" w:space="0" w:color="auto"/>
              <w:right w:val="single" w:sz="4" w:space="0" w:color="auto"/>
            </w:tcBorders>
            <w:hideMark/>
          </w:tcPr>
          <w:p w14:paraId="20FE3D3A"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 xml:space="preserve">Specific </w:t>
            </w:r>
            <w:proofErr w:type="spellStart"/>
            <w:r w:rsidRPr="008C5F1C">
              <w:rPr>
                <w:rFonts w:ascii="Times New Roman" w:hAnsi="Times New Roman" w:cs="Times New Roman"/>
                <w:b/>
                <w:sz w:val="16"/>
                <w:szCs w:val="16"/>
              </w:rPr>
              <w:t>objective</w:t>
            </w:r>
            <w:proofErr w:type="spellEnd"/>
            <w:r w:rsidRPr="008C5F1C">
              <w:rPr>
                <w:rFonts w:ascii="Times New Roman" w:hAnsi="Times New Roman" w:cs="Times New Roman"/>
                <w:b/>
                <w:sz w:val="16"/>
                <w:szCs w:val="16"/>
              </w:rPr>
              <w:t xml:space="preserve"> (Investment for </w:t>
            </w:r>
            <w:proofErr w:type="spellStart"/>
            <w:r w:rsidRPr="008C5F1C">
              <w:rPr>
                <w:rFonts w:ascii="Times New Roman" w:hAnsi="Times New Roman" w:cs="Times New Roman"/>
                <w:b/>
                <w:sz w:val="16"/>
                <w:szCs w:val="16"/>
              </w:rPr>
              <w:t>Jobs</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and</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Growth</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goal</w:t>
            </w:r>
            <w:proofErr w:type="spellEnd"/>
            <w:r w:rsidRPr="008C5F1C">
              <w:rPr>
                <w:rFonts w:ascii="Times New Roman" w:hAnsi="Times New Roman" w:cs="Times New Roman"/>
                <w:b/>
                <w:sz w:val="16"/>
                <w:szCs w:val="16"/>
              </w:rPr>
              <w:t xml:space="preserve"> EMFF)</w:t>
            </w:r>
          </w:p>
        </w:tc>
        <w:tc>
          <w:tcPr>
            <w:tcW w:w="295" w:type="pct"/>
            <w:tcBorders>
              <w:top w:val="single" w:sz="4" w:space="0" w:color="auto"/>
              <w:left w:val="single" w:sz="4" w:space="0" w:color="auto"/>
              <w:bottom w:val="single" w:sz="4" w:space="0" w:color="auto"/>
              <w:right w:val="single" w:sz="4" w:space="0" w:color="auto"/>
            </w:tcBorders>
            <w:hideMark/>
          </w:tcPr>
          <w:p w14:paraId="547F9C88"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Fund</w:t>
            </w:r>
          </w:p>
        </w:tc>
        <w:tc>
          <w:tcPr>
            <w:tcW w:w="430" w:type="pct"/>
            <w:tcBorders>
              <w:top w:val="single" w:sz="4" w:space="0" w:color="auto"/>
              <w:left w:val="single" w:sz="4" w:space="0" w:color="auto"/>
              <w:bottom w:val="single" w:sz="4" w:space="0" w:color="auto"/>
              <w:right w:val="single" w:sz="4" w:space="0" w:color="auto"/>
            </w:tcBorders>
            <w:hideMark/>
          </w:tcPr>
          <w:p w14:paraId="3EA4EBAB"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Category</w:t>
            </w:r>
            <w:proofErr w:type="spellEnd"/>
            <w:r w:rsidRPr="008C5F1C">
              <w:rPr>
                <w:rFonts w:ascii="Times New Roman" w:hAnsi="Times New Roman" w:cs="Times New Roman"/>
                <w:b/>
                <w:sz w:val="16"/>
                <w:szCs w:val="16"/>
              </w:rPr>
              <w:t xml:space="preserve"> of </w:t>
            </w:r>
            <w:proofErr w:type="spellStart"/>
            <w:r w:rsidRPr="008C5F1C">
              <w:rPr>
                <w:rFonts w:ascii="Times New Roman" w:hAnsi="Times New Roman" w:cs="Times New Roman"/>
                <w:b/>
                <w:sz w:val="16"/>
                <w:szCs w:val="16"/>
              </w:rPr>
              <w:t>region</w:t>
            </w:r>
            <w:proofErr w:type="spellEnd"/>
          </w:p>
        </w:tc>
        <w:tc>
          <w:tcPr>
            <w:tcW w:w="202" w:type="pct"/>
            <w:tcBorders>
              <w:top w:val="single" w:sz="4" w:space="0" w:color="auto"/>
              <w:left w:val="single" w:sz="4" w:space="0" w:color="auto"/>
              <w:bottom w:val="single" w:sz="4" w:space="0" w:color="auto"/>
              <w:right w:val="single" w:sz="4" w:space="0" w:color="auto"/>
            </w:tcBorders>
            <w:hideMark/>
          </w:tcPr>
          <w:p w14:paraId="57F1C5ED"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ID [5]</w:t>
            </w:r>
          </w:p>
        </w:tc>
        <w:tc>
          <w:tcPr>
            <w:tcW w:w="1150" w:type="pct"/>
            <w:tcBorders>
              <w:top w:val="single" w:sz="4" w:space="0" w:color="auto"/>
              <w:left w:val="single" w:sz="4" w:space="0" w:color="auto"/>
              <w:bottom w:val="single" w:sz="4" w:space="0" w:color="auto"/>
              <w:right w:val="single" w:sz="4" w:space="0" w:color="auto"/>
            </w:tcBorders>
            <w:hideMark/>
          </w:tcPr>
          <w:p w14:paraId="714307E3"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 xml:space="preserve">Indicator [255] </w:t>
            </w:r>
          </w:p>
        </w:tc>
        <w:tc>
          <w:tcPr>
            <w:tcW w:w="604" w:type="pct"/>
            <w:tcBorders>
              <w:top w:val="single" w:sz="4" w:space="0" w:color="auto"/>
              <w:left w:val="single" w:sz="4" w:space="0" w:color="auto"/>
              <w:bottom w:val="single" w:sz="4" w:space="0" w:color="auto"/>
              <w:right w:val="single" w:sz="4" w:space="0" w:color="auto"/>
            </w:tcBorders>
            <w:hideMark/>
          </w:tcPr>
          <w:p w14:paraId="339273CB"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Measurement</w:t>
            </w:r>
            <w:proofErr w:type="spellEnd"/>
            <w:r w:rsidRPr="008C5F1C">
              <w:rPr>
                <w:rFonts w:ascii="Times New Roman" w:hAnsi="Times New Roman" w:cs="Times New Roman"/>
                <w:b/>
                <w:sz w:val="16"/>
                <w:szCs w:val="16"/>
              </w:rPr>
              <w:t xml:space="preserve"> unit</w:t>
            </w:r>
          </w:p>
        </w:tc>
        <w:tc>
          <w:tcPr>
            <w:tcW w:w="566" w:type="pct"/>
            <w:tcBorders>
              <w:top w:val="single" w:sz="4" w:space="0" w:color="auto"/>
              <w:left w:val="single" w:sz="4" w:space="0" w:color="auto"/>
              <w:bottom w:val="single" w:sz="4" w:space="0" w:color="auto"/>
              <w:right w:val="single" w:sz="4" w:space="0" w:color="auto"/>
            </w:tcBorders>
          </w:tcPr>
          <w:p w14:paraId="147114FB"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Milestone</w:t>
            </w:r>
            <w:proofErr w:type="spellEnd"/>
            <w:r w:rsidRPr="008C5F1C">
              <w:rPr>
                <w:rFonts w:ascii="Times New Roman" w:hAnsi="Times New Roman" w:cs="Times New Roman"/>
                <w:b/>
                <w:sz w:val="16"/>
                <w:szCs w:val="16"/>
              </w:rPr>
              <w:t xml:space="preserve"> (2024)</w:t>
            </w:r>
          </w:p>
          <w:p w14:paraId="513E99AE" w14:textId="77777777" w:rsidR="00653571" w:rsidRPr="008C5F1C" w:rsidRDefault="00653571" w:rsidP="00534127">
            <w:pPr>
              <w:rPr>
                <w:rFonts w:ascii="Times New Roman" w:hAnsi="Times New Roman" w:cs="Times New Roman"/>
                <w:b/>
                <w:sz w:val="16"/>
                <w:szCs w:val="16"/>
              </w:rPr>
            </w:pPr>
          </w:p>
        </w:tc>
        <w:tc>
          <w:tcPr>
            <w:tcW w:w="687" w:type="pct"/>
            <w:tcBorders>
              <w:top w:val="single" w:sz="4" w:space="0" w:color="auto"/>
              <w:left w:val="single" w:sz="4" w:space="0" w:color="auto"/>
              <w:bottom w:val="single" w:sz="4" w:space="0" w:color="auto"/>
              <w:right w:val="single" w:sz="4" w:space="0" w:color="auto"/>
            </w:tcBorders>
          </w:tcPr>
          <w:p w14:paraId="699A8066"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Target (2029)</w:t>
            </w:r>
          </w:p>
          <w:p w14:paraId="673CC13D" w14:textId="77777777" w:rsidR="00653571" w:rsidRPr="008C5F1C" w:rsidRDefault="00653571" w:rsidP="00534127">
            <w:pPr>
              <w:rPr>
                <w:rFonts w:ascii="Times New Roman" w:hAnsi="Times New Roman" w:cs="Times New Roman"/>
                <w:b/>
                <w:sz w:val="16"/>
                <w:szCs w:val="16"/>
              </w:rPr>
            </w:pPr>
          </w:p>
        </w:tc>
      </w:tr>
      <w:tr w:rsidR="00653571" w:rsidRPr="008C5F1C" w14:paraId="0CEAD2E4" w14:textId="77777777" w:rsidTr="00EA6490">
        <w:trPr>
          <w:trHeight w:val="332"/>
        </w:trPr>
        <w:tc>
          <w:tcPr>
            <w:tcW w:w="384" w:type="pct"/>
            <w:tcBorders>
              <w:top w:val="single" w:sz="4" w:space="0" w:color="auto"/>
              <w:left w:val="single" w:sz="4" w:space="0" w:color="auto"/>
              <w:bottom w:val="single" w:sz="4" w:space="0" w:color="auto"/>
              <w:right w:val="single" w:sz="4" w:space="0" w:color="auto"/>
            </w:tcBorders>
          </w:tcPr>
          <w:p w14:paraId="1FF40965" w14:textId="77777777" w:rsidR="00653571" w:rsidRPr="008C5F1C" w:rsidRDefault="00653571" w:rsidP="00534127">
            <w:pPr>
              <w:rPr>
                <w:rFonts w:ascii="Times New Roman" w:hAnsi="Times New Roman" w:cs="Times New Roman"/>
                <w:b/>
                <w:i/>
                <w:sz w:val="16"/>
                <w:szCs w:val="16"/>
              </w:rPr>
            </w:pPr>
          </w:p>
        </w:tc>
        <w:tc>
          <w:tcPr>
            <w:tcW w:w="682" w:type="pct"/>
            <w:tcBorders>
              <w:top w:val="single" w:sz="4" w:space="0" w:color="auto"/>
              <w:left w:val="single" w:sz="4" w:space="0" w:color="auto"/>
              <w:bottom w:val="single" w:sz="4" w:space="0" w:color="auto"/>
              <w:right w:val="single" w:sz="4" w:space="0" w:color="auto"/>
            </w:tcBorders>
          </w:tcPr>
          <w:p w14:paraId="70193431" w14:textId="77777777" w:rsidR="00653571" w:rsidRPr="008C5F1C" w:rsidRDefault="00653571" w:rsidP="00534127">
            <w:pPr>
              <w:rPr>
                <w:rFonts w:ascii="Times New Roman" w:hAnsi="Times New Roman" w:cs="Times New Roman"/>
                <w:b/>
                <w:i/>
                <w:sz w:val="16"/>
                <w:szCs w:val="16"/>
              </w:rPr>
            </w:pPr>
          </w:p>
        </w:tc>
        <w:tc>
          <w:tcPr>
            <w:tcW w:w="295" w:type="pct"/>
            <w:tcBorders>
              <w:top w:val="single" w:sz="4" w:space="0" w:color="auto"/>
              <w:left w:val="single" w:sz="4" w:space="0" w:color="auto"/>
              <w:bottom w:val="single" w:sz="4" w:space="0" w:color="auto"/>
              <w:right w:val="single" w:sz="4" w:space="0" w:color="auto"/>
            </w:tcBorders>
          </w:tcPr>
          <w:p w14:paraId="11F4271A" w14:textId="77777777" w:rsidR="00653571" w:rsidRPr="008C5F1C" w:rsidRDefault="00653571" w:rsidP="00534127">
            <w:pPr>
              <w:rPr>
                <w:rFonts w:ascii="Times New Roman" w:hAnsi="Times New Roman" w:cs="Times New Roman"/>
                <w:b/>
                <w:i/>
                <w:sz w:val="16"/>
                <w:szCs w:val="16"/>
              </w:rPr>
            </w:pPr>
          </w:p>
        </w:tc>
        <w:tc>
          <w:tcPr>
            <w:tcW w:w="430" w:type="pct"/>
            <w:tcBorders>
              <w:top w:val="single" w:sz="4" w:space="0" w:color="auto"/>
              <w:left w:val="single" w:sz="4" w:space="0" w:color="auto"/>
              <w:bottom w:val="single" w:sz="4" w:space="0" w:color="auto"/>
              <w:right w:val="single" w:sz="4" w:space="0" w:color="auto"/>
            </w:tcBorders>
          </w:tcPr>
          <w:p w14:paraId="5E8CC81E" w14:textId="77777777" w:rsidR="00653571" w:rsidRPr="008C5F1C" w:rsidRDefault="00653571" w:rsidP="00534127">
            <w:pPr>
              <w:rPr>
                <w:rFonts w:ascii="Times New Roman" w:hAnsi="Times New Roman" w:cs="Times New Roman"/>
                <w:b/>
                <w:i/>
                <w:sz w:val="16"/>
                <w:szCs w:val="16"/>
              </w:rPr>
            </w:pPr>
          </w:p>
        </w:tc>
        <w:tc>
          <w:tcPr>
            <w:tcW w:w="202" w:type="pct"/>
            <w:tcBorders>
              <w:top w:val="single" w:sz="4" w:space="0" w:color="auto"/>
              <w:left w:val="single" w:sz="4" w:space="0" w:color="auto"/>
              <w:bottom w:val="single" w:sz="4" w:space="0" w:color="auto"/>
              <w:right w:val="single" w:sz="4" w:space="0" w:color="auto"/>
            </w:tcBorders>
          </w:tcPr>
          <w:p w14:paraId="59E5FF2A" w14:textId="77777777" w:rsidR="00653571" w:rsidRPr="008C5F1C" w:rsidRDefault="00653571" w:rsidP="00534127">
            <w:pPr>
              <w:rPr>
                <w:rFonts w:ascii="Times New Roman" w:hAnsi="Times New Roman" w:cs="Times New Roman"/>
                <w:b/>
                <w:i/>
                <w:sz w:val="16"/>
                <w:szCs w:val="16"/>
              </w:rPr>
            </w:pPr>
          </w:p>
        </w:tc>
        <w:tc>
          <w:tcPr>
            <w:tcW w:w="1150" w:type="pct"/>
            <w:tcBorders>
              <w:top w:val="single" w:sz="4" w:space="0" w:color="auto"/>
              <w:left w:val="single" w:sz="4" w:space="0" w:color="auto"/>
              <w:bottom w:val="single" w:sz="4" w:space="0" w:color="auto"/>
              <w:right w:val="single" w:sz="4" w:space="0" w:color="auto"/>
            </w:tcBorders>
          </w:tcPr>
          <w:p w14:paraId="677AC70C" w14:textId="77777777" w:rsidR="00653571" w:rsidRPr="008C5F1C" w:rsidRDefault="00653571" w:rsidP="00534127">
            <w:pPr>
              <w:rPr>
                <w:rFonts w:ascii="Times New Roman" w:hAnsi="Times New Roman" w:cs="Times New Roman"/>
                <w:b/>
                <w:i/>
                <w:sz w:val="16"/>
                <w:szCs w:val="16"/>
              </w:rPr>
            </w:pPr>
          </w:p>
        </w:tc>
        <w:tc>
          <w:tcPr>
            <w:tcW w:w="604" w:type="pct"/>
            <w:tcBorders>
              <w:top w:val="single" w:sz="4" w:space="0" w:color="auto"/>
              <w:left w:val="single" w:sz="4" w:space="0" w:color="auto"/>
              <w:bottom w:val="single" w:sz="4" w:space="0" w:color="auto"/>
              <w:right w:val="single" w:sz="4" w:space="0" w:color="auto"/>
            </w:tcBorders>
          </w:tcPr>
          <w:p w14:paraId="6C32FA90" w14:textId="77777777" w:rsidR="00653571" w:rsidRPr="008C5F1C" w:rsidRDefault="00653571" w:rsidP="00534127">
            <w:pPr>
              <w:rPr>
                <w:rFonts w:ascii="Times New Roman" w:hAnsi="Times New Roman" w:cs="Times New Roman"/>
                <w:b/>
                <w:i/>
                <w:sz w:val="16"/>
                <w:szCs w:val="16"/>
              </w:rPr>
            </w:pPr>
          </w:p>
        </w:tc>
        <w:tc>
          <w:tcPr>
            <w:tcW w:w="566" w:type="pct"/>
            <w:tcBorders>
              <w:top w:val="single" w:sz="4" w:space="0" w:color="auto"/>
              <w:left w:val="single" w:sz="4" w:space="0" w:color="auto"/>
              <w:bottom w:val="single" w:sz="4" w:space="0" w:color="auto"/>
              <w:right w:val="single" w:sz="4" w:space="0" w:color="auto"/>
            </w:tcBorders>
          </w:tcPr>
          <w:p w14:paraId="7AC35308" w14:textId="77777777" w:rsidR="00653571" w:rsidRPr="008C5F1C" w:rsidRDefault="00653571" w:rsidP="00534127">
            <w:pPr>
              <w:rPr>
                <w:rFonts w:ascii="Times New Roman" w:hAnsi="Times New Roman" w:cs="Times New Roman"/>
                <w:b/>
                <w:sz w:val="16"/>
                <w:szCs w:val="16"/>
              </w:rPr>
            </w:pPr>
          </w:p>
        </w:tc>
        <w:tc>
          <w:tcPr>
            <w:tcW w:w="687" w:type="pct"/>
            <w:tcBorders>
              <w:top w:val="single" w:sz="4" w:space="0" w:color="auto"/>
              <w:left w:val="single" w:sz="4" w:space="0" w:color="auto"/>
              <w:bottom w:val="single" w:sz="4" w:space="0" w:color="auto"/>
              <w:right w:val="single" w:sz="4" w:space="0" w:color="auto"/>
            </w:tcBorders>
          </w:tcPr>
          <w:p w14:paraId="32554953" w14:textId="77777777" w:rsidR="00653571" w:rsidRPr="008C5F1C" w:rsidRDefault="00653571" w:rsidP="00534127">
            <w:pPr>
              <w:rPr>
                <w:rFonts w:ascii="Times New Roman" w:hAnsi="Times New Roman" w:cs="Times New Roman"/>
                <w:b/>
                <w:sz w:val="16"/>
                <w:szCs w:val="16"/>
              </w:rPr>
            </w:pPr>
          </w:p>
        </w:tc>
      </w:tr>
    </w:tbl>
    <w:p w14:paraId="27A93139" w14:textId="77777777" w:rsidR="00653571" w:rsidRPr="008C5F1C" w:rsidRDefault="00653571" w:rsidP="00653571">
      <w:pPr>
        <w:rPr>
          <w:rFonts w:ascii="Times New Roman" w:hAnsi="Times New Roman" w:cs="Times New Roman"/>
          <w:b/>
          <w:sz w:val="12"/>
        </w:rPr>
      </w:pPr>
    </w:p>
    <w:p w14:paraId="20D21A9F" w14:textId="77777777" w:rsidR="00653571" w:rsidRPr="008C5F1C" w:rsidRDefault="00653571" w:rsidP="00653571">
      <w:pPr>
        <w:rPr>
          <w:rFonts w:ascii="Times New Roman" w:hAnsi="Times New Roman" w:cs="Times New Roman"/>
          <w:bCs/>
          <w:i/>
        </w:rPr>
      </w:pPr>
      <w:r w:rsidRPr="008C5F1C">
        <w:rPr>
          <w:rFonts w:ascii="Times New Roman" w:hAnsi="Times New Roman" w:cs="Times New Roman"/>
          <w:b/>
          <w:iCs/>
        </w:rPr>
        <w:t xml:space="preserve">2.B.1.3. Indicative </w:t>
      </w:r>
      <w:proofErr w:type="spellStart"/>
      <w:r w:rsidRPr="008C5F1C">
        <w:rPr>
          <w:rFonts w:ascii="Times New Roman" w:hAnsi="Times New Roman" w:cs="Times New Roman"/>
          <w:b/>
          <w:iCs/>
        </w:rPr>
        <w:t>breakdown</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the</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programmed</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resources</w:t>
      </w:r>
      <w:proofErr w:type="spellEnd"/>
      <w:r w:rsidRPr="008C5F1C">
        <w:rPr>
          <w:rFonts w:ascii="Times New Roman" w:hAnsi="Times New Roman" w:cs="Times New Roman"/>
          <w:b/>
          <w:iCs/>
        </w:rPr>
        <w:t xml:space="preserve"> (EU) </w:t>
      </w:r>
      <w:proofErr w:type="spellStart"/>
      <w:r w:rsidRPr="008C5F1C">
        <w:rPr>
          <w:rFonts w:ascii="Times New Roman" w:hAnsi="Times New Roman" w:cs="Times New Roman"/>
          <w:b/>
          <w:iCs/>
        </w:rPr>
        <w:t>by</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type</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intervention</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i/>
          <w:iCs/>
        </w:rPr>
        <w:t>Reference</w:t>
      </w:r>
      <w:proofErr w:type="spellEnd"/>
      <w:r w:rsidRPr="008C5F1C">
        <w:rPr>
          <w:rFonts w:ascii="Times New Roman" w:hAnsi="Times New Roman" w:cs="Times New Roman"/>
          <w:i/>
          <w:iCs/>
        </w:rPr>
        <w:t xml:space="preserve"> </w:t>
      </w:r>
      <w:proofErr w:type="spellStart"/>
      <w:r w:rsidRPr="008C5F1C">
        <w:rPr>
          <w:rFonts w:ascii="Times New Roman" w:hAnsi="Times New Roman" w:cs="Times New Roman"/>
          <w:i/>
        </w:rPr>
        <w:t>Article</w:t>
      </w:r>
      <w:proofErr w:type="spellEnd"/>
      <w:r w:rsidRPr="008C5F1C">
        <w:rPr>
          <w:rFonts w:ascii="Times New Roman" w:hAnsi="Times New Roman" w:cs="Times New Roman"/>
          <w:i/>
        </w:rPr>
        <w:t xml:space="preserve"> 17(3)(e)bis(iv)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2115"/>
        <w:gridCol w:w="1701"/>
        <w:gridCol w:w="2177"/>
      </w:tblGrid>
      <w:tr w:rsidR="00653571" w:rsidRPr="008C5F1C" w14:paraId="2CBB3D41" w14:textId="77777777" w:rsidTr="009F3E76">
        <w:tc>
          <w:tcPr>
            <w:tcW w:w="8976" w:type="dxa"/>
            <w:gridSpan w:val="5"/>
            <w:tcBorders>
              <w:top w:val="single" w:sz="4" w:space="0" w:color="auto"/>
              <w:left w:val="single" w:sz="4" w:space="0" w:color="auto"/>
              <w:bottom w:val="single" w:sz="4" w:space="0" w:color="auto"/>
              <w:right w:val="single" w:sz="4" w:space="0" w:color="auto"/>
            </w:tcBorders>
            <w:hideMark/>
          </w:tcPr>
          <w:p w14:paraId="3754011B"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Table 8: </w:t>
            </w:r>
            <w:proofErr w:type="spellStart"/>
            <w:r w:rsidRPr="008C5F1C">
              <w:rPr>
                <w:rFonts w:ascii="Times New Roman" w:hAnsi="Times New Roman" w:cs="Times New Roman"/>
                <w:b/>
                <w:iCs/>
              </w:rPr>
              <w:t>Dimension</w:t>
            </w:r>
            <w:proofErr w:type="spellEnd"/>
            <w:r w:rsidRPr="008C5F1C">
              <w:rPr>
                <w:rFonts w:ascii="Times New Roman" w:hAnsi="Times New Roman" w:cs="Times New Roman"/>
                <w:b/>
                <w:iCs/>
              </w:rPr>
              <w:t xml:space="preserve"> 1 – </w:t>
            </w:r>
            <w:proofErr w:type="spellStart"/>
            <w:r w:rsidRPr="008C5F1C">
              <w:rPr>
                <w:rFonts w:ascii="Times New Roman" w:hAnsi="Times New Roman" w:cs="Times New Roman"/>
                <w:b/>
                <w:iCs/>
              </w:rPr>
              <w:t>intervention</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field</w:t>
            </w:r>
            <w:proofErr w:type="spellEnd"/>
          </w:p>
        </w:tc>
      </w:tr>
      <w:tr w:rsidR="00653571" w:rsidRPr="008C5F1C" w14:paraId="7AAB5F55" w14:textId="77777777" w:rsidTr="009F3E76">
        <w:tc>
          <w:tcPr>
            <w:tcW w:w="1599" w:type="dxa"/>
            <w:tcBorders>
              <w:top w:val="single" w:sz="4" w:space="0" w:color="auto"/>
              <w:left w:val="single" w:sz="4" w:space="0" w:color="auto"/>
              <w:bottom w:val="single" w:sz="4" w:space="0" w:color="auto"/>
              <w:right w:val="single" w:sz="4" w:space="0" w:color="auto"/>
            </w:tcBorders>
            <w:hideMark/>
          </w:tcPr>
          <w:p w14:paraId="2629B54A"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Priority</w:t>
            </w:r>
            <w:proofErr w:type="spellEnd"/>
            <w:r w:rsidRPr="008C5F1C">
              <w:rPr>
                <w:rFonts w:ascii="Times New Roman" w:hAnsi="Times New Roman" w:cs="Times New Roman"/>
                <w:b/>
                <w:iCs/>
              </w:rPr>
              <w:t xml:space="preserve"> No</w:t>
            </w:r>
          </w:p>
        </w:tc>
        <w:tc>
          <w:tcPr>
            <w:tcW w:w="1384" w:type="dxa"/>
            <w:tcBorders>
              <w:top w:val="single" w:sz="4" w:space="0" w:color="auto"/>
              <w:left w:val="single" w:sz="4" w:space="0" w:color="auto"/>
              <w:bottom w:val="single" w:sz="4" w:space="0" w:color="auto"/>
              <w:right w:val="single" w:sz="4" w:space="0" w:color="auto"/>
            </w:tcBorders>
            <w:hideMark/>
          </w:tcPr>
          <w:p w14:paraId="291CA715"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Fund</w:t>
            </w:r>
          </w:p>
        </w:tc>
        <w:tc>
          <w:tcPr>
            <w:tcW w:w="2115" w:type="dxa"/>
            <w:tcBorders>
              <w:top w:val="single" w:sz="4" w:space="0" w:color="auto"/>
              <w:left w:val="single" w:sz="4" w:space="0" w:color="auto"/>
              <w:bottom w:val="single" w:sz="4" w:space="0" w:color="auto"/>
              <w:right w:val="single" w:sz="4" w:space="0" w:color="auto"/>
            </w:tcBorders>
            <w:hideMark/>
          </w:tcPr>
          <w:p w14:paraId="4B42AA3E"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Category</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region</w:t>
            </w:r>
            <w:proofErr w:type="spellEnd"/>
          </w:p>
        </w:tc>
        <w:tc>
          <w:tcPr>
            <w:tcW w:w="1701" w:type="dxa"/>
            <w:tcBorders>
              <w:top w:val="single" w:sz="4" w:space="0" w:color="auto"/>
              <w:left w:val="single" w:sz="4" w:space="0" w:color="auto"/>
              <w:bottom w:val="single" w:sz="4" w:space="0" w:color="auto"/>
              <w:right w:val="single" w:sz="4" w:space="0" w:color="auto"/>
            </w:tcBorders>
            <w:hideMark/>
          </w:tcPr>
          <w:p w14:paraId="5789EFA7"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Code </w:t>
            </w:r>
          </w:p>
        </w:tc>
        <w:tc>
          <w:tcPr>
            <w:tcW w:w="2175" w:type="dxa"/>
            <w:tcBorders>
              <w:top w:val="single" w:sz="4" w:space="0" w:color="auto"/>
              <w:left w:val="single" w:sz="4" w:space="0" w:color="auto"/>
              <w:bottom w:val="single" w:sz="4" w:space="0" w:color="auto"/>
              <w:right w:val="single" w:sz="4" w:space="0" w:color="auto"/>
            </w:tcBorders>
            <w:hideMark/>
          </w:tcPr>
          <w:p w14:paraId="61BBBF6B"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Amount</w:t>
            </w:r>
            <w:proofErr w:type="spellEnd"/>
            <w:r w:rsidRPr="008C5F1C">
              <w:rPr>
                <w:rFonts w:ascii="Times New Roman" w:hAnsi="Times New Roman" w:cs="Times New Roman"/>
                <w:b/>
                <w:iCs/>
              </w:rPr>
              <w:t xml:space="preserve"> (EUR)</w:t>
            </w:r>
          </w:p>
        </w:tc>
      </w:tr>
      <w:tr w:rsidR="00653571" w:rsidRPr="008C5F1C" w14:paraId="59071F7E" w14:textId="77777777" w:rsidTr="009F3E76">
        <w:tc>
          <w:tcPr>
            <w:tcW w:w="1599" w:type="dxa"/>
            <w:tcBorders>
              <w:top w:val="single" w:sz="4" w:space="0" w:color="auto"/>
              <w:left w:val="single" w:sz="4" w:space="0" w:color="auto"/>
              <w:bottom w:val="single" w:sz="4" w:space="0" w:color="auto"/>
              <w:right w:val="single" w:sz="4" w:space="0" w:color="auto"/>
            </w:tcBorders>
          </w:tcPr>
          <w:p w14:paraId="1B753C90" w14:textId="0F2B43D4" w:rsidR="00653571" w:rsidRPr="008C5F1C" w:rsidRDefault="00653571" w:rsidP="00534127">
            <w:pPr>
              <w:rPr>
                <w:rFonts w:ascii="Times New Roman" w:hAnsi="Times New Roman" w:cs="Times New Roman"/>
                <w:iCs/>
              </w:rPr>
            </w:pPr>
          </w:p>
        </w:tc>
        <w:tc>
          <w:tcPr>
            <w:tcW w:w="1384" w:type="dxa"/>
            <w:tcBorders>
              <w:top w:val="single" w:sz="4" w:space="0" w:color="auto"/>
              <w:left w:val="single" w:sz="4" w:space="0" w:color="auto"/>
              <w:bottom w:val="single" w:sz="4" w:space="0" w:color="auto"/>
              <w:right w:val="single" w:sz="4" w:space="0" w:color="auto"/>
            </w:tcBorders>
          </w:tcPr>
          <w:p w14:paraId="7BA11D60" w14:textId="2A7615B3" w:rsidR="00653571" w:rsidRPr="008C5F1C" w:rsidRDefault="00653571" w:rsidP="00534127">
            <w:pPr>
              <w:rPr>
                <w:rFonts w:ascii="Times New Roman" w:hAnsi="Times New Roman" w:cs="Times New Roman"/>
                <w:b/>
                <w:iCs/>
              </w:rPr>
            </w:pPr>
          </w:p>
        </w:tc>
        <w:tc>
          <w:tcPr>
            <w:tcW w:w="2115" w:type="dxa"/>
            <w:tcBorders>
              <w:top w:val="single" w:sz="4" w:space="0" w:color="auto"/>
              <w:left w:val="single" w:sz="4" w:space="0" w:color="auto"/>
              <w:bottom w:val="single" w:sz="4" w:space="0" w:color="auto"/>
              <w:right w:val="single" w:sz="4" w:space="0" w:color="auto"/>
            </w:tcBorders>
          </w:tcPr>
          <w:p w14:paraId="6EF0ED80" w14:textId="767CBD46" w:rsidR="00653571" w:rsidRPr="008C5F1C" w:rsidRDefault="00653571" w:rsidP="00534127">
            <w:pPr>
              <w:rPr>
                <w:rFonts w:ascii="Times New Roman" w:hAnsi="Times New Roman" w:cs="Times New Roman"/>
                <w:b/>
                <w:iCs/>
              </w:rPr>
            </w:pPr>
          </w:p>
        </w:tc>
        <w:tc>
          <w:tcPr>
            <w:tcW w:w="1701" w:type="dxa"/>
            <w:tcBorders>
              <w:top w:val="single" w:sz="4" w:space="0" w:color="auto"/>
              <w:left w:val="single" w:sz="4" w:space="0" w:color="auto"/>
              <w:bottom w:val="single" w:sz="4" w:space="0" w:color="auto"/>
              <w:right w:val="single" w:sz="4" w:space="0" w:color="auto"/>
            </w:tcBorders>
          </w:tcPr>
          <w:p w14:paraId="2BD42AA2" w14:textId="3CB13CF8" w:rsidR="00653571" w:rsidRPr="008C5F1C" w:rsidRDefault="00653571" w:rsidP="00534127">
            <w:pPr>
              <w:rPr>
                <w:rFonts w:ascii="Times New Roman" w:hAnsi="Times New Roman" w:cs="Times New Roman"/>
                <w:b/>
                <w:iCs/>
              </w:rPr>
            </w:pPr>
          </w:p>
        </w:tc>
        <w:tc>
          <w:tcPr>
            <w:tcW w:w="2175" w:type="dxa"/>
            <w:tcBorders>
              <w:top w:val="single" w:sz="4" w:space="0" w:color="auto"/>
              <w:left w:val="single" w:sz="4" w:space="0" w:color="auto"/>
              <w:bottom w:val="single" w:sz="4" w:space="0" w:color="auto"/>
              <w:right w:val="single" w:sz="4" w:space="0" w:color="auto"/>
            </w:tcBorders>
          </w:tcPr>
          <w:p w14:paraId="05744852" w14:textId="33F798E4" w:rsidR="00653571" w:rsidRPr="008C5F1C" w:rsidRDefault="00653571" w:rsidP="009F3E76">
            <w:pPr>
              <w:jc w:val="right"/>
              <w:rPr>
                <w:rFonts w:ascii="Times New Roman" w:hAnsi="Times New Roman" w:cs="Times New Roman"/>
                <w:b/>
                <w:iCs/>
              </w:rPr>
            </w:pPr>
          </w:p>
        </w:tc>
      </w:tr>
    </w:tbl>
    <w:p w14:paraId="01501D56" w14:textId="77777777" w:rsidR="00653571" w:rsidRPr="008C5F1C" w:rsidRDefault="00653571" w:rsidP="00653571">
      <w:pPr>
        <w:rPr>
          <w:rFonts w:ascii="Times New Roman" w:hAnsi="Times New Roman" w:cs="Times New Roman"/>
        </w:rPr>
      </w:pPr>
      <w:r w:rsidRPr="008C5F1C">
        <w:rPr>
          <w:rFonts w:ascii="Times New Roman" w:hAnsi="Times New Roman" w:cs="Times New Roman"/>
        </w:rPr>
        <w:br w:type="page"/>
      </w:r>
    </w:p>
    <w:p w14:paraId="798229AE" w14:textId="77777777" w:rsidR="00653571" w:rsidRPr="008C5F1C" w:rsidRDefault="00653571" w:rsidP="00653571">
      <w:pPr>
        <w:pStyle w:val="Heading2"/>
        <w:numPr>
          <w:ilvl w:val="0"/>
          <w:numId w:val="0"/>
        </w:numPr>
        <w:ind w:left="851" w:hanging="851"/>
        <w:rPr>
          <w:rFonts w:cs="Times New Roman"/>
          <w:lang w:val="ro-RO"/>
        </w:rPr>
      </w:pPr>
      <w:bookmarkStart w:id="123" w:name="_Toc39840942"/>
      <w:r w:rsidRPr="008C5F1C">
        <w:rPr>
          <w:rFonts w:cs="Times New Roman"/>
          <w:lang w:val="ro-RO"/>
        </w:rPr>
        <w:lastRenderedPageBreak/>
        <w:t>2.A.1 Prioritatea 5. O regiune educat</w:t>
      </w:r>
      <w:bookmarkEnd w:id="123"/>
      <w:r w:rsidR="00BA7827" w:rsidRPr="008C5F1C">
        <w:rPr>
          <w:rFonts w:cs="Times New Roman"/>
          <w:lang w:val="ro-RO"/>
        </w:rPr>
        <w:t>ă</w:t>
      </w:r>
    </w:p>
    <w:p w14:paraId="1185F652" w14:textId="77777777" w:rsidR="00653571" w:rsidRPr="008C5F1C" w:rsidRDefault="00653571" w:rsidP="00653571">
      <w:pPr>
        <w:rPr>
          <w:rFonts w:ascii="Times New Roman" w:hAnsi="Times New Roman" w:cs="Times New Roman"/>
          <w:i/>
          <w:iCs/>
        </w:rPr>
      </w:pPr>
      <w:proofErr w:type="spellStart"/>
      <w:r w:rsidRPr="008C5F1C">
        <w:rPr>
          <w:rFonts w:ascii="Times New Roman" w:hAnsi="Times New Roman" w:cs="Times New Roman"/>
          <w:i/>
          <w:iCs/>
        </w:rPr>
        <w:t>Reference</w:t>
      </w:r>
      <w:proofErr w:type="spellEnd"/>
      <w:r w:rsidRPr="008C5F1C">
        <w:rPr>
          <w:rFonts w:ascii="Times New Roman" w:hAnsi="Times New Roman" w:cs="Times New Roman"/>
          <w:i/>
          <w:iCs/>
        </w:rPr>
        <w:t xml:space="preserve">: </w:t>
      </w:r>
      <w:proofErr w:type="spellStart"/>
      <w:r w:rsidRPr="008C5F1C">
        <w:rPr>
          <w:rFonts w:ascii="Times New Roman" w:hAnsi="Times New Roman" w:cs="Times New Roman"/>
          <w:i/>
          <w:iCs/>
        </w:rPr>
        <w:t>Article</w:t>
      </w:r>
      <w:proofErr w:type="spellEnd"/>
      <w:r w:rsidRPr="008C5F1C">
        <w:rPr>
          <w:rFonts w:ascii="Times New Roman" w:hAnsi="Times New Roman" w:cs="Times New Roman"/>
          <w:i/>
          <w:iCs/>
        </w:rPr>
        <w:t xml:space="preserve"> 4(1), 10 </w:t>
      </w:r>
      <w:proofErr w:type="spellStart"/>
      <w:r w:rsidRPr="008C5F1C">
        <w:rPr>
          <w:rFonts w:ascii="Times New Roman" w:hAnsi="Times New Roman" w:cs="Times New Roman"/>
          <w:i/>
          <w:iCs/>
        </w:rPr>
        <w:t>and</w:t>
      </w:r>
      <w:proofErr w:type="spellEnd"/>
      <w:r w:rsidRPr="008C5F1C">
        <w:rPr>
          <w:rFonts w:ascii="Times New Roman" w:hAnsi="Times New Roman" w:cs="Times New Roman"/>
          <w:i/>
          <w:iCs/>
        </w:rPr>
        <w:t xml:space="preserve"> 13 ESF+</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53571" w:rsidRPr="008C5F1C" w14:paraId="5B8AD11D" w14:textId="77777777" w:rsidTr="00534127">
        <w:tc>
          <w:tcPr>
            <w:tcW w:w="9322" w:type="dxa"/>
            <w:tcBorders>
              <w:top w:val="single" w:sz="4" w:space="0" w:color="auto"/>
              <w:left w:val="single" w:sz="4" w:space="0" w:color="auto"/>
              <w:bottom w:val="single" w:sz="4" w:space="0" w:color="auto"/>
              <w:right w:val="single" w:sz="4" w:space="0" w:color="auto"/>
            </w:tcBorders>
            <w:hideMark/>
          </w:tcPr>
          <w:p w14:paraId="5B475B6A" w14:textId="77777777" w:rsidR="00653571" w:rsidRPr="008C5F1C" w:rsidRDefault="00653571" w:rsidP="00534127">
            <w:pPr>
              <w:rPr>
                <w:rFonts w:ascii="Times New Roman" w:hAnsi="Times New Roman" w:cs="Times New Roman"/>
              </w:rPr>
            </w:pPr>
            <w:r w:rsidRPr="008C5F1C">
              <w:rPr>
                <w:rFonts w:ascii="Times New Roman" w:hAnsi="Times New Roman" w:cs="Times New Roman"/>
              </w:rPr>
              <w:fldChar w:fldCharType="begin">
                <w:ffData>
                  <w:name w:val="Check2"/>
                  <w:enabled/>
                  <w:calcOnExit w:val="0"/>
                  <w:checkBox>
                    <w:sizeAuto/>
                    <w:default w:val="0"/>
                  </w:checkBox>
                </w:ffData>
              </w:fldChar>
            </w:r>
            <w:r w:rsidRPr="008C5F1C">
              <w:rPr>
                <w:rFonts w:ascii="Times New Roman" w:hAnsi="Times New Roman" w:cs="Times New Roman"/>
              </w:rPr>
              <w:instrText xml:space="preserve"> FORMCHECKBOX </w:instrText>
            </w:r>
            <w:r w:rsidR="00AD12F7">
              <w:rPr>
                <w:rFonts w:ascii="Times New Roman" w:hAnsi="Times New Roman" w:cs="Times New Roman"/>
              </w:rPr>
            </w:r>
            <w:r w:rsidR="00AD12F7">
              <w:rPr>
                <w:rFonts w:ascii="Times New Roman" w:hAnsi="Times New Roman" w:cs="Times New Roman"/>
              </w:rPr>
              <w:fldChar w:fldCharType="separate"/>
            </w:r>
            <w:r w:rsidRPr="008C5F1C">
              <w:rPr>
                <w:rFonts w:ascii="Times New Roman" w:hAnsi="Times New Roman" w:cs="Times New Roman"/>
              </w:rPr>
              <w:fldChar w:fldCharType="end"/>
            </w:r>
            <w:r w:rsidRPr="008C5F1C">
              <w:rPr>
                <w:rFonts w:ascii="Times New Roman" w:hAnsi="Times New Roman" w:cs="Times New Roman"/>
              </w:rPr>
              <w:t xml:space="preserve"> </w:t>
            </w:r>
            <w:proofErr w:type="spellStart"/>
            <w:r w:rsidRPr="008C5F1C">
              <w:rPr>
                <w:rFonts w:ascii="Times New Roman" w:hAnsi="Times New Roman" w:cs="Times New Roman"/>
              </w:rPr>
              <w:t>This</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is</w:t>
            </w:r>
            <w:proofErr w:type="spellEnd"/>
            <w:r w:rsidRPr="008C5F1C">
              <w:rPr>
                <w:rFonts w:ascii="Times New Roman" w:hAnsi="Times New Roman" w:cs="Times New Roman"/>
              </w:rPr>
              <w:t xml:space="preserve"> a </w:t>
            </w:r>
            <w:proofErr w:type="spellStart"/>
            <w:r w:rsidRPr="008C5F1C">
              <w:rPr>
                <w:rFonts w:ascii="Times New Roman" w:hAnsi="Times New Roman" w:cs="Times New Roman"/>
              </w:rPr>
              <w:t>priority</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dedicated</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to</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youth</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employment</w:t>
            </w:r>
            <w:proofErr w:type="spellEnd"/>
          </w:p>
        </w:tc>
      </w:tr>
      <w:tr w:rsidR="00653571" w:rsidRPr="008C5F1C" w14:paraId="4D83C455" w14:textId="77777777" w:rsidTr="00534127">
        <w:tc>
          <w:tcPr>
            <w:tcW w:w="9322" w:type="dxa"/>
            <w:tcBorders>
              <w:top w:val="single" w:sz="4" w:space="0" w:color="auto"/>
              <w:left w:val="single" w:sz="4" w:space="0" w:color="auto"/>
              <w:bottom w:val="single" w:sz="4" w:space="0" w:color="auto"/>
              <w:right w:val="single" w:sz="4" w:space="0" w:color="auto"/>
            </w:tcBorders>
            <w:hideMark/>
          </w:tcPr>
          <w:p w14:paraId="77853D0B" w14:textId="77777777" w:rsidR="00653571" w:rsidRPr="008C5F1C" w:rsidRDefault="00653571" w:rsidP="00534127">
            <w:pPr>
              <w:rPr>
                <w:rFonts w:ascii="Times New Roman" w:hAnsi="Times New Roman" w:cs="Times New Roman"/>
              </w:rPr>
            </w:pPr>
            <w:r w:rsidRPr="008C5F1C">
              <w:rPr>
                <w:rFonts w:ascii="Times New Roman" w:hAnsi="Times New Roman" w:cs="Times New Roman"/>
              </w:rPr>
              <w:fldChar w:fldCharType="begin">
                <w:ffData>
                  <w:name w:val="Check2"/>
                  <w:enabled/>
                  <w:calcOnExit w:val="0"/>
                  <w:checkBox>
                    <w:sizeAuto/>
                    <w:default w:val="0"/>
                  </w:checkBox>
                </w:ffData>
              </w:fldChar>
            </w:r>
            <w:r w:rsidRPr="008C5F1C">
              <w:rPr>
                <w:rFonts w:ascii="Times New Roman" w:hAnsi="Times New Roman" w:cs="Times New Roman"/>
              </w:rPr>
              <w:instrText xml:space="preserve"> FORMCHECKBOX </w:instrText>
            </w:r>
            <w:r w:rsidR="00AD12F7">
              <w:rPr>
                <w:rFonts w:ascii="Times New Roman" w:hAnsi="Times New Roman" w:cs="Times New Roman"/>
              </w:rPr>
            </w:r>
            <w:r w:rsidR="00AD12F7">
              <w:rPr>
                <w:rFonts w:ascii="Times New Roman" w:hAnsi="Times New Roman" w:cs="Times New Roman"/>
              </w:rPr>
              <w:fldChar w:fldCharType="separate"/>
            </w:r>
            <w:r w:rsidRPr="008C5F1C">
              <w:rPr>
                <w:rFonts w:ascii="Times New Roman" w:hAnsi="Times New Roman" w:cs="Times New Roman"/>
              </w:rPr>
              <w:fldChar w:fldCharType="end"/>
            </w:r>
            <w:r w:rsidRPr="008C5F1C">
              <w:rPr>
                <w:rFonts w:ascii="Times New Roman" w:hAnsi="Times New Roman" w:cs="Times New Roman"/>
              </w:rPr>
              <w:t xml:space="preserve"> </w:t>
            </w:r>
            <w:proofErr w:type="spellStart"/>
            <w:r w:rsidRPr="008C5F1C">
              <w:rPr>
                <w:rFonts w:ascii="Times New Roman" w:hAnsi="Times New Roman" w:cs="Times New Roman"/>
              </w:rPr>
              <w:t>This</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is</w:t>
            </w:r>
            <w:proofErr w:type="spellEnd"/>
            <w:r w:rsidRPr="008C5F1C">
              <w:rPr>
                <w:rFonts w:ascii="Times New Roman" w:hAnsi="Times New Roman" w:cs="Times New Roman"/>
              </w:rPr>
              <w:t xml:space="preserve"> a </w:t>
            </w:r>
            <w:proofErr w:type="spellStart"/>
            <w:r w:rsidRPr="008C5F1C">
              <w:rPr>
                <w:rFonts w:ascii="Times New Roman" w:hAnsi="Times New Roman" w:cs="Times New Roman"/>
              </w:rPr>
              <w:t>priority</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dedicated</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to</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innovative</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actions</w:t>
            </w:r>
            <w:proofErr w:type="spellEnd"/>
          </w:p>
        </w:tc>
      </w:tr>
      <w:tr w:rsidR="00653571" w:rsidRPr="008C5F1C" w14:paraId="227BA884" w14:textId="77777777" w:rsidTr="00534127">
        <w:tc>
          <w:tcPr>
            <w:tcW w:w="9322" w:type="dxa"/>
            <w:tcBorders>
              <w:top w:val="single" w:sz="4" w:space="0" w:color="auto"/>
              <w:left w:val="single" w:sz="4" w:space="0" w:color="auto"/>
              <w:bottom w:val="single" w:sz="4" w:space="0" w:color="auto"/>
              <w:right w:val="single" w:sz="4" w:space="0" w:color="auto"/>
            </w:tcBorders>
            <w:hideMark/>
          </w:tcPr>
          <w:p w14:paraId="530FDC1A" w14:textId="77777777" w:rsidR="00653571" w:rsidRPr="008C5F1C" w:rsidRDefault="00653571" w:rsidP="00534127">
            <w:pPr>
              <w:rPr>
                <w:rFonts w:ascii="Times New Roman" w:hAnsi="Times New Roman" w:cs="Times New Roman"/>
              </w:rPr>
            </w:pPr>
            <w:r w:rsidRPr="008C5F1C">
              <w:rPr>
                <w:rFonts w:ascii="Times New Roman" w:hAnsi="Times New Roman" w:cs="Times New Roman"/>
              </w:rPr>
              <w:fldChar w:fldCharType="begin">
                <w:ffData>
                  <w:name w:val="Check2"/>
                  <w:enabled/>
                  <w:calcOnExit w:val="0"/>
                  <w:checkBox>
                    <w:sizeAuto/>
                    <w:default w:val="0"/>
                  </w:checkBox>
                </w:ffData>
              </w:fldChar>
            </w:r>
            <w:r w:rsidRPr="008C5F1C">
              <w:rPr>
                <w:rFonts w:ascii="Times New Roman" w:hAnsi="Times New Roman" w:cs="Times New Roman"/>
              </w:rPr>
              <w:instrText xml:space="preserve"> FORMCHECKBOX </w:instrText>
            </w:r>
            <w:r w:rsidR="00AD12F7">
              <w:rPr>
                <w:rFonts w:ascii="Times New Roman" w:hAnsi="Times New Roman" w:cs="Times New Roman"/>
              </w:rPr>
            </w:r>
            <w:r w:rsidR="00AD12F7">
              <w:rPr>
                <w:rFonts w:ascii="Times New Roman" w:hAnsi="Times New Roman" w:cs="Times New Roman"/>
              </w:rPr>
              <w:fldChar w:fldCharType="separate"/>
            </w:r>
            <w:r w:rsidRPr="008C5F1C">
              <w:rPr>
                <w:rFonts w:ascii="Times New Roman" w:hAnsi="Times New Roman" w:cs="Times New Roman"/>
              </w:rPr>
              <w:fldChar w:fldCharType="end"/>
            </w:r>
            <w:r w:rsidRPr="008C5F1C">
              <w:rPr>
                <w:rFonts w:ascii="Times New Roman" w:hAnsi="Times New Roman" w:cs="Times New Roman"/>
              </w:rPr>
              <w:t xml:space="preserve"> </w:t>
            </w:r>
            <w:proofErr w:type="spellStart"/>
            <w:r w:rsidRPr="008C5F1C">
              <w:rPr>
                <w:rFonts w:ascii="Times New Roman" w:hAnsi="Times New Roman" w:cs="Times New Roman"/>
              </w:rPr>
              <w:t>This</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is</w:t>
            </w:r>
            <w:proofErr w:type="spellEnd"/>
            <w:r w:rsidRPr="008C5F1C">
              <w:rPr>
                <w:rFonts w:ascii="Times New Roman" w:hAnsi="Times New Roman" w:cs="Times New Roman"/>
              </w:rPr>
              <w:t xml:space="preserve"> a </w:t>
            </w:r>
            <w:proofErr w:type="spellStart"/>
            <w:r w:rsidRPr="008C5F1C">
              <w:rPr>
                <w:rFonts w:ascii="Times New Roman" w:hAnsi="Times New Roman" w:cs="Times New Roman"/>
              </w:rPr>
              <w:t>priority</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dedicated</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to</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support</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to</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the</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most</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deprived</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under</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the</w:t>
            </w:r>
            <w:proofErr w:type="spellEnd"/>
            <w:r w:rsidRPr="008C5F1C">
              <w:rPr>
                <w:rFonts w:ascii="Times New Roman" w:hAnsi="Times New Roman" w:cs="Times New Roman"/>
              </w:rPr>
              <w:t xml:space="preserve"> specific </w:t>
            </w:r>
            <w:proofErr w:type="spellStart"/>
            <w:r w:rsidRPr="008C5F1C">
              <w:rPr>
                <w:rFonts w:ascii="Times New Roman" w:hAnsi="Times New Roman" w:cs="Times New Roman"/>
              </w:rPr>
              <w:t>objective</w:t>
            </w:r>
            <w:proofErr w:type="spellEnd"/>
            <w:r w:rsidRPr="008C5F1C">
              <w:rPr>
                <w:rFonts w:ascii="Times New Roman" w:hAnsi="Times New Roman" w:cs="Times New Roman"/>
              </w:rPr>
              <w:t xml:space="preserve"> set out in </w:t>
            </w:r>
            <w:proofErr w:type="spellStart"/>
            <w:r w:rsidRPr="008C5F1C">
              <w:rPr>
                <w:rFonts w:ascii="Times New Roman" w:hAnsi="Times New Roman" w:cs="Times New Roman"/>
              </w:rPr>
              <w:t>point</w:t>
            </w:r>
            <w:proofErr w:type="spellEnd"/>
            <w:r w:rsidRPr="008C5F1C">
              <w:rPr>
                <w:rFonts w:ascii="Times New Roman" w:hAnsi="Times New Roman" w:cs="Times New Roman"/>
              </w:rPr>
              <w:t xml:space="preserve"> (xi) of </w:t>
            </w:r>
            <w:proofErr w:type="spellStart"/>
            <w:r w:rsidRPr="008C5F1C">
              <w:rPr>
                <w:rFonts w:ascii="Times New Roman" w:hAnsi="Times New Roman" w:cs="Times New Roman"/>
              </w:rPr>
              <w:t>Art</w:t>
            </w:r>
            <w:r w:rsidRPr="008C5F1C">
              <w:rPr>
                <w:rFonts w:ascii="Times New Roman" w:hAnsi="Times New Roman" w:cs="Times New Roman"/>
                <w:bCs/>
              </w:rPr>
              <w:t>i</w:t>
            </w:r>
            <w:r w:rsidRPr="008C5F1C">
              <w:rPr>
                <w:rFonts w:ascii="Times New Roman" w:hAnsi="Times New Roman" w:cs="Times New Roman"/>
              </w:rPr>
              <w:t>cle</w:t>
            </w:r>
            <w:proofErr w:type="spellEnd"/>
            <w:r w:rsidRPr="008C5F1C">
              <w:rPr>
                <w:rFonts w:ascii="Times New Roman" w:hAnsi="Times New Roman" w:cs="Times New Roman"/>
              </w:rPr>
              <w:t xml:space="preserve"> 4(1) of </w:t>
            </w:r>
            <w:proofErr w:type="spellStart"/>
            <w:r w:rsidRPr="008C5F1C">
              <w:rPr>
                <w:rFonts w:ascii="Times New Roman" w:hAnsi="Times New Roman" w:cs="Times New Roman"/>
              </w:rPr>
              <w:t>the</w:t>
            </w:r>
            <w:proofErr w:type="spellEnd"/>
            <w:r w:rsidRPr="008C5F1C">
              <w:rPr>
                <w:rFonts w:ascii="Times New Roman" w:hAnsi="Times New Roman" w:cs="Times New Roman"/>
              </w:rPr>
              <w:t xml:space="preserve"> ESF+ </w:t>
            </w:r>
            <w:proofErr w:type="spellStart"/>
            <w:r w:rsidRPr="008C5F1C">
              <w:rPr>
                <w:rFonts w:ascii="Times New Roman" w:hAnsi="Times New Roman" w:cs="Times New Roman"/>
              </w:rPr>
              <w:t>regulation</w:t>
            </w:r>
            <w:proofErr w:type="spellEnd"/>
            <w:r w:rsidRPr="008C5F1C">
              <w:rPr>
                <w:rFonts w:ascii="Times New Roman" w:hAnsi="Times New Roman" w:cs="Times New Roman"/>
              </w:rPr>
              <w:t>**</w:t>
            </w:r>
          </w:p>
        </w:tc>
      </w:tr>
      <w:tr w:rsidR="00653571" w:rsidRPr="008C5F1C" w14:paraId="7EACA03B" w14:textId="77777777" w:rsidTr="00534127">
        <w:tc>
          <w:tcPr>
            <w:tcW w:w="9322" w:type="dxa"/>
            <w:tcBorders>
              <w:top w:val="single" w:sz="4" w:space="0" w:color="auto"/>
              <w:left w:val="single" w:sz="4" w:space="0" w:color="auto"/>
              <w:bottom w:val="single" w:sz="4" w:space="0" w:color="auto"/>
              <w:right w:val="single" w:sz="4" w:space="0" w:color="auto"/>
            </w:tcBorders>
            <w:hideMark/>
          </w:tcPr>
          <w:p w14:paraId="7CFC85F9" w14:textId="77777777" w:rsidR="00653571" w:rsidRPr="008C5F1C" w:rsidRDefault="00653571" w:rsidP="00534127">
            <w:pPr>
              <w:rPr>
                <w:rFonts w:ascii="Times New Roman" w:hAnsi="Times New Roman" w:cs="Times New Roman"/>
              </w:rPr>
            </w:pPr>
            <w:r w:rsidRPr="008C5F1C">
              <w:rPr>
                <w:rFonts w:ascii="Times New Roman" w:hAnsi="Times New Roman" w:cs="Times New Roman"/>
              </w:rPr>
              <w:fldChar w:fldCharType="begin">
                <w:ffData>
                  <w:name w:val="Check2"/>
                  <w:enabled/>
                  <w:calcOnExit w:val="0"/>
                  <w:checkBox>
                    <w:sizeAuto/>
                    <w:default w:val="0"/>
                  </w:checkBox>
                </w:ffData>
              </w:fldChar>
            </w:r>
            <w:r w:rsidRPr="008C5F1C">
              <w:rPr>
                <w:rFonts w:ascii="Times New Roman" w:hAnsi="Times New Roman" w:cs="Times New Roman"/>
              </w:rPr>
              <w:instrText xml:space="preserve"> FORMCHECKBOX </w:instrText>
            </w:r>
            <w:r w:rsidR="00AD12F7">
              <w:rPr>
                <w:rFonts w:ascii="Times New Roman" w:hAnsi="Times New Roman" w:cs="Times New Roman"/>
              </w:rPr>
            </w:r>
            <w:r w:rsidR="00AD12F7">
              <w:rPr>
                <w:rFonts w:ascii="Times New Roman" w:hAnsi="Times New Roman" w:cs="Times New Roman"/>
              </w:rPr>
              <w:fldChar w:fldCharType="separate"/>
            </w:r>
            <w:r w:rsidRPr="008C5F1C">
              <w:rPr>
                <w:rFonts w:ascii="Times New Roman" w:hAnsi="Times New Roman" w:cs="Times New Roman"/>
              </w:rPr>
              <w:fldChar w:fldCharType="end"/>
            </w:r>
            <w:proofErr w:type="spellStart"/>
            <w:r w:rsidRPr="008C5F1C">
              <w:rPr>
                <w:rFonts w:ascii="Times New Roman" w:hAnsi="Times New Roman" w:cs="Times New Roman"/>
              </w:rPr>
              <w:t>This</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is</w:t>
            </w:r>
            <w:proofErr w:type="spellEnd"/>
            <w:r w:rsidRPr="008C5F1C">
              <w:rPr>
                <w:rFonts w:ascii="Times New Roman" w:hAnsi="Times New Roman" w:cs="Times New Roman"/>
              </w:rPr>
              <w:t xml:space="preserve"> a </w:t>
            </w:r>
            <w:proofErr w:type="spellStart"/>
            <w:r w:rsidRPr="008C5F1C">
              <w:rPr>
                <w:rFonts w:ascii="Times New Roman" w:hAnsi="Times New Roman" w:cs="Times New Roman"/>
              </w:rPr>
              <w:t>priority</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dedicated</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to</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support</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to</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the</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most</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deprived</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under</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the</w:t>
            </w:r>
            <w:proofErr w:type="spellEnd"/>
            <w:r w:rsidRPr="008C5F1C">
              <w:rPr>
                <w:rFonts w:ascii="Times New Roman" w:hAnsi="Times New Roman" w:cs="Times New Roman"/>
              </w:rPr>
              <w:t xml:space="preserve"> specific </w:t>
            </w:r>
            <w:proofErr w:type="spellStart"/>
            <w:r w:rsidRPr="008C5F1C">
              <w:rPr>
                <w:rFonts w:ascii="Times New Roman" w:hAnsi="Times New Roman" w:cs="Times New Roman"/>
              </w:rPr>
              <w:t>objective</w:t>
            </w:r>
            <w:proofErr w:type="spellEnd"/>
            <w:r w:rsidRPr="008C5F1C">
              <w:rPr>
                <w:rFonts w:ascii="Times New Roman" w:hAnsi="Times New Roman" w:cs="Times New Roman"/>
              </w:rPr>
              <w:t xml:space="preserve"> set out in </w:t>
            </w:r>
            <w:proofErr w:type="spellStart"/>
            <w:r w:rsidRPr="008C5F1C">
              <w:rPr>
                <w:rFonts w:ascii="Times New Roman" w:hAnsi="Times New Roman" w:cs="Times New Roman"/>
              </w:rPr>
              <w:t>point</w:t>
            </w:r>
            <w:proofErr w:type="spellEnd"/>
            <w:r w:rsidRPr="008C5F1C">
              <w:rPr>
                <w:rFonts w:ascii="Times New Roman" w:hAnsi="Times New Roman" w:cs="Times New Roman"/>
              </w:rPr>
              <w:t xml:space="preserve"> (x) of </w:t>
            </w:r>
            <w:proofErr w:type="spellStart"/>
            <w:r w:rsidRPr="008C5F1C">
              <w:rPr>
                <w:rFonts w:ascii="Times New Roman" w:hAnsi="Times New Roman" w:cs="Times New Roman"/>
              </w:rPr>
              <w:t>Art</w:t>
            </w:r>
            <w:r w:rsidRPr="008C5F1C">
              <w:rPr>
                <w:rFonts w:ascii="Times New Roman" w:hAnsi="Times New Roman" w:cs="Times New Roman"/>
                <w:bCs/>
              </w:rPr>
              <w:t>i</w:t>
            </w:r>
            <w:r w:rsidRPr="008C5F1C">
              <w:rPr>
                <w:rFonts w:ascii="Times New Roman" w:hAnsi="Times New Roman" w:cs="Times New Roman"/>
              </w:rPr>
              <w:t>cle</w:t>
            </w:r>
            <w:proofErr w:type="spellEnd"/>
            <w:r w:rsidRPr="008C5F1C">
              <w:rPr>
                <w:rFonts w:ascii="Times New Roman" w:hAnsi="Times New Roman" w:cs="Times New Roman"/>
              </w:rPr>
              <w:t xml:space="preserve"> 4(1) of </w:t>
            </w:r>
            <w:proofErr w:type="spellStart"/>
            <w:r w:rsidRPr="008C5F1C">
              <w:rPr>
                <w:rFonts w:ascii="Times New Roman" w:hAnsi="Times New Roman" w:cs="Times New Roman"/>
              </w:rPr>
              <w:t>the</w:t>
            </w:r>
            <w:proofErr w:type="spellEnd"/>
            <w:r w:rsidRPr="008C5F1C">
              <w:rPr>
                <w:rFonts w:ascii="Times New Roman" w:hAnsi="Times New Roman" w:cs="Times New Roman"/>
              </w:rPr>
              <w:t xml:space="preserve"> ESF+ </w:t>
            </w:r>
            <w:proofErr w:type="spellStart"/>
            <w:r w:rsidRPr="008C5F1C">
              <w:rPr>
                <w:rFonts w:ascii="Times New Roman" w:hAnsi="Times New Roman" w:cs="Times New Roman"/>
              </w:rPr>
              <w:t>regulation</w:t>
            </w:r>
            <w:proofErr w:type="spellEnd"/>
            <w:r w:rsidRPr="008C5F1C">
              <w:rPr>
                <w:rFonts w:ascii="Times New Roman" w:hAnsi="Times New Roman" w:cs="Times New Roman"/>
                <w:b/>
                <w:vertAlign w:val="superscript"/>
              </w:rPr>
              <w:footnoteReference w:id="57"/>
            </w:r>
          </w:p>
        </w:tc>
      </w:tr>
    </w:tbl>
    <w:p w14:paraId="3F8C0486" w14:textId="77777777" w:rsidR="00653571" w:rsidRPr="008C5F1C" w:rsidRDefault="00653571" w:rsidP="00653571">
      <w:pPr>
        <w:rPr>
          <w:rFonts w:ascii="Times New Roman" w:hAnsi="Times New Roman" w:cs="Times New Roman"/>
          <w:i/>
        </w:rPr>
      </w:pPr>
      <w:r w:rsidRPr="008C5F1C">
        <w:rPr>
          <w:rFonts w:ascii="Times New Roman" w:hAnsi="Times New Roman" w:cs="Times New Roman"/>
          <w:i/>
        </w:rPr>
        <w:t xml:space="preserve">* </w:t>
      </w:r>
      <w:proofErr w:type="spellStart"/>
      <w:r w:rsidRPr="008C5F1C">
        <w:rPr>
          <w:rFonts w:ascii="Times New Roman" w:hAnsi="Times New Roman" w:cs="Times New Roman"/>
          <w:i/>
        </w:rPr>
        <w:t>Ticking</w:t>
      </w:r>
      <w:proofErr w:type="spellEnd"/>
      <w:r w:rsidRPr="008C5F1C">
        <w:rPr>
          <w:rFonts w:ascii="Times New Roman" w:hAnsi="Times New Roman" w:cs="Times New Roman"/>
          <w:i/>
        </w:rPr>
        <w:t xml:space="preserve"> box </w:t>
      </w:r>
      <w:proofErr w:type="spellStart"/>
      <w:r w:rsidRPr="008C5F1C">
        <w:rPr>
          <w:rFonts w:ascii="Times New Roman" w:hAnsi="Times New Roman" w:cs="Times New Roman"/>
          <w:i/>
        </w:rPr>
        <w:t>applicable</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to</w:t>
      </w:r>
      <w:proofErr w:type="spellEnd"/>
      <w:r w:rsidRPr="008C5F1C">
        <w:rPr>
          <w:rFonts w:ascii="Times New Roman" w:hAnsi="Times New Roman" w:cs="Times New Roman"/>
          <w:i/>
        </w:rPr>
        <w:t xml:space="preserve"> ESF+ </w:t>
      </w:r>
      <w:proofErr w:type="spellStart"/>
      <w:r w:rsidRPr="008C5F1C">
        <w:rPr>
          <w:rFonts w:ascii="Times New Roman" w:hAnsi="Times New Roman" w:cs="Times New Roman"/>
          <w:i/>
        </w:rPr>
        <w:t>priorities</w:t>
      </w:r>
      <w:proofErr w:type="spellEnd"/>
      <w:r w:rsidRPr="008C5F1C">
        <w:rPr>
          <w:rFonts w:ascii="Times New Roman" w:hAnsi="Times New Roman" w:cs="Times New Roman"/>
          <w:i/>
        </w:rPr>
        <w:t xml:space="preserve">. In case of EMFF, </w:t>
      </w:r>
      <w:proofErr w:type="spellStart"/>
      <w:r w:rsidRPr="008C5F1C">
        <w:rPr>
          <w:rFonts w:ascii="Times New Roman" w:hAnsi="Times New Roman" w:cs="Times New Roman"/>
          <w:i/>
        </w:rPr>
        <w:t>title</w:t>
      </w:r>
      <w:proofErr w:type="spellEnd"/>
      <w:r w:rsidRPr="008C5F1C">
        <w:rPr>
          <w:rFonts w:ascii="Times New Roman" w:hAnsi="Times New Roman" w:cs="Times New Roman"/>
          <w:i/>
        </w:rPr>
        <w:t xml:space="preserve"> of </w:t>
      </w:r>
      <w:proofErr w:type="spellStart"/>
      <w:r w:rsidRPr="008C5F1C">
        <w:rPr>
          <w:rFonts w:ascii="Times New Roman" w:hAnsi="Times New Roman" w:cs="Times New Roman"/>
          <w:i/>
        </w:rPr>
        <w:t>the</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priority</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is</w:t>
      </w:r>
      <w:proofErr w:type="spellEnd"/>
      <w:r w:rsidRPr="008C5F1C">
        <w:rPr>
          <w:rFonts w:ascii="Times New Roman" w:hAnsi="Times New Roman" w:cs="Times New Roman"/>
          <w:i/>
        </w:rPr>
        <w:t xml:space="preserve"> pre-</w:t>
      </w:r>
      <w:proofErr w:type="spellStart"/>
      <w:r w:rsidRPr="008C5F1C">
        <w:rPr>
          <w:rFonts w:ascii="Times New Roman" w:hAnsi="Times New Roman" w:cs="Times New Roman"/>
          <w:i/>
        </w:rPr>
        <w:t>defined</w:t>
      </w:r>
      <w:proofErr w:type="spellEnd"/>
      <w:r w:rsidRPr="008C5F1C">
        <w:rPr>
          <w:rFonts w:ascii="Times New Roman" w:hAnsi="Times New Roman" w:cs="Times New Roman"/>
          <w:i/>
        </w:rPr>
        <w:t>.</w:t>
      </w:r>
    </w:p>
    <w:p w14:paraId="799663B7" w14:textId="77777777" w:rsidR="00653571" w:rsidRPr="008C5F1C" w:rsidRDefault="00653571" w:rsidP="00653571">
      <w:pPr>
        <w:rPr>
          <w:rFonts w:ascii="Times New Roman" w:hAnsi="Times New Roman" w:cs="Times New Roman"/>
          <w:i/>
        </w:rPr>
      </w:pPr>
      <w:r w:rsidRPr="008C5F1C">
        <w:rPr>
          <w:rFonts w:ascii="Times New Roman" w:hAnsi="Times New Roman" w:cs="Times New Roman"/>
          <w:i/>
        </w:rPr>
        <w:t xml:space="preserve">** </w:t>
      </w:r>
      <w:proofErr w:type="spellStart"/>
      <w:r w:rsidRPr="008C5F1C">
        <w:rPr>
          <w:rFonts w:ascii="Times New Roman" w:hAnsi="Times New Roman" w:cs="Times New Roman"/>
          <w:i/>
        </w:rPr>
        <w:t>If</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marked</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go</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to</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section</w:t>
      </w:r>
      <w:proofErr w:type="spellEnd"/>
      <w:r w:rsidRPr="008C5F1C">
        <w:rPr>
          <w:rFonts w:ascii="Times New Roman" w:hAnsi="Times New Roman" w:cs="Times New Roman"/>
          <w:i/>
        </w:rPr>
        <w:t xml:space="preserve"> 2.A.2.a</w:t>
      </w:r>
    </w:p>
    <w:p w14:paraId="197C57EC" w14:textId="77777777" w:rsidR="00653571" w:rsidRPr="008C5F1C" w:rsidRDefault="00653571" w:rsidP="00653571">
      <w:pPr>
        <w:rPr>
          <w:rFonts w:ascii="Times New Roman" w:hAnsi="Times New Roman" w:cs="Times New Roman"/>
          <w:b/>
          <w:iCs/>
        </w:rPr>
      </w:pPr>
      <w:r w:rsidRPr="008C5F1C">
        <w:rPr>
          <w:rFonts w:ascii="Times New Roman" w:hAnsi="Times New Roman" w:cs="Times New Roman"/>
          <w:b/>
          <w:iCs/>
        </w:rPr>
        <w:t xml:space="preserve">2.A.2 Indicative </w:t>
      </w:r>
      <w:proofErr w:type="spellStart"/>
      <w:r w:rsidRPr="008C5F1C">
        <w:rPr>
          <w:rFonts w:ascii="Times New Roman" w:hAnsi="Times New Roman" w:cs="Times New Roman"/>
          <w:b/>
          <w:iCs/>
        </w:rPr>
        <w:t>breakdown</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the</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programmed</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resources</w:t>
      </w:r>
      <w:proofErr w:type="spellEnd"/>
      <w:r w:rsidRPr="008C5F1C">
        <w:rPr>
          <w:rFonts w:ascii="Times New Roman" w:hAnsi="Times New Roman" w:cs="Times New Roman"/>
          <w:b/>
          <w:iCs/>
        </w:rPr>
        <w:t xml:space="preserve"> (EU) </w:t>
      </w:r>
      <w:proofErr w:type="spellStart"/>
      <w:r w:rsidRPr="008C5F1C">
        <w:rPr>
          <w:rFonts w:ascii="Times New Roman" w:hAnsi="Times New Roman" w:cs="Times New Roman"/>
          <w:b/>
          <w:iCs/>
        </w:rPr>
        <w:t>by</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type</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intervention</w:t>
      </w:r>
      <w:proofErr w:type="spellEnd"/>
      <w:r w:rsidRPr="008C5F1C">
        <w:rPr>
          <w:rFonts w:ascii="Times New Roman" w:hAnsi="Times New Roman" w:cs="Times New Roman"/>
          <w:b/>
          <w:iCs/>
        </w:rPr>
        <w:t xml:space="preserve"> </w:t>
      </w:r>
      <w:r w:rsidRPr="008C5F1C">
        <w:rPr>
          <w:rFonts w:ascii="Times New Roman" w:hAnsi="Times New Roman" w:cs="Times New Roman"/>
          <w:iCs/>
        </w:rPr>
        <w:t>(</w:t>
      </w:r>
      <w:proofErr w:type="spellStart"/>
      <w:r w:rsidRPr="008C5F1C">
        <w:rPr>
          <w:rFonts w:ascii="Times New Roman" w:hAnsi="Times New Roman" w:cs="Times New Roman"/>
          <w:iCs/>
        </w:rPr>
        <w:t>not</w:t>
      </w:r>
      <w:proofErr w:type="spellEnd"/>
      <w:r w:rsidRPr="008C5F1C">
        <w:rPr>
          <w:rFonts w:ascii="Times New Roman" w:hAnsi="Times New Roman" w:cs="Times New Roman"/>
          <w:iCs/>
        </w:rPr>
        <w:t xml:space="preserve"> </w:t>
      </w:r>
      <w:proofErr w:type="spellStart"/>
      <w:r w:rsidRPr="008C5F1C">
        <w:rPr>
          <w:rFonts w:ascii="Times New Roman" w:hAnsi="Times New Roman" w:cs="Times New Roman"/>
          <w:iCs/>
        </w:rPr>
        <w:t>applicable</w:t>
      </w:r>
      <w:proofErr w:type="spellEnd"/>
      <w:r w:rsidRPr="008C5F1C">
        <w:rPr>
          <w:rFonts w:ascii="Times New Roman" w:hAnsi="Times New Roman" w:cs="Times New Roman"/>
          <w:iCs/>
        </w:rPr>
        <w:t xml:space="preserve"> </w:t>
      </w:r>
      <w:proofErr w:type="spellStart"/>
      <w:r w:rsidRPr="008C5F1C">
        <w:rPr>
          <w:rFonts w:ascii="Times New Roman" w:hAnsi="Times New Roman" w:cs="Times New Roman"/>
          <w:iCs/>
        </w:rPr>
        <w:t>to</w:t>
      </w:r>
      <w:proofErr w:type="spellEnd"/>
      <w:r w:rsidRPr="008C5F1C">
        <w:rPr>
          <w:rFonts w:ascii="Times New Roman" w:hAnsi="Times New Roman" w:cs="Times New Roman"/>
          <w:iCs/>
        </w:rPr>
        <w:t xml:space="preserve"> </w:t>
      </w:r>
      <w:proofErr w:type="spellStart"/>
      <w:r w:rsidRPr="008C5F1C">
        <w:rPr>
          <w:rFonts w:ascii="Times New Roman" w:hAnsi="Times New Roman" w:cs="Times New Roman"/>
          <w:iCs/>
        </w:rPr>
        <w:t>the</w:t>
      </w:r>
      <w:proofErr w:type="spellEnd"/>
      <w:r w:rsidRPr="008C5F1C">
        <w:rPr>
          <w:rFonts w:ascii="Times New Roman" w:hAnsi="Times New Roman" w:cs="Times New Roman"/>
          <w:iCs/>
        </w:rPr>
        <w:t xml:space="preserve"> EMFF) </w:t>
      </w:r>
      <w:r w:rsidRPr="008C5F1C">
        <w:rPr>
          <w:rFonts w:ascii="Times New Roman" w:hAnsi="Times New Roman" w:cs="Times New Roman"/>
          <w:i/>
        </w:rPr>
        <w:t>[</w:t>
      </w:r>
      <w:proofErr w:type="spellStart"/>
      <w:r w:rsidRPr="008C5F1C">
        <w:rPr>
          <w:rFonts w:ascii="Times New Roman" w:hAnsi="Times New Roman" w:cs="Times New Roman"/>
          <w:i/>
        </w:rPr>
        <w:t>This</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was</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point</w:t>
      </w:r>
      <w:proofErr w:type="spellEnd"/>
      <w:r w:rsidRPr="008C5F1C">
        <w:rPr>
          <w:rFonts w:ascii="Times New Roman" w:hAnsi="Times New Roman" w:cs="Times New Roman"/>
          <w:i/>
        </w:rPr>
        <w:t xml:space="preserve"> 2.1.1.3 in </w:t>
      </w:r>
      <w:proofErr w:type="spellStart"/>
      <w:r w:rsidRPr="008C5F1C">
        <w:rPr>
          <w:rFonts w:ascii="Times New Roman" w:hAnsi="Times New Roman" w:cs="Times New Roman"/>
          <w:i/>
        </w:rPr>
        <w:t>the</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Commission</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proposal</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and</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has</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been</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moved</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up</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following</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changes</w:t>
      </w:r>
      <w:proofErr w:type="spellEnd"/>
      <w:r w:rsidRPr="008C5F1C">
        <w:rPr>
          <w:rFonts w:ascii="Times New Roman" w:hAnsi="Times New Roman" w:cs="Times New Roman"/>
          <w:i/>
        </w:rPr>
        <w:t xml:space="preserve"> in </w:t>
      </w:r>
      <w:proofErr w:type="spellStart"/>
      <w:r w:rsidRPr="008C5F1C">
        <w:rPr>
          <w:rFonts w:ascii="Times New Roman" w:hAnsi="Times New Roman" w:cs="Times New Roman"/>
          <w:i/>
        </w:rPr>
        <w:t>Article</w:t>
      </w:r>
      <w:proofErr w:type="spellEnd"/>
      <w:r w:rsidRPr="008C5F1C">
        <w:rPr>
          <w:rFonts w:ascii="Times New Roman" w:hAnsi="Times New Roman" w:cs="Times New Roman"/>
          <w:i/>
        </w:rPr>
        <w:t xml:space="preserve"> 17(3)(c) CPR]</w:t>
      </w:r>
    </w:p>
    <w:p w14:paraId="5245B6B3" w14:textId="77777777" w:rsidR="00653571" w:rsidRPr="008C5F1C" w:rsidRDefault="00653571" w:rsidP="00653571">
      <w:pPr>
        <w:rPr>
          <w:rFonts w:ascii="Times New Roman" w:hAnsi="Times New Roman" w:cs="Times New Roman"/>
          <w:b/>
          <w:i/>
          <w:iCs/>
        </w:rPr>
      </w:pPr>
      <w:proofErr w:type="spellStart"/>
      <w:r w:rsidRPr="008C5F1C">
        <w:rPr>
          <w:rFonts w:ascii="Times New Roman" w:hAnsi="Times New Roman" w:cs="Times New Roman"/>
          <w:i/>
        </w:rPr>
        <w:t>Reference</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Article</w:t>
      </w:r>
      <w:proofErr w:type="spellEnd"/>
      <w:r w:rsidRPr="008C5F1C">
        <w:rPr>
          <w:rFonts w:ascii="Times New Roman" w:hAnsi="Times New Roman" w:cs="Times New Roman"/>
          <w:i/>
        </w:rPr>
        <w:t xml:space="preserve"> 17(3)(c) CPR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
        <w:gridCol w:w="847"/>
        <w:gridCol w:w="1275"/>
        <w:gridCol w:w="4368"/>
        <w:gridCol w:w="2170"/>
        <w:gridCol w:w="6"/>
      </w:tblGrid>
      <w:tr w:rsidR="00653571" w:rsidRPr="008C5F1C" w14:paraId="377889F7" w14:textId="77777777" w:rsidTr="009F3E76">
        <w:tc>
          <w:tcPr>
            <w:tcW w:w="9628" w:type="dxa"/>
            <w:gridSpan w:val="6"/>
            <w:tcBorders>
              <w:top w:val="single" w:sz="4" w:space="0" w:color="auto"/>
              <w:left w:val="single" w:sz="4" w:space="0" w:color="auto"/>
              <w:bottom w:val="single" w:sz="4" w:space="0" w:color="auto"/>
              <w:right w:val="single" w:sz="4" w:space="0" w:color="auto"/>
            </w:tcBorders>
            <w:hideMark/>
          </w:tcPr>
          <w:p w14:paraId="577ED32F"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Table 4: </w:t>
            </w:r>
            <w:proofErr w:type="spellStart"/>
            <w:r w:rsidRPr="008C5F1C">
              <w:rPr>
                <w:rFonts w:ascii="Times New Roman" w:hAnsi="Times New Roman" w:cs="Times New Roman"/>
                <w:b/>
                <w:iCs/>
              </w:rPr>
              <w:t>Dimension</w:t>
            </w:r>
            <w:proofErr w:type="spellEnd"/>
            <w:r w:rsidRPr="008C5F1C">
              <w:rPr>
                <w:rFonts w:ascii="Times New Roman" w:hAnsi="Times New Roman" w:cs="Times New Roman"/>
                <w:b/>
                <w:iCs/>
              </w:rPr>
              <w:t xml:space="preserve"> 1 – </w:t>
            </w:r>
            <w:proofErr w:type="spellStart"/>
            <w:r w:rsidRPr="008C5F1C">
              <w:rPr>
                <w:rFonts w:ascii="Times New Roman" w:hAnsi="Times New Roman" w:cs="Times New Roman"/>
                <w:b/>
                <w:iCs/>
              </w:rPr>
              <w:t>intervention</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field</w:t>
            </w:r>
            <w:proofErr w:type="spellEnd"/>
          </w:p>
        </w:tc>
      </w:tr>
      <w:tr w:rsidR="00653571" w:rsidRPr="008C5F1C" w14:paraId="30BD4E15" w14:textId="77777777" w:rsidTr="009F3E76">
        <w:trPr>
          <w:gridAfter w:val="1"/>
          <w:wAfter w:w="6" w:type="dxa"/>
        </w:trPr>
        <w:tc>
          <w:tcPr>
            <w:tcW w:w="962" w:type="dxa"/>
            <w:tcBorders>
              <w:top w:val="single" w:sz="4" w:space="0" w:color="auto"/>
              <w:left w:val="single" w:sz="4" w:space="0" w:color="auto"/>
              <w:bottom w:val="single" w:sz="4" w:space="0" w:color="auto"/>
              <w:right w:val="single" w:sz="4" w:space="0" w:color="auto"/>
            </w:tcBorders>
            <w:hideMark/>
          </w:tcPr>
          <w:p w14:paraId="2651A50B"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Priority</w:t>
            </w:r>
            <w:proofErr w:type="spellEnd"/>
            <w:r w:rsidRPr="008C5F1C">
              <w:rPr>
                <w:rFonts w:ascii="Times New Roman" w:hAnsi="Times New Roman" w:cs="Times New Roman"/>
                <w:b/>
                <w:iCs/>
              </w:rPr>
              <w:t xml:space="preserve"> No</w:t>
            </w:r>
          </w:p>
        </w:tc>
        <w:tc>
          <w:tcPr>
            <w:tcW w:w="847" w:type="dxa"/>
            <w:tcBorders>
              <w:top w:val="single" w:sz="4" w:space="0" w:color="auto"/>
              <w:left w:val="single" w:sz="4" w:space="0" w:color="auto"/>
              <w:bottom w:val="single" w:sz="4" w:space="0" w:color="auto"/>
              <w:right w:val="single" w:sz="4" w:space="0" w:color="auto"/>
            </w:tcBorders>
            <w:hideMark/>
          </w:tcPr>
          <w:p w14:paraId="25356872"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Fund</w:t>
            </w:r>
          </w:p>
        </w:tc>
        <w:tc>
          <w:tcPr>
            <w:tcW w:w="1275" w:type="dxa"/>
            <w:tcBorders>
              <w:top w:val="single" w:sz="4" w:space="0" w:color="auto"/>
              <w:left w:val="single" w:sz="4" w:space="0" w:color="auto"/>
              <w:bottom w:val="single" w:sz="4" w:space="0" w:color="auto"/>
              <w:right w:val="single" w:sz="4" w:space="0" w:color="auto"/>
            </w:tcBorders>
            <w:hideMark/>
          </w:tcPr>
          <w:p w14:paraId="0CF4A1E7"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Category</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region</w:t>
            </w:r>
            <w:proofErr w:type="spellEnd"/>
            <w:r w:rsidRPr="008C5F1C">
              <w:rPr>
                <w:rFonts w:ascii="Times New Roman" w:hAnsi="Times New Roman" w:cs="Times New Roman"/>
                <w:b/>
                <w:iCs/>
                <w:vertAlign w:val="superscript"/>
              </w:rPr>
              <w:footnoteReference w:id="58"/>
            </w:r>
          </w:p>
        </w:tc>
        <w:tc>
          <w:tcPr>
            <w:tcW w:w="4368" w:type="dxa"/>
            <w:tcBorders>
              <w:top w:val="single" w:sz="4" w:space="0" w:color="auto"/>
              <w:left w:val="single" w:sz="4" w:space="0" w:color="auto"/>
              <w:bottom w:val="single" w:sz="4" w:space="0" w:color="auto"/>
              <w:right w:val="single" w:sz="4" w:space="0" w:color="auto"/>
            </w:tcBorders>
            <w:hideMark/>
          </w:tcPr>
          <w:p w14:paraId="1FF3CF25"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Code </w:t>
            </w:r>
          </w:p>
        </w:tc>
        <w:tc>
          <w:tcPr>
            <w:tcW w:w="2170" w:type="dxa"/>
            <w:tcBorders>
              <w:top w:val="single" w:sz="4" w:space="0" w:color="auto"/>
              <w:left w:val="single" w:sz="4" w:space="0" w:color="auto"/>
              <w:bottom w:val="single" w:sz="4" w:space="0" w:color="auto"/>
              <w:right w:val="single" w:sz="4" w:space="0" w:color="auto"/>
            </w:tcBorders>
            <w:hideMark/>
          </w:tcPr>
          <w:p w14:paraId="675E8911"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Amount</w:t>
            </w:r>
            <w:proofErr w:type="spellEnd"/>
            <w:r w:rsidRPr="008C5F1C">
              <w:rPr>
                <w:rFonts w:ascii="Times New Roman" w:hAnsi="Times New Roman" w:cs="Times New Roman"/>
                <w:b/>
                <w:iCs/>
              </w:rPr>
              <w:t xml:space="preserve"> (EUR)</w:t>
            </w:r>
          </w:p>
        </w:tc>
      </w:tr>
      <w:tr w:rsidR="00E453CE" w:rsidRPr="008C5F1C" w14:paraId="2C42C3EC" w14:textId="77777777" w:rsidTr="00F43642">
        <w:trPr>
          <w:gridAfter w:val="1"/>
          <w:wAfter w:w="6" w:type="dxa"/>
          <w:trHeight w:val="333"/>
        </w:trPr>
        <w:tc>
          <w:tcPr>
            <w:tcW w:w="962" w:type="dxa"/>
            <w:vMerge w:val="restart"/>
            <w:tcBorders>
              <w:top w:val="single" w:sz="4" w:space="0" w:color="auto"/>
              <w:left w:val="single" w:sz="4" w:space="0" w:color="auto"/>
              <w:right w:val="single" w:sz="4" w:space="0" w:color="auto"/>
            </w:tcBorders>
          </w:tcPr>
          <w:p w14:paraId="69694D99" w14:textId="77777777" w:rsidR="00E453CE" w:rsidRPr="008C5F1C" w:rsidRDefault="00E453CE" w:rsidP="008D169D">
            <w:pPr>
              <w:rPr>
                <w:rFonts w:ascii="Times New Roman" w:hAnsi="Times New Roman" w:cs="Times New Roman"/>
                <w:b/>
                <w:bCs/>
                <w:iCs/>
              </w:rPr>
            </w:pPr>
            <w:r w:rsidRPr="008C5F1C">
              <w:rPr>
                <w:rFonts w:ascii="Times New Roman" w:hAnsi="Times New Roman" w:cs="Times New Roman"/>
                <w:b/>
                <w:bCs/>
                <w:iCs/>
              </w:rPr>
              <w:t>5</w:t>
            </w:r>
          </w:p>
        </w:tc>
        <w:tc>
          <w:tcPr>
            <w:tcW w:w="847" w:type="dxa"/>
            <w:vMerge w:val="restart"/>
            <w:tcBorders>
              <w:top w:val="single" w:sz="4" w:space="0" w:color="auto"/>
              <w:left w:val="single" w:sz="4" w:space="0" w:color="auto"/>
              <w:right w:val="single" w:sz="4" w:space="0" w:color="auto"/>
            </w:tcBorders>
          </w:tcPr>
          <w:p w14:paraId="07D2DBD9" w14:textId="77777777" w:rsidR="00E453CE" w:rsidRPr="008C5F1C" w:rsidRDefault="00E453CE" w:rsidP="008D169D">
            <w:pPr>
              <w:rPr>
                <w:rFonts w:ascii="Times New Roman" w:hAnsi="Times New Roman" w:cs="Times New Roman"/>
                <w:b/>
                <w:iCs/>
              </w:rPr>
            </w:pPr>
            <w:r w:rsidRPr="008C5F1C">
              <w:rPr>
                <w:rFonts w:ascii="Times New Roman" w:hAnsi="Times New Roman" w:cs="Times New Roman"/>
                <w:b/>
                <w:iCs/>
              </w:rPr>
              <w:t>ERDF</w:t>
            </w:r>
          </w:p>
        </w:tc>
        <w:tc>
          <w:tcPr>
            <w:tcW w:w="1275" w:type="dxa"/>
            <w:vMerge w:val="restart"/>
            <w:tcBorders>
              <w:top w:val="single" w:sz="4" w:space="0" w:color="auto"/>
              <w:left w:val="single" w:sz="4" w:space="0" w:color="auto"/>
              <w:right w:val="single" w:sz="4" w:space="0" w:color="auto"/>
            </w:tcBorders>
          </w:tcPr>
          <w:p w14:paraId="3F48D193" w14:textId="77777777" w:rsidR="00E453CE" w:rsidRPr="008C5F1C" w:rsidRDefault="00E453CE" w:rsidP="008D169D">
            <w:pPr>
              <w:rPr>
                <w:rFonts w:ascii="Times New Roman" w:hAnsi="Times New Roman" w:cs="Times New Roman"/>
                <w:b/>
                <w:iCs/>
              </w:rPr>
            </w:pPr>
            <w:proofErr w:type="spellStart"/>
            <w:r w:rsidRPr="008C5F1C">
              <w:rPr>
                <w:rFonts w:ascii="Times New Roman" w:hAnsi="Times New Roman" w:cs="Times New Roman"/>
                <w:b/>
                <w:iCs/>
              </w:rPr>
              <w:t>Less</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developed</w:t>
            </w:r>
            <w:proofErr w:type="spellEnd"/>
          </w:p>
        </w:tc>
        <w:tc>
          <w:tcPr>
            <w:tcW w:w="4368" w:type="dxa"/>
            <w:tcBorders>
              <w:top w:val="single" w:sz="4" w:space="0" w:color="auto"/>
              <w:left w:val="single" w:sz="4" w:space="0" w:color="auto"/>
              <w:right w:val="single" w:sz="4" w:space="0" w:color="auto"/>
            </w:tcBorders>
          </w:tcPr>
          <w:p w14:paraId="679CC1A7" w14:textId="77777777" w:rsidR="00E453CE" w:rsidRPr="008C5F1C" w:rsidRDefault="00E453CE" w:rsidP="001A64EA">
            <w:pPr>
              <w:spacing w:after="120" w:line="240" w:lineRule="auto"/>
              <w:rPr>
                <w:rFonts w:ascii="Times New Roman" w:hAnsi="Times New Roman" w:cs="Times New Roman"/>
                <w:b/>
                <w:iCs/>
              </w:rPr>
            </w:pPr>
            <w:r w:rsidRPr="008C5F1C">
              <w:rPr>
                <w:rFonts w:ascii="Times New Roman" w:hAnsi="Times New Roman" w:cs="Times New Roman"/>
                <w:b/>
                <w:iCs/>
              </w:rPr>
              <w:t xml:space="preserve">085 </w:t>
            </w:r>
            <w:r w:rsidRPr="00533593">
              <w:rPr>
                <w:rFonts w:ascii="Times New Roman" w:hAnsi="Times New Roman" w:cs="Times New Roman"/>
                <w:noProof/>
                <w:sz w:val="20"/>
                <w:szCs w:val="20"/>
              </w:rPr>
              <w:t>Infrastructuri pentru educația și îngrijirea copiilor preșcolari</w:t>
            </w:r>
          </w:p>
        </w:tc>
        <w:tc>
          <w:tcPr>
            <w:tcW w:w="2170" w:type="dxa"/>
            <w:vMerge w:val="restart"/>
            <w:tcBorders>
              <w:top w:val="single" w:sz="4" w:space="0" w:color="auto"/>
              <w:left w:val="single" w:sz="4" w:space="0" w:color="auto"/>
              <w:right w:val="single" w:sz="4" w:space="0" w:color="auto"/>
            </w:tcBorders>
            <w:vAlign w:val="center"/>
          </w:tcPr>
          <w:p w14:paraId="03BE07ED" w14:textId="2733473A" w:rsidR="00E453CE" w:rsidRPr="008C5F1C" w:rsidRDefault="00F947B3" w:rsidP="008D169D">
            <w:pPr>
              <w:jc w:val="right"/>
              <w:rPr>
                <w:rFonts w:ascii="Times New Roman" w:hAnsi="Times New Roman" w:cs="Times New Roman"/>
                <w:b/>
                <w:iCs/>
              </w:rPr>
            </w:pPr>
            <w:r w:rsidRPr="008C5F1C">
              <w:rPr>
                <w:rFonts w:ascii="Times New Roman" w:hAnsi="Times New Roman" w:cs="Times New Roman"/>
                <w:b/>
                <w:iCs/>
              </w:rPr>
              <w:t>86.778.780</w:t>
            </w:r>
          </w:p>
        </w:tc>
      </w:tr>
      <w:tr w:rsidR="00E453CE" w:rsidRPr="008C5F1C" w14:paraId="1E43FB62" w14:textId="77777777" w:rsidTr="00F43642">
        <w:trPr>
          <w:gridAfter w:val="1"/>
          <w:wAfter w:w="6" w:type="dxa"/>
          <w:trHeight w:val="529"/>
        </w:trPr>
        <w:tc>
          <w:tcPr>
            <w:tcW w:w="962" w:type="dxa"/>
            <w:vMerge/>
            <w:tcBorders>
              <w:left w:val="single" w:sz="4" w:space="0" w:color="auto"/>
              <w:right w:val="single" w:sz="4" w:space="0" w:color="auto"/>
            </w:tcBorders>
          </w:tcPr>
          <w:p w14:paraId="186310C0" w14:textId="77777777" w:rsidR="00E453CE" w:rsidRPr="008C5F1C" w:rsidRDefault="00E453CE" w:rsidP="008D169D">
            <w:pPr>
              <w:rPr>
                <w:rFonts w:ascii="Times New Roman" w:hAnsi="Times New Roman" w:cs="Times New Roman"/>
                <w:b/>
                <w:bCs/>
                <w:iCs/>
              </w:rPr>
            </w:pPr>
          </w:p>
        </w:tc>
        <w:tc>
          <w:tcPr>
            <w:tcW w:w="847" w:type="dxa"/>
            <w:vMerge/>
            <w:tcBorders>
              <w:left w:val="single" w:sz="4" w:space="0" w:color="auto"/>
              <w:right w:val="single" w:sz="4" w:space="0" w:color="auto"/>
            </w:tcBorders>
          </w:tcPr>
          <w:p w14:paraId="2B864B53" w14:textId="32DFF7B9" w:rsidR="00E453CE" w:rsidRPr="008C5F1C" w:rsidRDefault="00E453CE" w:rsidP="008D169D">
            <w:pPr>
              <w:rPr>
                <w:rFonts w:ascii="Times New Roman" w:hAnsi="Times New Roman" w:cs="Times New Roman"/>
                <w:b/>
                <w:iCs/>
              </w:rPr>
            </w:pPr>
          </w:p>
        </w:tc>
        <w:tc>
          <w:tcPr>
            <w:tcW w:w="1275" w:type="dxa"/>
            <w:vMerge/>
            <w:tcBorders>
              <w:left w:val="single" w:sz="4" w:space="0" w:color="auto"/>
              <w:right w:val="single" w:sz="4" w:space="0" w:color="auto"/>
            </w:tcBorders>
          </w:tcPr>
          <w:p w14:paraId="5A04841F" w14:textId="77777777" w:rsidR="00E453CE" w:rsidRPr="008C5F1C" w:rsidRDefault="00E453CE" w:rsidP="008D169D">
            <w:pPr>
              <w:rPr>
                <w:rFonts w:ascii="Times New Roman" w:hAnsi="Times New Roman" w:cs="Times New Roman"/>
                <w:b/>
                <w:iCs/>
              </w:rPr>
            </w:pPr>
          </w:p>
        </w:tc>
        <w:tc>
          <w:tcPr>
            <w:tcW w:w="4368" w:type="dxa"/>
            <w:tcBorders>
              <w:top w:val="single" w:sz="4" w:space="0" w:color="auto"/>
              <w:left w:val="single" w:sz="4" w:space="0" w:color="auto"/>
              <w:right w:val="single" w:sz="4" w:space="0" w:color="auto"/>
            </w:tcBorders>
          </w:tcPr>
          <w:p w14:paraId="7A4D7259" w14:textId="77777777" w:rsidR="00E453CE" w:rsidRPr="008C5F1C" w:rsidRDefault="00E453CE" w:rsidP="001A64EA">
            <w:pPr>
              <w:spacing w:after="120" w:line="240" w:lineRule="auto"/>
              <w:rPr>
                <w:rFonts w:ascii="Times New Roman" w:hAnsi="Times New Roman" w:cs="Times New Roman"/>
                <w:b/>
                <w:iCs/>
              </w:rPr>
            </w:pPr>
            <w:r w:rsidRPr="008C5F1C">
              <w:rPr>
                <w:rFonts w:ascii="Times New Roman" w:hAnsi="Times New Roman" w:cs="Times New Roman"/>
                <w:b/>
                <w:iCs/>
              </w:rPr>
              <w:t xml:space="preserve">086 </w:t>
            </w:r>
            <w:r w:rsidRPr="00533593">
              <w:rPr>
                <w:rFonts w:ascii="Times New Roman" w:hAnsi="Times New Roman" w:cs="Times New Roman"/>
                <w:noProof/>
                <w:sz w:val="20"/>
                <w:szCs w:val="20"/>
              </w:rPr>
              <w:t>Infrastructuri pentru învățământul primar și secundar</w:t>
            </w:r>
          </w:p>
        </w:tc>
        <w:tc>
          <w:tcPr>
            <w:tcW w:w="2170" w:type="dxa"/>
            <w:vMerge/>
            <w:tcBorders>
              <w:left w:val="single" w:sz="4" w:space="0" w:color="auto"/>
              <w:right w:val="single" w:sz="4" w:space="0" w:color="auto"/>
            </w:tcBorders>
            <w:vAlign w:val="center"/>
          </w:tcPr>
          <w:p w14:paraId="0828BF6A" w14:textId="0FDFEFF3" w:rsidR="00E453CE" w:rsidRPr="008C5F1C" w:rsidRDefault="00E453CE" w:rsidP="008D169D">
            <w:pPr>
              <w:jc w:val="right"/>
              <w:rPr>
                <w:rFonts w:ascii="Times New Roman" w:hAnsi="Times New Roman" w:cs="Times New Roman"/>
                <w:b/>
                <w:iCs/>
              </w:rPr>
            </w:pPr>
          </w:p>
        </w:tc>
      </w:tr>
      <w:tr w:rsidR="00E453CE" w:rsidRPr="008C5F1C" w14:paraId="6849FDAB" w14:textId="77777777" w:rsidTr="00F43642">
        <w:trPr>
          <w:gridAfter w:val="1"/>
          <w:wAfter w:w="6" w:type="dxa"/>
          <w:trHeight w:val="171"/>
        </w:trPr>
        <w:tc>
          <w:tcPr>
            <w:tcW w:w="962" w:type="dxa"/>
            <w:vMerge/>
            <w:tcBorders>
              <w:left w:val="single" w:sz="4" w:space="0" w:color="auto"/>
              <w:right w:val="single" w:sz="4" w:space="0" w:color="auto"/>
            </w:tcBorders>
          </w:tcPr>
          <w:p w14:paraId="310FA915" w14:textId="77777777" w:rsidR="00E453CE" w:rsidRPr="008C5F1C" w:rsidRDefault="00E453CE" w:rsidP="008D169D">
            <w:pPr>
              <w:rPr>
                <w:rFonts w:ascii="Times New Roman" w:hAnsi="Times New Roman" w:cs="Times New Roman"/>
                <w:b/>
                <w:bCs/>
                <w:iCs/>
              </w:rPr>
            </w:pPr>
          </w:p>
        </w:tc>
        <w:tc>
          <w:tcPr>
            <w:tcW w:w="847" w:type="dxa"/>
            <w:vMerge/>
            <w:tcBorders>
              <w:left w:val="single" w:sz="4" w:space="0" w:color="auto"/>
              <w:right w:val="single" w:sz="4" w:space="0" w:color="auto"/>
            </w:tcBorders>
          </w:tcPr>
          <w:p w14:paraId="40D6533C" w14:textId="552F4222" w:rsidR="00E453CE" w:rsidRPr="008C5F1C" w:rsidRDefault="00E453CE" w:rsidP="008D169D">
            <w:pPr>
              <w:rPr>
                <w:rFonts w:ascii="Times New Roman" w:hAnsi="Times New Roman" w:cs="Times New Roman"/>
                <w:b/>
                <w:iCs/>
              </w:rPr>
            </w:pPr>
          </w:p>
        </w:tc>
        <w:tc>
          <w:tcPr>
            <w:tcW w:w="1275" w:type="dxa"/>
            <w:vMerge/>
            <w:tcBorders>
              <w:left w:val="single" w:sz="4" w:space="0" w:color="auto"/>
              <w:right w:val="single" w:sz="4" w:space="0" w:color="auto"/>
            </w:tcBorders>
          </w:tcPr>
          <w:p w14:paraId="7943FF02" w14:textId="77777777" w:rsidR="00E453CE" w:rsidRPr="008C5F1C" w:rsidRDefault="00E453CE" w:rsidP="008D169D">
            <w:pPr>
              <w:rPr>
                <w:rFonts w:ascii="Times New Roman" w:hAnsi="Times New Roman" w:cs="Times New Roman"/>
                <w:b/>
                <w:iCs/>
              </w:rPr>
            </w:pPr>
          </w:p>
        </w:tc>
        <w:tc>
          <w:tcPr>
            <w:tcW w:w="4368" w:type="dxa"/>
            <w:tcBorders>
              <w:top w:val="single" w:sz="4" w:space="0" w:color="auto"/>
              <w:left w:val="single" w:sz="4" w:space="0" w:color="auto"/>
              <w:right w:val="single" w:sz="4" w:space="0" w:color="auto"/>
            </w:tcBorders>
          </w:tcPr>
          <w:p w14:paraId="409AE43E" w14:textId="77777777" w:rsidR="00E453CE" w:rsidRPr="008C5F1C" w:rsidRDefault="00E453CE" w:rsidP="001A64EA">
            <w:pPr>
              <w:spacing w:after="120" w:line="240" w:lineRule="auto"/>
              <w:rPr>
                <w:rFonts w:ascii="Times New Roman" w:hAnsi="Times New Roman" w:cs="Times New Roman"/>
                <w:b/>
                <w:iCs/>
              </w:rPr>
            </w:pPr>
            <w:r w:rsidRPr="008C5F1C">
              <w:rPr>
                <w:rFonts w:ascii="Times New Roman" w:hAnsi="Times New Roman" w:cs="Times New Roman"/>
                <w:b/>
                <w:iCs/>
              </w:rPr>
              <w:t xml:space="preserve">087 </w:t>
            </w:r>
            <w:r w:rsidRPr="00533593">
              <w:rPr>
                <w:rFonts w:ascii="Times New Roman" w:hAnsi="Times New Roman" w:cs="Times New Roman"/>
                <w:noProof/>
                <w:sz w:val="20"/>
                <w:szCs w:val="20"/>
              </w:rPr>
              <w:t>Infrastructuri pentru învățământul terțiar</w:t>
            </w:r>
          </w:p>
        </w:tc>
        <w:tc>
          <w:tcPr>
            <w:tcW w:w="2170" w:type="dxa"/>
            <w:vMerge/>
            <w:tcBorders>
              <w:left w:val="single" w:sz="4" w:space="0" w:color="auto"/>
              <w:right w:val="single" w:sz="4" w:space="0" w:color="auto"/>
            </w:tcBorders>
            <w:vAlign w:val="center"/>
          </w:tcPr>
          <w:p w14:paraId="1132E363" w14:textId="479D5D34" w:rsidR="00E453CE" w:rsidRPr="008C5F1C" w:rsidRDefault="00E453CE" w:rsidP="008D169D">
            <w:pPr>
              <w:jc w:val="right"/>
              <w:rPr>
                <w:rFonts w:ascii="Times New Roman" w:hAnsi="Times New Roman" w:cs="Times New Roman"/>
                <w:b/>
                <w:iCs/>
              </w:rPr>
            </w:pPr>
          </w:p>
        </w:tc>
      </w:tr>
      <w:tr w:rsidR="00E453CE" w:rsidRPr="008C5F1C" w14:paraId="6664879B" w14:textId="77777777" w:rsidTr="00F43642">
        <w:trPr>
          <w:gridAfter w:val="1"/>
          <w:wAfter w:w="6" w:type="dxa"/>
          <w:trHeight w:val="236"/>
        </w:trPr>
        <w:tc>
          <w:tcPr>
            <w:tcW w:w="962" w:type="dxa"/>
            <w:vMerge/>
            <w:tcBorders>
              <w:left w:val="single" w:sz="4" w:space="0" w:color="auto"/>
              <w:right w:val="single" w:sz="4" w:space="0" w:color="auto"/>
            </w:tcBorders>
          </w:tcPr>
          <w:p w14:paraId="79956581" w14:textId="77777777" w:rsidR="00E453CE" w:rsidRPr="008C5F1C" w:rsidRDefault="00E453CE" w:rsidP="008D169D">
            <w:pPr>
              <w:rPr>
                <w:rFonts w:ascii="Times New Roman" w:hAnsi="Times New Roman" w:cs="Times New Roman"/>
                <w:b/>
                <w:bCs/>
                <w:iCs/>
              </w:rPr>
            </w:pPr>
          </w:p>
        </w:tc>
        <w:tc>
          <w:tcPr>
            <w:tcW w:w="847" w:type="dxa"/>
            <w:vMerge/>
            <w:tcBorders>
              <w:left w:val="single" w:sz="4" w:space="0" w:color="auto"/>
              <w:right w:val="single" w:sz="4" w:space="0" w:color="auto"/>
            </w:tcBorders>
          </w:tcPr>
          <w:p w14:paraId="736404A4" w14:textId="1108E899" w:rsidR="00E453CE" w:rsidRPr="008C5F1C" w:rsidRDefault="00E453CE" w:rsidP="008D169D">
            <w:pPr>
              <w:rPr>
                <w:rFonts w:ascii="Times New Roman" w:hAnsi="Times New Roman" w:cs="Times New Roman"/>
                <w:b/>
                <w:iCs/>
              </w:rPr>
            </w:pPr>
          </w:p>
        </w:tc>
        <w:tc>
          <w:tcPr>
            <w:tcW w:w="1275" w:type="dxa"/>
            <w:vMerge/>
            <w:tcBorders>
              <w:left w:val="single" w:sz="4" w:space="0" w:color="auto"/>
              <w:right w:val="single" w:sz="4" w:space="0" w:color="auto"/>
            </w:tcBorders>
          </w:tcPr>
          <w:p w14:paraId="5F12EE4E" w14:textId="77777777" w:rsidR="00E453CE" w:rsidRPr="008C5F1C" w:rsidRDefault="00E453CE" w:rsidP="008D169D">
            <w:pPr>
              <w:rPr>
                <w:rFonts w:ascii="Times New Roman" w:hAnsi="Times New Roman" w:cs="Times New Roman"/>
                <w:b/>
                <w:iCs/>
              </w:rPr>
            </w:pPr>
          </w:p>
        </w:tc>
        <w:tc>
          <w:tcPr>
            <w:tcW w:w="4368" w:type="dxa"/>
            <w:tcBorders>
              <w:top w:val="single" w:sz="4" w:space="0" w:color="auto"/>
              <w:left w:val="single" w:sz="4" w:space="0" w:color="auto"/>
              <w:right w:val="single" w:sz="4" w:space="0" w:color="auto"/>
            </w:tcBorders>
          </w:tcPr>
          <w:p w14:paraId="744D015F" w14:textId="77777777" w:rsidR="00E453CE" w:rsidRPr="008C5F1C" w:rsidRDefault="00E453CE" w:rsidP="001A64EA">
            <w:pPr>
              <w:spacing w:after="120" w:line="240" w:lineRule="auto"/>
              <w:rPr>
                <w:rFonts w:ascii="Times New Roman" w:hAnsi="Times New Roman" w:cs="Times New Roman"/>
                <w:b/>
                <w:iCs/>
              </w:rPr>
            </w:pPr>
            <w:r w:rsidRPr="008C5F1C">
              <w:rPr>
                <w:rFonts w:ascii="Times New Roman" w:hAnsi="Times New Roman" w:cs="Times New Roman"/>
                <w:b/>
                <w:iCs/>
              </w:rPr>
              <w:t xml:space="preserve">088 </w:t>
            </w:r>
            <w:r w:rsidRPr="00533593">
              <w:rPr>
                <w:rFonts w:ascii="Times New Roman" w:hAnsi="Times New Roman" w:cs="Times New Roman"/>
                <w:noProof/>
                <w:sz w:val="20"/>
                <w:szCs w:val="20"/>
              </w:rPr>
              <w:t>Infrastructuri pentru învățământul profesional și tehnic și educația adulților</w:t>
            </w:r>
          </w:p>
        </w:tc>
        <w:tc>
          <w:tcPr>
            <w:tcW w:w="2170" w:type="dxa"/>
            <w:vMerge/>
            <w:tcBorders>
              <w:left w:val="single" w:sz="4" w:space="0" w:color="auto"/>
              <w:right w:val="single" w:sz="4" w:space="0" w:color="auto"/>
            </w:tcBorders>
            <w:vAlign w:val="center"/>
          </w:tcPr>
          <w:p w14:paraId="493A8DF3" w14:textId="6239D119" w:rsidR="00E453CE" w:rsidRPr="008C5F1C" w:rsidRDefault="00E453CE" w:rsidP="008D169D">
            <w:pPr>
              <w:jc w:val="right"/>
              <w:rPr>
                <w:rFonts w:ascii="Times New Roman" w:hAnsi="Times New Roman" w:cs="Times New Roman"/>
                <w:b/>
                <w:iCs/>
              </w:rPr>
            </w:pPr>
          </w:p>
        </w:tc>
      </w:tr>
    </w:tbl>
    <w:p w14:paraId="39B32777" w14:textId="77777777" w:rsidR="00653571" w:rsidRPr="008C5F1C" w:rsidRDefault="00653571" w:rsidP="00653571">
      <w:pP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2486"/>
        <w:gridCol w:w="1727"/>
        <w:gridCol w:w="2175"/>
      </w:tblGrid>
      <w:tr w:rsidR="00653571" w:rsidRPr="008C5F1C" w14:paraId="2D58F993" w14:textId="77777777" w:rsidTr="00ED3D68">
        <w:tc>
          <w:tcPr>
            <w:tcW w:w="9371" w:type="dxa"/>
            <w:gridSpan w:val="5"/>
            <w:tcBorders>
              <w:top w:val="single" w:sz="4" w:space="0" w:color="auto"/>
              <w:left w:val="single" w:sz="4" w:space="0" w:color="auto"/>
              <w:bottom w:val="single" w:sz="4" w:space="0" w:color="auto"/>
              <w:right w:val="single" w:sz="4" w:space="0" w:color="auto"/>
            </w:tcBorders>
            <w:hideMark/>
          </w:tcPr>
          <w:p w14:paraId="28FDD820"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Table 5: </w:t>
            </w:r>
            <w:proofErr w:type="spellStart"/>
            <w:r w:rsidRPr="008C5F1C">
              <w:rPr>
                <w:rFonts w:ascii="Times New Roman" w:hAnsi="Times New Roman" w:cs="Times New Roman"/>
                <w:b/>
                <w:iCs/>
              </w:rPr>
              <w:t>Dimension</w:t>
            </w:r>
            <w:proofErr w:type="spellEnd"/>
            <w:r w:rsidRPr="008C5F1C">
              <w:rPr>
                <w:rFonts w:ascii="Times New Roman" w:hAnsi="Times New Roman" w:cs="Times New Roman"/>
                <w:b/>
                <w:iCs/>
              </w:rPr>
              <w:t xml:space="preserve"> 2 – </w:t>
            </w:r>
            <w:proofErr w:type="spellStart"/>
            <w:r w:rsidRPr="008C5F1C">
              <w:rPr>
                <w:rFonts w:ascii="Times New Roman" w:hAnsi="Times New Roman" w:cs="Times New Roman"/>
                <w:b/>
                <w:iCs/>
              </w:rPr>
              <w:t>form</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support</w:t>
            </w:r>
            <w:proofErr w:type="spellEnd"/>
          </w:p>
        </w:tc>
      </w:tr>
      <w:tr w:rsidR="00653571" w:rsidRPr="008C5F1C" w14:paraId="58770EE1" w14:textId="77777777" w:rsidTr="00ED3D68">
        <w:tc>
          <w:tcPr>
            <w:tcW w:w="1599" w:type="dxa"/>
            <w:tcBorders>
              <w:top w:val="single" w:sz="4" w:space="0" w:color="auto"/>
              <w:left w:val="single" w:sz="4" w:space="0" w:color="auto"/>
              <w:bottom w:val="single" w:sz="4" w:space="0" w:color="auto"/>
              <w:right w:val="single" w:sz="4" w:space="0" w:color="auto"/>
            </w:tcBorders>
            <w:hideMark/>
          </w:tcPr>
          <w:p w14:paraId="496B4DD9"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Priority</w:t>
            </w:r>
            <w:proofErr w:type="spellEnd"/>
            <w:r w:rsidRPr="008C5F1C">
              <w:rPr>
                <w:rFonts w:ascii="Times New Roman" w:hAnsi="Times New Roman" w:cs="Times New Roman"/>
                <w:b/>
                <w:iCs/>
              </w:rPr>
              <w:t xml:space="preserve"> No</w:t>
            </w:r>
          </w:p>
        </w:tc>
        <w:tc>
          <w:tcPr>
            <w:tcW w:w="1384" w:type="dxa"/>
            <w:tcBorders>
              <w:top w:val="single" w:sz="4" w:space="0" w:color="auto"/>
              <w:left w:val="single" w:sz="4" w:space="0" w:color="auto"/>
              <w:bottom w:val="single" w:sz="4" w:space="0" w:color="auto"/>
              <w:right w:val="single" w:sz="4" w:space="0" w:color="auto"/>
            </w:tcBorders>
            <w:hideMark/>
          </w:tcPr>
          <w:p w14:paraId="349668AE"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Fund</w:t>
            </w:r>
          </w:p>
        </w:tc>
        <w:tc>
          <w:tcPr>
            <w:tcW w:w="2486" w:type="dxa"/>
            <w:tcBorders>
              <w:top w:val="single" w:sz="4" w:space="0" w:color="auto"/>
              <w:left w:val="single" w:sz="4" w:space="0" w:color="auto"/>
              <w:bottom w:val="single" w:sz="4" w:space="0" w:color="auto"/>
              <w:right w:val="single" w:sz="4" w:space="0" w:color="auto"/>
            </w:tcBorders>
            <w:hideMark/>
          </w:tcPr>
          <w:p w14:paraId="093AB5CE"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Category</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region</w:t>
            </w:r>
            <w:proofErr w:type="spellEnd"/>
            <w:r w:rsidRPr="008C5F1C">
              <w:rPr>
                <w:rFonts w:ascii="Times New Roman" w:hAnsi="Times New Roman" w:cs="Times New Roman"/>
                <w:b/>
                <w:iCs/>
                <w:vertAlign w:val="superscript"/>
              </w:rPr>
              <w:footnoteReference w:id="59"/>
            </w:r>
          </w:p>
        </w:tc>
        <w:tc>
          <w:tcPr>
            <w:tcW w:w="1727" w:type="dxa"/>
            <w:tcBorders>
              <w:top w:val="single" w:sz="4" w:space="0" w:color="auto"/>
              <w:left w:val="single" w:sz="4" w:space="0" w:color="auto"/>
              <w:bottom w:val="single" w:sz="4" w:space="0" w:color="auto"/>
              <w:right w:val="single" w:sz="4" w:space="0" w:color="auto"/>
            </w:tcBorders>
            <w:hideMark/>
          </w:tcPr>
          <w:p w14:paraId="2C5D441A"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Code </w:t>
            </w:r>
          </w:p>
        </w:tc>
        <w:tc>
          <w:tcPr>
            <w:tcW w:w="2175" w:type="dxa"/>
            <w:tcBorders>
              <w:top w:val="single" w:sz="4" w:space="0" w:color="auto"/>
              <w:left w:val="single" w:sz="4" w:space="0" w:color="auto"/>
              <w:bottom w:val="single" w:sz="4" w:space="0" w:color="auto"/>
              <w:right w:val="single" w:sz="4" w:space="0" w:color="auto"/>
            </w:tcBorders>
            <w:hideMark/>
          </w:tcPr>
          <w:p w14:paraId="110A6FFE"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Amount</w:t>
            </w:r>
            <w:proofErr w:type="spellEnd"/>
            <w:r w:rsidRPr="008C5F1C">
              <w:rPr>
                <w:rFonts w:ascii="Times New Roman" w:hAnsi="Times New Roman" w:cs="Times New Roman"/>
                <w:b/>
                <w:iCs/>
              </w:rPr>
              <w:t xml:space="preserve"> (EUR)</w:t>
            </w:r>
          </w:p>
        </w:tc>
      </w:tr>
      <w:tr w:rsidR="009F3E76" w:rsidRPr="008C5F1C" w14:paraId="682D7F29" w14:textId="77777777" w:rsidTr="00ED3D68">
        <w:tc>
          <w:tcPr>
            <w:tcW w:w="1599" w:type="dxa"/>
            <w:tcBorders>
              <w:top w:val="single" w:sz="4" w:space="0" w:color="auto"/>
              <w:left w:val="single" w:sz="4" w:space="0" w:color="auto"/>
              <w:bottom w:val="single" w:sz="4" w:space="0" w:color="auto"/>
              <w:right w:val="single" w:sz="4" w:space="0" w:color="auto"/>
            </w:tcBorders>
          </w:tcPr>
          <w:p w14:paraId="6A82C300" w14:textId="77777777" w:rsidR="009F3E76" w:rsidRPr="008C5F1C" w:rsidRDefault="009F3E76" w:rsidP="009F3E76">
            <w:pPr>
              <w:rPr>
                <w:rFonts w:ascii="Times New Roman" w:hAnsi="Times New Roman" w:cs="Times New Roman"/>
                <w:b/>
                <w:bCs/>
                <w:iCs/>
              </w:rPr>
            </w:pPr>
            <w:r w:rsidRPr="008C5F1C">
              <w:rPr>
                <w:rFonts w:ascii="Times New Roman" w:hAnsi="Times New Roman" w:cs="Times New Roman"/>
                <w:b/>
                <w:bCs/>
                <w:iCs/>
              </w:rPr>
              <w:t>5</w:t>
            </w:r>
          </w:p>
        </w:tc>
        <w:tc>
          <w:tcPr>
            <w:tcW w:w="1384" w:type="dxa"/>
            <w:tcBorders>
              <w:top w:val="single" w:sz="4" w:space="0" w:color="auto"/>
              <w:left w:val="single" w:sz="4" w:space="0" w:color="auto"/>
              <w:bottom w:val="single" w:sz="4" w:space="0" w:color="auto"/>
              <w:right w:val="single" w:sz="4" w:space="0" w:color="auto"/>
            </w:tcBorders>
          </w:tcPr>
          <w:p w14:paraId="357FBB1B" w14:textId="77777777" w:rsidR="009F3E76" w:rsidRPr="008C5F1C" w:rsidRDefault="009F3E76" w:rsidP="009F3E76">
            <w:pPr>
              <w:rPr>
                <w:rFonts w:ascii="Times New Roman" w:hAnsi="Times New Roman" w:cs="Times New Roman"/>
                <w:b/>
                <w:iCs/>
              </w:rPr>
            </w:pPr>
            <w:r w:rsidRPr="008C5F1C">
              <w:rPr>
                <w:rFonts w:ascii="Times New Roman" w:hAnsi="Times New Roman" w:cs="Times New Roman"/>
                <w:b/>
                <w:iCs/>
              </w:rPr>
              <w:t>ERDF</w:t>
            </w:r>
          </w:p>
        </w:tc>
        <w:tc>
          <w:tcPr>
            <w:tcW w:w="2486" w:type="dxa"/>
            <w:tcBorders>
              <w:top w:val="single" w:sz="4" w:space="0" w:color="auto"/>
              <w:left w:val="single" w:sz="4" w:space="0" w:color="auto"/>
              <w:bottom w:val="single" w:sz="4" w:space="0" w:color="auto"/>
              <w:right w:val="single" w:sz="4" w:space="0" w:color="auto"/>
            </w:tcBorders>
          </w:tcPr>
          <w:p w14:paraId="0039C810" w14:textId="77777777" w:rsidR="009F3E76" w:rsidRPr="008C5F1C" w:rsidRDefault="009F3E76" w:rsidP="009F3E76">
            <w:pPr>
              <w:rPr>
                <w:rFonts w:ascii="Times New Roman" w:hAnsi="Times New Roman" w:cs="Times New Roman"/>
                <w:b/>
                <w:iCs/>
              </w:rPr>
            </w:pPr>
            <w:proofErr w:type="spellStart"/>
            <w:r w:rsidRPr="008C5F1C">
              <w:rPr>
                <w:rFonts w:ascii="Times New Roman" w:hAnsi="Times New Roman" w:cs="Times New Roman"/>
                <w:b/>
                <w:iCs/>
              </w:rPr>
              <w:t>Less</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developed</w:t>
            </w:r>
            <w:proofErr w:type="spellEnd"/>
          </w:p>
        </w:tc>
        <w:tc>
          <w:tcPr>
            <w:tcW w:w="1727" w:type="dxa"/>
            <w:tcBorders>
              <w:top w:val="single" w:sz="4" w:space="0" w:color="auto"/>
              <w:left w:val="single" w:sz="4" w:space="0" w:color="auto"/>
              <w:bottom w:val="single" w:sz="4" w:space="0" w:color="auto"/>
              <w:right w:val="single" w:sz="4" w:space="0" w:color="auto"/>
            </w:tcBorders>
          </w:tcPr>
          <w:p w14:paraId="43BCCBB4" w14:textId="77777777" w:rsidR="009F3E76" w:rsidRPr="008C5F1C" w:rsidRDefault="009F3E76" w:rsidP="009F3E76">
            <w:pPr>
              <w:rPr>
                <w:rFonts w:ascii="Times New Roman" w:hAnsi="Times New Roman" w:cs="Times New Roman"/>
                <w:b/>
                <w:iCs/>
              </w:rPr>
            </w:pPr>
            <w:r w:rsidRPr="008C5F1C">
              <w:rPr>
                <w:rFonts w:ascii="Times New Roman" w:hAnsi="Times New Roman" w:cs="Times New Roman"/>
                <w:b/>
                <w:iCs/>
              </w:rPr>
              <w:t>001 Grant</w:t>
            </w:r>
          </w:p>
        </w:tc>
        <w:tc>
          <w:tcPr>
            <w:tcW w:w="2175" w:type="dxa"/>
            <w:tcBorders>
              <w:top w:val="single" w:sz="4" w:space="0" w:color="auto"/>
              <w:left w:val="single" w:sz="4" w:space="0" w:color="auto"/>
              <w:bottom w:val="single" w:sz="4" w:space="0" w:color="auto"/>
              <w:right w:val="single" w:sz="4" w:space="0" w:color="auto"/>
            </w:tcBorders>
          </w:tcPr>
          <w:p w14:paraId="3CDF9395" w14:textId="754033E4" w:rsidR="009F3E76" w:rsidRPr="008C5F1C" w:rsidRDefault="00F947B3" w:rsidP="009F3E76">
            <w:pPr>
              <w:jc w:val="right"/>
              <w:rPr>
                <w:rFonts w:ascii="Times New Roman" w:hAnsi="Times New Roman" w:cs="Times New Roman"/>
                <w:b/>
                <w:iCs/>
              </w:rPr>
            </w:pPr>
            <w:r w:rsidRPr="008C5F1C">
              <w:rPr>
                <w:rFonts w:ascii="Times New Roman" w:hAnsi="Times New Roman" w:cs="Times New Roman"/>
                <w:b/>
                <w:iCs/>
              </w:rPr>
              <w:t>86.778.780</w:t>
            </w:r>
          </w:p>
        </w:tc>
      </w:tr>
      <w:tr w:rsidR="00AE15A6" w:rsidRPr="008C5F1C" w14:paraId="53669B17" w14:textId="77777777" w:rsidTr="00ED3D68">
        <w:tc>
          <w:tcPr>
            <w:tcW w:w="1599" w:type="dxa"/>
            <w:tcBorders>
              <w:top w:val="single" w:sz="4" w:space="0" w:color="auto"/>
              <w:left w:val="single" w:sz="4" w:space="0" w:color="auto"/>
              <w:bottom w:val="single" w:sz="4" w:space="0" w:color="auto"/>
              <w:right w:val="single" w:sz="4" w:space="0" w:color="auto"/>
            </w:tcBorders>
          </w:tcPr>
          <w:p w14:paraId="25BEDBD9" w14:textId="225893EE" w:rsidR="00AE15A6" w:rsidRPr="008C5F1C" w:rsidRDefault="00AE15A6" w:rsidP="00AE15A6">
            <w:pPr>
              <w:rPr>
                <w:rFonts w:ascii="Times New Roman" w:hAnsi="Times New Roman" w:cs="Times New Roman"/>
                <w:b/>
                <w:bCs/>
                <w:iCs/>
              </w:rPr>
            </w:pPr>
            <w:r w:rsidRPr="008C5F1C">
              <w:rPr>
                <w:rFonts w:ascii="Times New Roman" w:hAnsi="Times New Roman" w:cs="Times New Roman"/>
                <w:b/>
                <w:bCs/>
                <w:iCs/>
              </w:rPr>
              <w:t>5</w:t>
            </w:r>
          </w:p>
        </w:tc>
        <w:tc>
          <w:tcPr>
            <w:tcW w:w="1384" w:type="dxa"/>
            <w:tcBorders>
              <w:top w:val="single" w:sz="4" w:space="0" w:color="auto"/>
              <w:left w:val="single" w:sz="4" w:space="0" w:color="auto"/>
              <w:bottom w:val="single" w:sz="4" w:space="0" w:color="auto"/>
              <w:right w:val="single" w:sz="4" w:space="0" w:color="auto"/>
            </w:tcBorders>
          </w:tcPr>
          <w:p w14:paraId="2604D519" w14:textId="1AD52252" w:rsidR="00AE15A6" w:rsidRPr="008C5F1C" w:rsidRDefault="008D169D" w:rsidP="00AE15A6">
            <w:pPr>
              <w:rPr>
                <w:rFonts w:ascii="Times New Roman" w:hAnsi="Times New Roman" w:cs="Times New Roman"/>
                <w:b/>
                <w:iCs/>
              </w:rPr>
            </w:pPr>
            <w:r w:rsidRPr="008C5F1C">
              <w:rPr>
                <w:rFonts w:ascii="Times New Roman" w:hAnsi="Times New Roman" w:cs="Times New Roman"/>
                <w:b/>
                <w:iCs/>
              </w:rPr>
              <w:t>CN</w:t>
            </w:r>
          </w:p>
        </w:tc>
        <w:tc>
          <w:tcPr>
            <w:tcW w:w="2486" w:type="dxa"/>
            <w:tcBorders>
              <w:top w:val="single" w:sz="4" w:space="0" w:color="auto"/>
              <w:left w:val="single" w:sz="4" w:space="0" w:color="auto"/>
              <w:bottom w:val="single" w:sz="4" w:space="0" w:color="auto"/>
              <w:right w:val="single" w:sz="4" w:space="0" w:color="auto"/>
            </w:tcBorders>
          </w:tcPr>
          <w:p w14:paraId="226FDB94" w14:textId="73F1F076" w:rsidR="00AE15A6" w:rsidRPr="008C5F1C" w:rsidRDefault="00AE15A6" w:rsidP="00AE15A6">
            <w:pPr>
              <w:rPr>
                <w:rFonts w:ascii="Times New Roman" w:hAnsi="Times New Roman" w:cs="Times New Roman"/>
                <w:b/>
                <w:iCs/>
              </w:rPr>
            </w:pPr>
            <w:proofErr w:type="spellStart"/>
            <w:r w:rsidRPr="008C5F1C">
              <w:rPr>
                <w:rFonts w:ascii="Times New Roman" w:hAnsi="Times New Roman" w:cs="Times New Roman"/>
                <w:b/>
                <w:iCs/>
              </w:rPr>
              <w:t>Less</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developed</w:t>
            </w:r>
            <w:proofErr w:type="spellEnd"/>
          </w:p>
        </w:tc>
        <w:tc>
          <w:tcPr>
            <w:tcW w:w="1727" w:type="dxa"/>
            <w:tcBorders>
              <w:top w:val="single" w:sz="4" w:space="0" w:color="auto"/>
              <w:left w:val="single" w:sz="4" w:space="0" w:color="auto"/>
              <w:bottom w:val="single" w:sz="4" w:space="0" w:color="auto"/>
              <w:right w:val="single" w:sz="4" w:space="0" w:color="auto"/>
            </w:tcBorders>
          </w:tcPr>
          <w:p w14:paraId="384778C9" w14:textId="23A2D58E" w:rsidR="00AE15A6" w:rsidRPr="008C5F1C" w:rsidRDefault="00AE15A6" w:rsidP="00AE15A6">
            <w:pPr>
              <w:rPr>
                <w:rFonts w:ascii="Times New Roman" w:hAnsi="Times New Roman" w:cs="Times New Roman"/>
                <w:b/>
                <w:iCs/>
              </w:rPr>
            </w:pPr>
            <w:r w:rsidRPr="008C5F1C">
              <w:rPr>
                <w:rFonts w:ascii="Times New Roman" w:hAnsi="Times New Roman" w:cs="Times New Roman"/>
                <w:b/>
                <w:iCs/>
              </w:rPr>
              <w:t>001 Grant</w:t>
            </w:r>
          </w:p>
        </w:tc>
        <w:tc>
          <w:tcPr>
            <w:tcW w:w="2175" w:type="dxa"/>
            <w:tcBorders>
              <w:top w:val="single" w:sz="4" w:space="0" w:color="auto"/>
              <w:left w:val="single" w:sz="4" w:space="0" w:color="auto"/>
              <w:bottom w:val="single" w:sz="4" w:space="0" w:color="auto"/>
              <w:right w:val="single" w:sz="4" w:space="0" w:color="auto"/>
            </w:tcBorders>
          </w:tcPr>
          <w:p w14:paraId="28F17D74" w14:textId="3B139808" w:rsidR="00AE15A6" w:rsidRPr="008C5F1C" w:rsidRDefault="00F947B3" w:rsidP="00AE15A6">
            <w:pPr>
              <w:jc w:val="right"/>
              <w:rPr>
                <w:rFonts w:ascii="Times New Roman" w:hAnsi="Times New Roman" w:cs="Times New Roman"/>
                <w:b/>
                <w:iCs/>
              </w:rPr>
            </w:pPr>
            <w:r w:rsidRPr="008C5F1C">
              <w:rPr>
                <w:rFonts w:ascii="Times New Roman" w:hAnsi="Times New Roman" w:cs="Times New Roman"/>
                <w:b/>
                <w:iCs/>
              </w:rPr>
              <w:t>15.313.902</w:t>
            </w:r>
          </w:p>
        </w:tc>
      </w:tr>
    </w:tbl>
    <w:p w14:paraId="34744567" w14:textId="77777777" w:rsidR="00653571" w:rsidRPr="008C5F1C" w:rsidRDefault="00653571" w:rsidP="00653571">
      <w:pPr>
        <w:rPr>
          <w:rFonts w:ascii="Times New Roman" w:hAnsi="Times New Roman" w:cs="Times New Roman"/>
          <w:b/>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2486"/>
        <w:gridCol w:w="1053"/>
        <w:gridCol w:w="591"/>
        <w:gridCol w:w="1053"/>
        <w:gridCol w:w="531"/>
      </w:tblGrid>
      <w:tr w:rsidR="00653571" w:rsidRPr="008C5F1C" w14:paraId="241BB971" w14:textId="77777777" w:rsidTr="00534127">
        <w:tc>
          <w:tcPr>
            <w:tcW w:w="8697" w:type="dxa"/>
            <w:gridSpan w:val="7"/>
            <w:tcBorders>
              <w:top w:val="single" w:sz="4" w:space="0" w:color="auto"/>
              <w:left w:val="single" w:sz="4" w:space="0" w:color="auto"/>
              <w:bottom w:val="single" w:sz="4" w:space="0" w:color="auto"/>
              <w:right w:val="single" w:sz="4" w:space="0" w:color="auto"/>
            </w:tcBorders>
            <w:hideMark/>
          </w:tcPr>
          <w:p w14:paraId="6B973D68"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lastRenderedPageBreak/>
              <w:t xml:space="preserve">Table 6: </w:t>
            </w:r>
            <w:proofErr w:type="spellStart"/>
            <w:r w:rsidRPr="008C5F1C">
              <w:rPr>
                <w:rFonts w:ascii="Times New Roman" w:hAnsi="Times New Roman" w:cs="Times New Roman"/>
                <w:b/>
                <w:iCs/>
              </w:rPr>
              <w:t>Dimension</w:t>
            </w:r>
            <w:proofErr w:type="spellEnd"/>
            <w:r w:rsidRPr="008C5F1C">
              <w:rPr>
                <w:rFonts w:ascii="Times New Roman" w:hAnsi="Times New Roman" w:cs="Times New Roman"/>
                <w:b/>
                <w:iCs/>
              </w:rPr>
              <w:t xml:space="preserve"> 3 – </w:t>
            </w:r>
            <w:proofErr w:type="spellStart"/>
            <w:r w:rsidRPr="008C5F1C">
              <w:rPr>
                <w:rFonts w:ascii="Times New Roman" w:hAnsi="Times New Roman" w:cs="Times New Roman"/>
                <w:b/>
                <w:iCs/>
              </w:rPr>
              <w:t>territorial</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delivery</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mechanism</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and</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territorial</w:t>
            </w:r>
            <w:proofErr w:type="spellEnd"/>
            <w:r w:rsidRPr="008C5F1C">
              <w:rPr>
                <w:rFonts w:ascii="Times New Roman" w:hAnsi="Times New Roman" w:cs="Times New Roman"/>
                <w:b/>
                <w:iCs/>
              </w:rPr>
              <w:t xml:space="preserve"> focus</w:t>
            </w:r>
          </w:p>
        </w:tc>
      </w:tr>
      <w:tr w:rsidR="00653571" w:rsidRPr="008C5F1C" w14:paraId="7B0DE612" w14:textId="77777777" w:rsidTr="00534127">
        <w:tc>
          <w:tcPr>
            <w:tcW w:w="1599" w:type="dxa"/>
            <w:tcBorders>
              <w:top w:val="single" w:sz="4" w:space="0" w:color="auto"/>
              <w:left w:val="single" w:sz="4" w:space="0" w:color="auto"/>
              <w:bottom w:val="single" w:sz="4" w:space="0" w:color="auto"/>
              <w:right w:val="single" w:sz="4" w:space="0" w:color="auto"/>
            </w:tcBorders>
            <w:hideMark/>
          </w:tcPr>
          <w:p w14:paraId="56A5E4DD"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Priority</w:t>
            </w:r>
            <w:proofErr w:type="spellEnd"/>
            <w:r w:rsidRPr="008C5F1C">
              <w:rPr>
                <w:rFonts w:ascii="Times New Roman" w:hAnsi="Times New Roman" w:cs="Times New Roman"/>
                <w:b/>
                <w:iCs/>
              </w:rPr>
              <w:t xml:space="preserve"> No</w:t>
            </w:r>
          </w:p>
        </w:tc>
        <w:tc>
          <w:tcPr>
            <w:tcW w:w="1384" w:type="dxa"/>
            <w:tcBorders>
              <w:top w:val="single" w:sz="4" w:space="0" w:color="auto"/>
              <w:left w:val="single" w:sz="4" w:space="0" w:color="auto"/>
              <w:bottom w:val="single" w:sz="4" w:space="0" w:color="auto"/>
              <w:right w:val="single" w:sz="4" w:space="0" w:color="auto"/>
            </w:tcBorders>
            <w:hideMark/>
          </w:tcPr>
          <w:p w14:paraId="3549D0B2"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Fund</w:t>
            </w:r>
          </w:p>
        </w:tc>
        <w:tc>
          <w:tcPr>
            <w:tcW w:w="2486" w:type="dxa"/>
            <w:tcBorders>
              <w:top w:val="single" w:sz="4" w:space="0" w:color="auto"/>
              <w:left w:val="single" w:sz="4" w:space="0" w:color="auto"/>
              <w:bottom w:val="single" w:sz="4" w:space="0" w:color="auto"/>
              <w:right w:val="single" w:sz="4" w:space="0" w:color="auto"/>
            </w:tcBorders>
            <w:hideMark/>
          </w:tcPr>
          <w:p w14:paraId="6BD81168"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Category</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region</w:t>
            </w:r>
            <w:proofErr w:type="spellEnd"/>
            <w:r w:rsidRPr="008C5F1C">
              <w:rPr>
                <w:rFonts w:ascii="Times New Roman" w:hAnsi="Times New Roman" w:cs="Times New Roman"/>
                <w:b/>
                <w:iCs/>
                <w:vertAlign w:val="superscript"/>
              </w:rPr>
              <w:footnoteReference w:id="60"/>
            </w:r>
          </w:p>
        </w:tc>
        <w:tc>
          <w:tcPr>
            <w:tcW w:w="1053" w:type="dxa"/>
            <w:tcBorders>
              <w:top w:val="single" w:sz="4" w:space="0" w:color="auto"/>
              <w:left w:val="single" w:sz="4" w:space="0" w:color="auto"/>
              <w:bottom w:val="single" w:sz="4" w:space="0" w:color="auto"/>
              <w:right w:val="single" w:sz="4" w:space="0" w:color="auto"/>
            </w:tcBorders>
            <w:hideMark/>
          </w:tcPr>
          <w:p w14:paraId="5B20AD54"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Code </w:t>
            </w:r>
          </w:p>
        </w:tc>
        <w:tc>
          <w:tcPr>
            <w:tcW w:w="2175" w:type="dxa"/>
            <w:gridSpan w:val="3"/>
            <w:tcBorders>
              <w:top w:val="single" w:sz="4" w:space="0" w:color="auto"/>
              <w:left w:val="single" w:sz="4" w:space="0" w:color="auto"/>
              <w:bottom w:val="single" w:sz="4" w:space="0" w:color="auto"/>
              <w:right w:val="single" w:sz="4" w:space="0" w:color="auto"/>
            </w:tcBorders>
            <w:hideMark/>
          </w:tcPr>
          <w:p w14:paraId="0FA654BF"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Amount</w:t>
            </w:r>
            <w:proofErr w:type="spellEnd"/>
            <w:r w:rsidRPr="008C5F1C">
              <w:rPr>
                <w:rFonts w:ascii="Times New Roman" w:hAnsi="Times New Roman" w:cs="Times New Roman"/>
                <w:b/>
                <w:iCs/>
              </w:rPr>
              <w:t xml:space="preserve"> (EUR)</w:t>
            </w:r>
          </w:p>
        </w:tc>
      </w:tr>
      <w:tr w:rsidR="00653571" w:rsidRPr="008C5F1C" w14:paraId="58B562D4" w14:textId="77777777" w:rsidTr="00534127">
        <w:tc>
          <w:tcPr>
            <w:tcW w:w="1599" w:type="dxa"/>
            <w:tcBorders>
              <w:top w:val="single" w:sz="4" w:space="0" w:color="auto"/>
              <w:left w:val="single" w:sz="4" w:space="0" w:color="auto"/>
              <w:bottom w:val="single" w:sz="4" w:space="0" w:color="auto"/>
              <w:right w:val="single" w:sz="4" w:space="0" w:color="auto"/>
            </w:tcBorders>
          </w:tcPr>
          <w:p w14:paraId="5F4033B4" w14:textId="77777777" w:rsidR="00653571" w:rsidRPr="008C5F1C" w:rsidRDefault="00653571" w:rsidP="00534127">
            <w:pPr>
              <w:rPr>
                <w:rFonts w:ascii="Times New Roman" w:hAnsi="Times New Roman" w:cs="Times New Roman"/>
                <w:b/>
                <w:iCs/>
              </w:rPr>
            </w:pPr>
          </w:p>
        </w:tc>
        <w:tc>
          <w:tcPr>
            <w:tcW w:w="1384" w:type="dxa"/>
            <w:tcBorders>
              <w:top w:val="single" w:sz="4" w:space="0" w:color="auto"/>
              <w:left w:val="single" w:sz="4" w:space="0" w:color="auto"/>
              <w:bottom w:val="single" w:sz="4" w:space="0" w:color="auto"/>
              <w:right w:val="single" w:sz="4" w:space="0" w:color="auto"/>
            </w:tcBorders>
          </w:tcPr>
          <w:p w14:paraId="3D0C6146" w14:textId="77777777" w:rsidR="00653571" w:rsidRPr="008C5F1C" w:rsidRDefault="00653571" w:rsidP="00534127">
            <w:pPr>
              <w:rPr>
                <w:rFonts w:ascii="Times New Roman" w:hAnsi="Times New Roman" w:cs="Times New Roman"/>
                <w:b/>
                <w:iCs/>
              </w:rPr>
            </w:pPr>
          </w:p>
        </w:tc>
        <w:tc>
          <w:tcPr>
            <w:tcW w:w="2486" w:type="dxa"/>
            <w:tcBorders>
              <w:top w:val="single" w:sz="4" w:space="0" w:color="auto"/>
              <w:left w:val="single" w:sz="4" w:space="0" w:color="auto"/>
              <w:bottom w:val="single" w:sz="4" w:space="0" w:color="auto"/>
              <w:right w:val="single" w:sz="4" w:space="0" w:color="auto"/>
            </w:tcBorders>
          </w:tcPr>
          <w:p w14:paraId="1EFC8EF3" w14:textId="77777777" w:rsidR="00653571" w:rsidRPr="008C5F1C" w:rsidRDefault="00653571" w:rsidP="00534127">
            <w:pPr>
              <w:rPr>
                <w:rFonts w:ascii="Times New Roman" w:hAnsi="Times New Roman" w:cs="Times New Roman"/>
                <w:b/>
                <w:iCs/>
              </w:rPr>
            </w:pPr>
          </w:p>
        </w:tc>
        <w:tc>
          <w:tcPr>
            <w:tcW w:w="1644" w:type="dxa"/>
            <w:gridSpan w:val="2"/>
            <w:tcBorders>
              <w:top w:val="single" w:sz="4" w:space="0" w:color="auto"/>
              <w:left w:val="single" w:sz="4" w:space="0" w:color="auto"/>
              <w:bottom w:val="single" w:sz="4" w:space="0" w:color="auto"/>
              <w:right w:val="single" w:sz="4" w:space="0" w:color="auto"/>
            </w:tcBorders>
          </w:tcPr>
          <w:p w14:paraId="5A04D5EB" w14:textId="77777777" w:rsidR="00653571" w:rsidRPr="008C5F1C" w:rsidRDefault="00653571" w:rsidP="00534127">
            <w:pPr>
              <w:rPr>
                <w:rFonts w:ascii="Times New Roman" w:hAnsi="Times New Roman" w:cs="Times New Roman"/>
                <w:b/>
                <w:iCs/>
              </w:rPr>
            </w:pPr>
          </w:p>
        </w:tc>
        <w:tc>
          <w:tcPr>
            <w:tcW w:w="1053" w:type="dxa"/>
            <w:tcBorders>
              <w:top w:val="single" w:sz="4" w:space="0" w:color="auto"/>
              <w:left w:val="single" w:sz="4" w:space="0" w:color="auto"/>
              <w:bottom w:val="single" w:sz="4" w:space="0" w:color="auto"/>
              <w:right w:val="single" w:sz="4" w:space="0" w:color="auto"/>
            </w:tcBorders>
          </w:tcPr>
          <w:p w14:paraId="068F89D1" w14:textId="77777777" w:rsidR="00653571" w:rsidRPr="008C5F1C" w:rsidRDefault="00653571" w:rsidP="00534127">
            <w:pPr>
              <w:rPr>
                <w:rFonts w:ascii="Times New Roman" w:hAnsi="Times New Roman" w:cs="Times New Roman"/>
                <w:b/>
                <w:iCs/>
              </w:rPr>
            </w:pPr>
          </w:p>
        </w:tc>
        <w:tc>
          <w:tcPr>
            <w:tcW w:w="531" w:type="dxa"/>
            <w:tcBorders>
              <w:top w:val="single" w:sz="4" w:space="0" w:color="auto"/>
              <w:left w:val="single" w:sz="4" w:space="0" w:color="auto"/>
              <w:bottom w:val="single" w:sz="4" w:space="0" w:color="auto"/>
              <w:right w:val="single" w:sz="4" w:space="0" w:color="auto"/>
            </w:tcBorders>
          </w:tcPr>
          <w:p w14:paraId="4BA6CA8D" w14:textId="77777777" w:rsidR="00653571" w:rsidRPr="008C5F1C" w:rsidRDefault="00653571" w:rsidP="00534127">
            <w:pPr>
              <w:rPr>
                <w:rFonts w:ascii="Times New Roman" w:hAnsi="Times New Roman" w:cs="Times New Roman"/>
                <w:b/>
                <w:iCs/>
              </w:rPr>
            </w:pPr>
          </w:p>
        </w:tc>
      </w:tr>
    </w:tbl>
    <w:p w14:paraId="419D5687" w14:textId="77777777" w:rsidR="00653571" w:rsidRPr="008C5F1C" w:rsidRDefault="00653571" w:rsidP="00653571">
      <w:pPr>
        <w:rPr>
          <w:rFonts w:ascii="Times New Roman" w:hAnsi="Times New Roman" w:cs="Times New Roman"/>
          <w:b/>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2486"/>
        <w:gridCol w:w="1053"/>
        <w:gridCol w:w="2175"/>
      </w:tblGrid>
      <w:tr w:rsidR="00653571" w:rsidRPr="008C5F1C" w14:paraId="3490AC87" w14:textId="77777777" w:rsidTr="00534127">
        <w:tc>
          <w:tcPr>
            <w:tcW w:w="8697" w:type="dxa"/>
            <w:gridSpan w:val="5"/>
            <w:tcBorders>
              <w:top w:val="single" w:sz="4" w:space="0" w:color="auto"/>
              <w:left w:val="single" w:sz="4" w:space="0" w:color="auto"/>
              <w:bottom w:val="single" w:sz="4" w:space="0" w:color="auto"/>
              <w:right w:val="single" w:sz="4" w:space="0" w:color="auto"/>
            </w:tcBorders>
            <w:hideMark/>
          </w:tcPr>
          <w:p w14:paraId="4C0D4804"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Table 7: </w:t>
            </w:r>
            <w:proofErr w:type="spellStart"/>
            <w:r w:rsidRPr="008C5F1C">
              <w:rPr>
                <w:rFonts w:ascii="Times New Roman" w:hAnsi="Times New Roman" w:cs="Times New Roman"/>
                <w:b/>
                <w:iCs/>
              </w:rPr>
              <w:t>Dimension</w:t>
            </w:r>
            <w:proofErr w:type="spellEnd"/>
            <w:r w:rsidRPr="008C5F1C">
              <w:rPr>
                <w:rFonts w:ascii="Times New Roman" w:hAnsi="Times New Roman" w:cs="Times New Roman"/>
                <w:b/>
                <w:iCs/>
              </w:rPr>
              <w:t xml:space="preserve"> 6 – ESF+ </w:t>
            </w:r>
            <w:proofErr w:type="spellStart"/>
            <w:r w:rsidRPr="008C5F1C">
              <w:rPr>
                <w:rFonts w:ascii="Times New Roman" w:hAnsi="Times New Roman" w:cs="Times New Roman"/>
                <w:b/>
                <w:iCs/>
              </w:rPr>
              <w:t>secondary</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themes</w:t>
            </w:r>
            <w:proofErr w:type="spellEnd"/>
          </w:p>
        </w:tc>
      </w:tr>
      <w:tr w:rsidR="00653571" w:rsidRPr="008C5F1C" w14:paraId="52BAC618" w14:textId="77777777" w:rsidTr="00534127">
        <w:tc>
          <w:tcPr>
            <w:tcW w:w="1599" w:type="dxa"/>
            <w:tcBorders>
              <w:top w:val="single" w:sz="4" w:space="0" w:color="auto"/>
              <w:left w:val="single" w:sz="4" w:space="0" w:color="auto"/>
              <w:bottom w:val="single" w:sz="4" w:space="0" w:color="auto"/>
              <w:right w:val="single" w:sz="4" w:space="0" w:color="auto"/>
            </w:tcBorders>
            <w:hideMark/>
          </w:tcPr>
          <w:p w14:paraId="2D37802D"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Priority</w:t>
            </w:r>
            <w:proofErr w:type="spellEnd"/>
            <w:r w:rsidRPr="008C5F1C">
              <w:rPr>
                <w:rFonts w:ascii="Times New Roman" w:hAnsi="Times New Roman" w:cs="Times New Roman"/>
                <w:b/>
                <w:iCs/>
              </w:rPr>
              <w:t xml:space="preserve"> No</w:t>
            </w:r>
          </w:p>
        </w:tc>
        <w:tc>
          <w:tcPr>
            <w:tcW w:w="1384" w:type="dxa"/>
            <w:tcBorders>
              <w:top w:val="single" w:sz="4" w:space="0" w:color="auto"/>
              <w:left w:val="single" w:sz="4" w:space="0" w:color="auto"/>
              <w:bottom w:val="single" w:sz="4" w:space="0" w:color="auto"/>
              <w:right w:val="single" w:sz="4" w:space="0" w:color="auto"/>
            </w:tcBorders>
            <w:hideMark/>
          </w:tcPr>
          <w:p w14:paraId="453CFC9D"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Fund</w:t>
            </w:r>
          </w:p>
        </w:tc>
        <w:tc>
          <w:tcPr>
            <w:tcW w:w="2486" w:type="dxa"/>
            <w:tcBorders>
              <w:top w:val="single" w:sz="4" w:space="0" w:color="auto"/>
              <w:left w:val="single" w:sz="4" w:space="0" w:color="auto"/>
              <w:bottom w:val="single" w:sz="4" w:space="0" w:color="auto"/>
              <w:right w:val="single" w:sz="4" w:space="0" w:color="auto"/>
            </w:tcBorders>
            <w:hideMark/>
          </w:tcPr>
          <w:p w14:paraId="4FB3EAB3"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Category</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region</w:t>
            </w:r>
            <w:proofErr w:type="spellEnd"/>
          </w:p>
        </w:tc>
        <w:tc>
          <w:tcPr>
            <w:tcW w:w="1053" w:type="dxa"/>
            <w:tcBorders>
              <w:top w:val="single" w:sz="4" w:space="0" w:color="auto"/>
              <w:left w:val="single" w:sz="4" w:space="0" w:color="auto"/>
              <w:bottom w:val="single" w:sz="4" w:space="0" w:color="auto"/>
              <w:right w:val="single" w:sz="4" w:space="0" w:color="auto"/>
            </w:tcBorders>
            <w:hideMark/>
          </w:tcPr>
          <w:p w14:paraId="443FC2CC"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Code </w:t>
            </w:r>
          </w:p>
        </w:tc>
        <w:tc>
          <w:tcPr>
            <w:tcW w:w="2175" w:type="dxa"/>
            <w:tcBorders>
              <w:top w:val="single" w:sz="4" w:space="0" w:color="auto"/>
              <w:left w:val="single" w:sz="4" w:space="0" w:color="auto"/>
              <w:bottom w:val="single" w:sz="4" w:space="0" w:color="auto"/>
              <w:right w:val="single" w:sz="4" w:space="0" w:color="auto"/>
            </w:tcBorders>
            <w:hideMark/>
          </w:tcPr>
          <w:p w14:paraId="5D20E9EB"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Amount</w:t>
            </w:r>
            <w:proofErr w:type="spellEnd"/>
            <w:r w:rsidRPr="008C5F1C">
              <w:rPr>
                <w:rFonts w:ascii="Times New Roman" w:hAnsi="Times New Roman" w:cs="Times New Roman"/>
                <w:b/>
                <w:iCs/>
              </w:rPr>
              <w:t xml:space="preserve"> (EUR)</w:t>
            </w:r>
          </w:p>
        </w:tc>
      </w:tr>
      <w:tr w:rsidR="00653571" w:rsidRPr="008C5F1C" w14:paraId="1357D444" w14:textId="77777777" w:rsidTr="00534127">
        <w:tc>
          <w:tcPr>
            <w:tcW w:w="1599" w:type="dxa"/>
            <w:tcBorders>
              <w:top w:val="single" w:sz="4" w:space="0" w:color="auto"/>
              <w:left w:val="single" w:sz="4" w:space="0" w:color="auto"/>
              <w:bottom w:val="single" w:sz="4" w:space="0" w:color="auto"/>
              <w:right w:val="single" w:sz="4" w:space="0" w:color="auto"/>
            </w:tcBorders>
          </w:tcPr>
          <w:p w14:paraId="624E6BDF" w14:textId="77777777" w:rsidR="00653571" w:rsidRPr="008C5F1C" w:rsidRDefault="00653571" w:rsidP="00534127">
            <w:pPr>
              <w:rPr>
                <w:rFonts w:ascii="Times New Roman" w:hAnsi="Times New Roman" w:cs="Times New Roman"/>
                <w:b/>
                <w:iCs/>
              </w:rPr>
            </w:pPr>
          </w:p>
        </w:tc>
        <w:tc>
          <w:tcPr>
            <w:tcW w:w="1384" w:type="dxa"/>
            <w:tcBorders>
              <w:top w:val="single" w:sz="4" w:space="0" w:color="auto"/>
              <w:left w:val="single" w:sz="4" w:space="0" w:color="auto"/>
              <w:bottom w:val="single" w:sz="4" w:space="0" w:color="auto"/>
              <w:right w:val="single" w:sz="4" w:space="0" w:color="auto"/>
            </w:tcBorders>
          </w:tcPr>
          <w:p w14:paraId="758D2C17" w14:textId="77777777" w:rsidR="00653571" w:rsidRPr="008C5F1C" w:rsidRDefault="00653571" w:rsidP="00534127">
            <w:pPr>
              <w:rPr>
                <w:rFonts w:ascii="Times New Roman" w:hAnsi="Times New Roman" w:cs="Times New Roman"/>
                <w:b/>
                <w:iCs/>
              </w:rPr>
            </w:pPr>
          </w:p>
        </w:tc>
        <w:tc>
          <w:tcPr>
            <w:tcW w:w="2486" w:type="dxa"/>
            <w:tcBorders>
              <w:top w:val="single" w:sz="4" w:space="0" w:color="auto"/>
              <w:left w:val="single" w:sz="4" w:space="0" w:color="auto"/>
              <w:bottom w:val="single" w:sz="4" w:space="0" w:color="auto"/>
              <w:right w:val="single" w:sz="4" w:space="0" w:color="auto"/>
            </w:tcBorders>
          </w:tcPr>
          <w:p w14:paraId="43E165A4" w14:textId="77777777" w:rsidR="00653571" w:rsidRPr="008C5F1C" w:rsidRDefault="00653571" w:rsidP="00534127">
            <w:pPr>
              <w:rPr>
                <w:rFonts w:ascii="Times New Roman" w:hAnsi="Times New Roman" w:cs="Times New Roman"/>
                <w:b/>
                <w:iCs/>
              </w:rPr>
            </w:pPr>
          </w:p>
        </w:tc>
        <w:tc>
          <w:tcPr>
            <w:tcW w:w="1053" w:type="dxa"/>
            <w:tcBorders>
              <w:top w:val="single" w:sz="4" w:space="0" w:color="auto"/>
              <w:left w:val="single" w:sz="4" w:space="0" w:color="auto"/>
              <w:bottom w:val="single" w:sz="4" w:space="0" w:color="auto"/>
              <w:right w:val="single" w:sz="4" w:space="0" w:color="auto"/>
            </w:tcBorders>
          </w:tcPr>
          <w:p w14:paraId="39052503" w14:textId="77777777" w:rsidR="00653571" w:rsidRPr="008C5F1C" w:rsidRDefault="00653571" w:rsidP="00534127">
            <w:pPr>
              <w:rPr>
                <w:rFonts w:ascii="Times New Roman" w:hAnsi="Times New Roman" w:cs="Times New Roman"/>
                <w:b/>
                <w:iCs/>
              </w:rPr>
            </w:pPr>
          </w:p>
        </w:tc>
        <w:tc>
          <w:tcPr>
            <w:tcW w:w="2175" w:type="dxa"/>
            <w:tcBorders>
              <w:top w:val="single" w:sz="4" w:space="0" w:color="auto"/>
              <w:left w:val="single" w:sz="4" w:space="0" w:color="auto"/>
              <w:bottom w:val="single" w:sz="4" w:space="0" w:color="auto"/>
              <w:right w:val="single" w:sz="4" w:space="0" w:color="auto"/>
            </w:tcBorders>
          </w:tcPr>
          <w:p w14:paraId="1569B52A" w14:textId="77777777" w:rsidR="00653571" w:rsidRPr="008C5F1C" w:rsidRDefault="00653571" w:rsidP="00534127">
            <w:pPr>
              <w:rPr>
                <w:rFonts w:ascii="Times New Roman" w:hAnsi="Times New Roman" w:cs="Times New Roman"/>
                <w:b/>
                <w:iCs/>
              </w:rPr>
            </w:pPr>
          </w:p>
        </w:tc>
      </w:tr>
    </w:tbl>
    <w:p w14:paraId="2B76FD89" w14:textId="77777777" w:rsidR="00653571" w:rsidRPr="008C5F1C" w:rsidRDefault="00653571" w:rsidP="00653571">
      <w:pPr>
        <w:tabs>
          <w:tab w:val="left" w:pos="3150"/>
        </w:tabs>
        <w:rPr>
          <w:rFonts w:ascii="Times New Roman" w:hAnsi="Times New Roman" w:cs="Times New Roman"/>
        </w:rPr>
      </w:pPr>
    </w:p>
    <w:p w14:paraId="0EE93987" w14:textId="77777777" w:rsidR="00653571" w:rsidRPr="008C5F1C" w:rsidRDefault="00653571" w:rsidP="00653571">
      <w:pPr>
        <w:pStyle w:val="Heading3"/>
        <w:numPr>
          <w:ilvl w:val="0"/>
          <w:numId w:val="0"/>
        </w:numPr>
        <w:shd w:val="clear" w:color="auto" w:fill="B4C6E7" w:themeFill="accent1" w:themeFillTint="66"/>
        <w:rPr>
          <w:rFonts w:cs="Times New Roman"/>
          <w:noProof/>
          <w:lang w:val="ro-RO"/>
        </w:rPr>
      </w:pPr>
      <w:bookmarkStart w:id="124" w:name="_Toc39840943"/>
      <w:r w:rsidRPr="008C5F1C">
        <w:rPr>
          <w:rFonts w:cs="Times New Roman"/>
          <w:noProof/>
          <w:lang w:val="ro-RO"/>
        </w:rPr>
        <w:t>2.A.3 OS d (ii) Îmbun</w:t>
      </w:r>
      <w:r w:rsidR="00BA7827" w:rsidRPr="008C5F1C">
        <w:rPr>
          <w:rFonts w:cs="Times New Roman"/>
          <w:noProof/>
          <w:lang w:val="ro-RO"/>
        </w:rPr>
        <w:t>ă</w:t>
      </w:r>
      <w:r w:rsidRPr="008C5F1C">
        <w:rPr>
          <w:rFonts w:cs="Times New Roman"/>
          <w:noProof/>
          <w:lang w:val="ro-RO"/>
        </w:rPr>
        <w:t>t</w:t>
      </w:r>
      <w:r w:rsidR="00BA7827" w:rsidRPr="008C5F1C">
        <w:rPr>
          <w:rFonts w:cs="Times New Roman"/>
          <w:noProof/>
          <w:lang w:val="ro-RO"/>
        </w:rPr>
        <w:t>ă</w:t>
      </w:r>
      <w:r w:rsidR="00E22FF2" w:rsidRPr="008C5F1C">
        <w:rPr>
          <w:rFonts w:cs="Times New Roman"/>
          <w:noProof/>
          <w:lang w:val="ro-RO"/>
        </w:rPr>
        <w:t>ț</w:t>
      </w:r>
      <w:r w:rsidRPr="008C5F1C">
        <w:rPr>
          <w:rFonts w:cs="Times New Roman"/>
          <w:noProof/>
          <w:lang w:val="ro-RO"/>
        </w:rPr>
        <w:t xml:space="preserve">irea accesului la servicii de calitate </w:t>
      </w:r>
      <w:r w:rsidR="00106240" w:rsidRPr="008C5F1C">
        <w:rPr>
          <w:rFonts w:cs="Times New Roman"/>
          <w:noProof/>
          <w:lang w:val="ro-RO"/>
        </w:rPr>
        <w:t>ș</w:t>
      </w:r>
      <w:r w:rsidRPr="008C5F1C">
        <w:rPr>
          <w:rFonts w:cs="Times New Roman"/>
          <w:noProof/>
          <w:lang w:val="ro-RO"/>
        </w:rPr>
        <w:t>i favorabile incluziunii în educa</w:t>
      </w:r>
      <w:r w:rsidR="00E22FF2" w:rsidRPr="008C5F1C">
        <w:rPr>
          <w:rFonts w:cs="Times New Roman"/>
          <w:noProof/>
          <w:lang w:val="ro-RO"/>
        </w:rPr>
        <w:t>ț</w:t>
      </w:r>
      <w:r w:rsidRPr="008C5F1C">
        <w:rPr>
          <w:rFonts w:cs="Times New Roman"/>
          <w:noProof/>
          <w:lang w:val="ro-RO"/>
        </w:rPr>
        <w:t xml:space="preserve">ie, formare </w:t>
      </w:r>
      <w:r w:rsidR="00106240" w:rsidRPr="008C5F1C">
        <w:rPr>
          <w:rFonts w:cs="Times New Roman"/>
          <w:noProof/>
          <w:lang w:val="ro-RO"/>
        </w:rPr>
        <w:t>ș</w:t>
      </w:r>
      <w:r w:rsidRPr="008C5F1C">
        <w:rPr>
          <w:rFonts w:cs="Times New Roman"/>
          <w:noProof/>
          <w:lang w:val="ro-RO"/>
        </w:rPr>
        <w:t>i înv</w:t>
      </w:r>
      <w:r w:rsidR="00BA7827" w:rsidRPr="008C5F1C">
        <w:rPr>
          <w:rFonts w:cs="Times New Roman"/>
          <w:noProof/>
          <w:lang w:val="ro-RO"/>
        </w:rPr>
        <w:t>ă</w:t>
      </w:r>
      <w:r w:rsidR="00E22FF2" w:rsidRPr="008C5F1C">
        <w:rPr>
          <w:rFonts w:cs="Times New Roman"/>
          <w:noProof/>
          <w:lang w:val="ro-RO"/>
        </w:rPr>
        <w:t>ț</w:t>
      </w:r>
      <w:r w:rsidRPr="008C5F1C">
        <w:rPr>
          <w:rFonts w:cs="Times New Roman"/>
          <w:noProof/>
          <w:lang w:val="ro-RO"/>
        </w:rPr>
        <w:t>area pe tot parcursul vie</w:t>
      </w:r>
      <w:r w:rsidR="00E22FF2" w:rsidRPr="008C5F1C">
        <w:rPr>
          <w:rFonts w:cs="Times New Roman"/>
          <w:noProof/>
          <w:lang w:val="ro-RO"/>
        </w:rPr>
        <w:t>ț</w:t>
      </w:r>
      <w:r w:rsidRPr="008C5F1C">
        <w:rPr>
          <w:rFonts w:cs="Times New Roman"/>
          <w:noProof/>
          <w:lang w:val="ro-RO"/>
        </w:rPr>
        <w:t>ii prin dezvoltarea infrastructurii</w:t>
      </w:r>
      <w:bookmarkEnd w:id="124"/>
    </w:p>
    <w:p w14:paraId="2450B1D5" w14:textId="77777777" w:rsidR="00653571" w:rsidRPr="008C5F1C" w:rsidRDefault="00653571" w:rsidP="00653571">
      <w:pPr>
        <w:pStyle w:val="Heading4"/>
        <w:numPr>
          <w:ilvl w:val="0"/>
          <w:numId w:val="0"/>
        </w:numPr>
        <w:ind w:left="851" w:hanging="851"/>
        <w:rPr>
          <w:rFonts w:cs="Times New Roman"/>
          <w:b/>
          <w:bCs/>
          <w:lang w:val="ro-RO"/>
        </w:rPr>
      </w:pPr>
      <w:r w:rsidRPr="008C5F1C">
        <w:rPr>
          <w:rFonts w:cs="Times New Roman"/>
          <w:b/>
          <w:bCs/>
          <w:lang w:val="ro-RO"/>
        </w:rPr>
        <w:t xml:space="preserve">2.A.3.1 </w:t>
      </w:r>
      <w:proofErr w:type="spellStart"/>
      <w:r w:rsidRPr="008C5F1C">
        <w:rPr>
          <w:rFonts w:cs="Times New Roman"/>
          <w:b/>
          <w:bCs/>
          <w:lang w:val="ro-RO"/>
        </w:rPr>
        <w:t>Interventions</w:t>
      </w:r>
      <w:proofErr w:type="spellEnd"/>
      <w:r w:rsidRPr="008C5F1C">
        <w:rPr>
          <w:rFonts w:cs="Times New Roman"/>
          <w:b/>
          <w:bCs/>
          <w:lang w:val="ro-RO"/>
        </w:rPr>
        <w:t xml:space="preserve"> of </w:t>
      </w:r>
      <w:proofErr w:type="spellStart"/>
      <w:r w:rsidRPr="008C5F1C">
        <w:rPr>
          <w:rFonts w:cs="Times New Roman"/>
          <w:b/>
          <w:bCs/>
          <w:lang w:val="ro-RO"/>
        </w:rPr>
        <w:t>the</w:t>
      </w:r>
      <w:proofErr w:type="spellEnd"/>
      <w:r w:rsidRPr="008C5F1C">
        <w:rPr>
          <w:rFonts w:cs="Times New Roman"/>
          <w:b/>
          <w:bCs/>
          <w:lang w:val="ro-RO"/>
        </w:rPr>
        <w:t xml:space="preserve"> </w:t>
      </w:r>
      <w:proofErr w:type="spellStart"/>
      <w:r w:rsidRPr="008C5F1C">
        <w:rPr>
          <w:rFonts w:cs="Times New Roman"/>
          <w:b/>
          <w:bCs/>
          <w:lang w:val="ro-RO"/>
        </w:rPr>
        <w:t>Funds</w:t>
      </w:r>
      <w:proofErr w:type="spellEnd"/>
    </w:p>
    <w:p w14:paraId="46C2FE49" w14:textId="77777777" w:rsidR="00653571" w:rsidRPr="008C5F1C" w:rsidRDefault="00653571" w:rsidP="00653571">
      <w:pPr>
        <w:spacing w:before="120" w:after="120" w:line="360" w:lineRule="auto"/>
        <w:rPr>
          <w:rFonts w:ascii="Times New Roman" w:eastAsia="Times New Roman" w:hAnsi="Times New Roman" w:cs="Times New Roman"/>
          <w:i/>
          <w:noProof/>
          <w:sz w:val="24"/>
          <w:szCs w:val="24"/>
        </w:rPr>
      </w:pPr>
      <w:r w:rsidRPr="008C5F1C">
        <w:rPr>
          <w:rFonts w:ascii="Times New Roman" w:eastAsia="Times New Roman" w:hAnsi="Times New Roman" w:cs="Times New Roman"/>
          <w:i/>
          <w:noProof/>
          <w:sz w:val="24"/>
          <w:szCs w:val="24"/>
        </w:rPr>
        <w:t>Reference: Article 17(3)(d)(i),(iii),(iv),(v),(vi);</w:t>
      </w:r>
    </w:p>
    <w:p w14:paraId="41A2226B" w14:textId="77777777" w:rsidR="00653571" w:rsidRPr="008C5F1C" w:rsidRDefault="00653571" w:rsidP="00653571">
      <w:pPr>
        <w:bidi/>
        <w:spacing w:before="120" w:after="120" w:line="360" w:lineRule="auto"/>
        <w:jc w:val="right"/>
        <w:rPr>
          <w:rFonts w:ascii="Times New Roman" w:eastAsia="Times New Roman" w:hAnsi="Times New Roman" w:cs="Times New Roman"/>
          <w:b/>
          <w:bCs/>
          <w:i/>
          <w:iCs/>
          <w:noProof/>
          <w:sz w:val="24"/>
          <w:szCs w:val="24"/>
          <w:u w:val="single"/>
        </w:rPr>
      </w:pPr>
      <w:r w:rsidRPr="008C5F1C">
        <w:rPr>
          <w:rFonts w:ascii="Times New Roman" w:eastAsia="Times New Roman" w:hAnsi="Times New Roman" w:cs="Times New Roman"/>
          <w:i/>
          <w:noProof/>
          <w:sz w:val="24"/>
          <w:szCs w:val="24"/>
        </w:rPr>
        <w:t>The related types of actions – Article 17(3)(d)(i) CPR; Article 6(2) ESF+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653571" w:rsidRPr="008C5F1C" w14:paraId="12F17930" w14:textId="77777777" w:rsidTr="00534127">
        <w:tc>
          <w:tcPr>
            <w:tcW w:w="9288" w:type="dxa"/>
            <w:tcBorders>
              <w:top w:val="single" w:sz="4" w:space="0" w:color="auto"/>
              <w:left w:val="single" w:sz="4" w:space="0" w:color="auto"/>
              <w:bottom w:val="single" w:sz="4" w:space="0" w:color="auto"/>
              <w:right w:val="single" w:sz="4" w:space="0" w:color="auto"/>
            </w:tcBorders>
            <w:hideMark/>
          </w:tcPr>
          <w:p w14:paraId="040F2BEE" w14:textId="77777777" w:rsidR="00653571" w:rsidRPr="008C5F1C" w:rsidRDefault="00653571" w:rsidP="00534127">
            <w:pPr>
              <w:pStyle w:val="Default"/>
              <w:spacing w:after="120"/>
              <w:jc w:val="both"/>
              <w:rPr>
                <w:rFonts w:ascii="Times New Roman" w:hAnsi="Times New Roman" w:cs="Times New Roman"/>
                <w:bCs/>
                <w:color w:val="auto"/>
                <w:sz w:val="22"/>
                <w:szCs w:val="22"/>
                <w:lang w:val="ro-RO"/>
              </w:rPr>
            </w:pPr>
            <w:r w:rsidRPr="008C5F1C">
              <w:rPr>
                <w:rFonts w:ascii="Times New Roman" w:hAnsi="Times New Roman" w:cs="Times New Roman"/>
                <w:bCs/>
                <w:color w:val="auto"/>
                <w:sz w:val="22"/>
                <w:szCs w:val="22"/>
                <w:lang w:val="ro-RO"/>
              </w:rPr>
              <w:t>Analiza multidimensional</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a educa</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 xml:space="preserve">iei </w:t>
            </w:r>
            <w:r w:rsidR="00106240" w:rsidRPr="008C5F1C">
              <w:rPr>
                <w:rFonts w:ascii="Times New Roman" w:hAnsi="Times New Roman" w:cs="Times New Roman"/>
                <w:bCs/>
                <w:color w:val="auto"/>
                <w:sz w:val="22"/>
                <w:szCs w:val="22"/>
                <w:lang w:val="ro-RO"/>
              </w:rPr>
              <w:t>ș</w:t>
            </w:r>
            <w:r w:rsidRPr="008C5F1C">
              <w:rPr>
                <w:rFonts w:ascii="Times New Roman" w:hAnsi="Times New Roman" w:cs="Times New Roman"/>
                <w:bCs/>
                <w:color w:val="auto"/>
                <w:sz w:val="22"/>
                <w:szCs w:val="22"/>
                <w:lang w:val="ro-RO"/>
              </w:rPr>
              <w:t>i form</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rii profesionale din perspectiva utiliz</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rii datelor în luarea deciziilor strategice privind investi</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iile în infrastructur</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subliniaz</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nevoia semnificativ</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de a investi în infrastructura educa</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ional</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profund afectat</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de schimb</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rile demografice.</w:t>
            </w:r>
          </w:p>
          <w:p w14:paraId="551500C2" w14:textId="77777777" w:rsidR="00653571" w:rsidRPr="008C5F1C" w:rsidRDefault="00653571" w:rsidP="00534127">
            <w:pPr>
              <w:pStyle w:val="Default"/>
              <w:spacing w:after="120"/>
              <w:jc w:val="both"/>
              <w:rPr>
                <w:rFonts w:ascii="Times New Roman" w:hAnsi="Times New Roman" w:cs="Times New Roman"/>
                <w:bCs/>
                <w:color w:val="auto"/>
                <w:sz w:val="22"/>
                <w:szCs w:val="22"/>
                <w:lang w:val="ro-RO"/>
              </w:rPr>
            </w:pPr>
            <w:r w:rsidRPr="008C5F1C">
              <w:rPr>
                <w:rFonts w:ascii="Times New Roman" w:hAnsi="Times New Roman" w:cs="Times New Roman"/>
                <w:bCs/>
                <w:color w:val="auto"/>
                <w:sz w:val="22"/>
                <w:szCs w:val="22"/>
                <w:lang w:val="ro-RO"/>
              </w:rPr>
              <w:t>Analiza fundamentat</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pe datele din Sistemul Informatic Integrat al </w:t>
            </w:r>
            <w:r w:rsidR="000C29D6" w:rsidRPr="008C5F1C">
              <w:rPr>
                <w:rFonts w:ascii="Times New Roman" w:hAnsi="Times New Roman" w:cs="Times New Roman"/>
                <w:bCs/>
                <w:color w:val="auto"/>
                <w:sz w:val="22"/>
                <w:szCs w:val="22"/>
                <w:lang w:val="ro-RO"/>
              </w:rPr>
              <w:t>Înv</w:t>
            </w:r>
            <w:r w:rsidR="00BA7827" w:rsidRPr="008C5F1C">
              <w:rPr>
                <w:rFonts w:ascii="Times New Roman" w:hAnsi="Times New Roman" w:cs="Times New Roman"/>
                <w:bCs/>
                <w:color w:val="auto"/>
                <w:sz w:val="22"/>
                <w:szCs w:val="22"/>
                <w:lang w:val="ro-RO"/>
              </w:rPr>
              <w:t>ă</w:t>
            </w:r>
            <w:r w:rsidR="00E22FF2" w:rsidRPr="008C5F1C">
              <w:rPr>
                <w:rFonts w:ascii="Times New Roman" w:hAnsi="Times New Roman" w:cs="Times New Roman"/>
                <w:bCs/>
                <w:color w:val="auto"/>
                <w:sz w:val="22"/>
                <w:szCs w:val="22"/>
                <w:lang w:val="ro-RO"/>
              </w:rPr>
              <w:t>ț</w:t>
            </w:r>
            <w:r w:rsidR="00BA7827" w:rsidRPr="008C5F1C">
              <w:rPr>
                <w:rFonts w:ascii="Times New Roman" w:hAnsi="Times New Roman" w:cs="Times New Roman"/>
                <w:bCs/>
                <w:color w:val="auto"/>
                <w:sz w:val="22"/>
                <w:szCs w:val="22"/>
                <w:lang w:val="ro-RO"/>
              </w:rPr>
              <w:t>ă</w:t>
            </w:r>
            <w:r w:rsidR="000C29D6" w:rsidRPr="008C5F1C">
              <w:rPr>
                <w:rFonts w:ascii="Times New Roman" w:hAnsi="Times New Roman" w:cs="Times New Roman"/>
                <w:bCs/>
                <w:color w:val="auto"/>
                <w:sz w:val="22"/>
                <w:szCs w:val="22"/>
                <w:lang w:val="ro-RO"/>
              </w:rPr>
              <w:t>mântului</w:t>
            </w:r>
            <w:r w:rsidRPr="008C5F1C">
              <w:rPr>
                <w:rFonts w:ascii="Times New Roman" w:hAnsi="Times New Roman" w:cs="Times New Roman"/>
                <w:bCs/>
                <w:color w:val="auto"/>
                <w:sz w:val="22"/>
                <w:szCs w:val="22"/>
                <w:lang w:val="ro-RO"/>
              </w:rPr>
              <w:t xml:space="preserve"> din România, dar </w:t>
            </w:r>
            <w:r w:rsidR="00106240" w:rsidRPr="008C5F1C">
              <w:rPr>
                <w:rFonts w:ascii="Times New Roman" w:hAnsi="Times New Roman" w:cs="Times New Roman"/>
                <w:bCs/>
                <w:color w:val="auto"/>
                <w:sz w:val="22"/>
                <w:szCs w:val="22"/>
                <w:lang w:val="ro-RO"/>
              </w:rPr>
              <w:t>ș</w:t>
            </w:r>
            <w:r w:rsidRPr="008C5F1C">
              <w:rPr>
                <w:rFonts w:ascii="Times New Roman" w:hAnsi="Times New Roman" w:cs="Times New Roman"/>
                <w:bCs/>
                <w:color w:val="auto"/>
                <w:sz w:val="22"/>
                <w:szCs w:val="22"/>
                <w:lang w:val="ro-RO"/>
              </w:rPr>
              <w:t>i evalu</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rile de impact ale investi</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iilor în infrastructura educa</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ional</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prin POR 2007-2013 </w:t>
            </w:r>
            <w:r w:rsidR="00106240" w:rsidRPr="008C5F1C">
              <w:rPr>
                <w:rFonts w:ascii="Times New Roman" w:hAnsi="Times New Roman" w:cs="Times New Roman"/>
                <w:bCs/>
                <w:color w:val="auto"/>
                <w:sz w:val="22"/>
                <w:szCs w:val="22"/>
                <w:lang w:val="ro-RO"/>
              </w:rPr>
              <w:t>ș</w:t>
            </w:r>
            <w:r w:rsidRPr="008C5F1C">
              <w:rPr>
                <w:rFonts w:ascii="Times New Roman" w:hAnsi="Times New Roman" w:cs="Times New Roman"/>
                <w:bCs/>
                <w:color w:val="auto"/>
                <w:sz w:val="22"/>
                <w:szCs w:val="22"/>
                <w:lang w:val="ro-RO"/>
              </w:rPr>
              <w:t>i 2014-2020, eviden</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iaz</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diferen</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 xml:space="preserve">ele semnificative între urban-rural </w:t>
            </w:r>
            <w:r w:rsidR="00106240" w:rsidRPr="008C5F1C">
              <w:rPr>
                <w:rFonts w:ascii="Times New Roman" w:hAnsi="Times New Roman" w:cs="Times New Roman"/>
                <w:bCs/>
                <w:color w:val="auto"/>
                <w:sz w:val="22"/>
                <w:szCs w:val="22"/>
                <w:lang w:val="ro-RO"/>
              </w:rPr>
              <w:t>ș</w:t>
            </w:r>
            <w:r w:rsidRPr="008C5F1C">
              <w:rPr>
                <w:rFonts w:ascii="Times New Roman" w:hAnsi="Times New Roman" w:cs="Times New Roman"/>
                <w:bCs/>
                <w:color w:val="auto"/>
                <w:sz w:val="22"/>
                <w:szCs w:val="22"/>
                <w:lang w:val="ro-RO"/>
              </w:rPr>
              <w:t>i între nivelurile de înv</w:t>
            </w:r>
            <w:r w:rsidR="00BA7827" w:rsidRPr="008C5F1C">
              <w:rPr>
                <w:rFonts w:ascii="Times New Roman" w:hAnsi="Times New Roman" w:cs="Times New Roman"/>
                <w:bCs/>
                <w:color w:val="auto"/>
                <w:sz w:val="22"/>
                <w:szCs w:val="22"/>
                <w:lang w:val="ro-RO"/>
              </w:rPr>
              <w:t>ă</w:t>
            </w:r>
            <w:r w:rsidR="00E22FF2" w:rsidRPr="008C5F1C">
              <w:rPr>
                <w:rFonts w:ascii="Times New Roman" w:hAnsi="Times New Roman" w:cs="Times New Roman"/>
                <w:bCs/>
                <w:color w:val="auto"/>
                <w:sz w:val="22"/>
                <w:szCs w:val="22"/>
                <w:lang w:val="ro-RO"/>
              </w:rPr>
              <w:t>ț</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mânt, fapt ce conduce la ineficien</w:t>
            </w:r>
            <w:r w:rsidR="00E22FF2" w:rsidRPr="008C5F1C">
              <w:rPr>
                <w:rFonts w:ascii="Times New Roman" w:hAnsi="Times New Roman" w:cs="Times New Roman"/>
                <w:bCs/>
                <w:color w:val="auto"/>
                <w:sz w:val="22"/>
                <w:szCs w:val="22"/>
                <w:lang w:val="ro-RO"/>
              </w:rPr>
              <w:t>ț</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w:t>
            </w:r>
            <w:r w:rsidR="00106240" w:rsidRPr="008C5F1C">
              <w:rPr>
                <w:rFonts w:ascii="Times New Roman" w:hAnsi="Times New Roman" w:cs="Times New Roman"/>
                <w:bCs/>
                <w:color w:val="auto"/>
                <w:sz w:val="22"/>
                <w:szCs w:val="22"/>
                <w:lang w:val="ro-RO"/>
              </w:rPr>
              <w:t>ș</w:t>
            </w:r>
            <w:r w:rsidRPr="008C5F1C">
              <w:rPr>
                <w:rFonts w:ascii="Times New Roman" w:hAnsi="Times New Roman" w:cs="Times New Roman"/>
                <w:bCs/>
                <w:color w:val="auto"/>
                <w:sz w:val="22"/>
                <w:szCs w:val="22"/>
                <w:lang w:val="ro-RO"/>
              </w:rPr>
              <w:t>i inegalitate. Astfel, aproape 60% dintre unit</w:t>
            </w:r>
            <w:r w:rsidR="00BA7827" w:rsidRPr="008C5F1C">
              <w:rPr>
                <w:rFonts w:ascii="Times New Roman" w:hAnsi="Times New Roman" w:cs="Times New Roman"/>
                <w:bCs/>
                <w:color w:val="auto"/>
                <w:sz w:val="22"/>
                <w:szCs w:val="22"/>
                <w:lang w:val="ro-RO"/>
              </w:rPr>
              <w:t>ă</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ile de înv</w:t>
            </w:r>
            <w:r w:rsidR="00BA7827" w:rsidRPr="008C5F1C">
              <w:rPr>
                <w:rFonts w:ascii="Times New Roman" w:hAnsi="Times New Roman" w:cs="Times New Roman"/>
                <w:bCs/>
                <w:color w:val="auto"/>
                <w:sz w:val="22"/>
                <w:szCs w:val="22"/>
                <w:lang w:val="ro-RO"/>
              </w:rPr>
              <w:t>ă</w:t>
            </w:r>
            <w:r w:rsidR="00E22FF2" w:rsidRPr="008C5F1C">
              <w:rPr>
                <w:rFonts w:ascii="Times New Roman" w:hAnsi="Times New Roman" w:cs="Times New Roman"/>
                <w:bCs/>
                <w:color w:val="auto"/>
                <w:sz w:val="22"/>
                <w:szCs w:val="22"/>
                <w:lang w:val="ro-RO"/>
              </w:rPr>
              <w:t>ț</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mânt dispun de o capacitate extins</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deservind doar 34% din popula</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 xml:space="preserve">ia </w:t>
            </w:r>
            <w:r w:rsidR="00106240" w:rsidRPr="008C5F1C">
              <w:rPr>
                <w:rFonts w:ascii="Times New Roman" w:hAnsi="Times New Roman" w:cs="Times New Roman"/>
                <w:bCs/>
                <w:color w:val="auto"/>
                <w:sz w:val="22"/>
                <w:szCs w:val="22"/>
                <w:lang w:val="ro-RO"/>
              </w:rPr>
              <w:t>ș</w:t>
            </w:r>
            <w:r w:rsidRPr="008C5F1C">
              <w:rPr>
                <w:rFonts w:ascii="Times New Roman" w:hAnsi="Times New Roman" w:cs="Times New Roman"/>
                <w:bCs/>
                <w:color w:val="auto"/>
                <w:sz w:val="22"/>
                <w:szCs w:val="22"/>
                <w:lang w:val="ro-RO"/>
              </w:rPr>
              <w:t>colar</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total</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în timp ce, în cealalt</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extrem</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în special în marile centre urbane, 10% dintre unit</w:t>
            </w:r>
            <w:r w:rsidR="00BA7827" w:rsidRPr="008C5F1C">
              <w:rPr>
                <w:rFonts w:ascii="Times New Roman" w:hAnsi="Times New Roman" w:cs="Times New Roman"/>
                <w:bCs/>
                <w:color w:val="auto"/>
                <w:sz w:val="22"/>
                <w:szCs w:val="22"/>
                <w:lang w:val="ro-RO"/>
              </w:rPr>
              <w:t>ă</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ile de înv</w:t>
            </w:r>
            <w:r w:rsidR="00BA7827" w:rsidRPr="008C5F1C">
              <w:rPr>
                <w:rFonts w:ascii="Times New Roman" w:hAnsi="Times New Roman" w:cs="Times New Roman"/>
                <w:bCs/>
                <w:color w:val="auto"/>
                <w:sz w:val="22"/>
                <w:szCs w:val="22"/>
                <w:lang w:val="ro-RO"/>
              </w:rPr>
              <w:t>ă</w:t>
            </w:r>
            <w:r w:rsidR="00E22FF2" w:rsidRPr="008C5F1C">
              <w:rPr>
                <w:rFonts w:ascii="Times New Roman" w:hAnsi="Times New Roman" w:cs="Times New Roman"/>
                <w:bCs/>
                <w:color w:val="auto"/>
                <w:sz w:val="22"/>
                <w:szCs w:val="22"/>
                <w:lang w:val="ro-RO"/>
              </w:rPr>
              <w:t>ț</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mânt sunt supraaglomerate, deservind aproape un sfert din popula</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 xml:space="preserve">ia </w:t>
            </w:r>
            <w:r w:rsidR="00106240" w:rsidRPr="008C5F1C">
              <w:rPr>
                <w:rFonts w:ascii="Times New Roman" w:hAnsi="Times New Roman" w:cs="Times New Roman"/>
                <w:bCs/>
                <w:color w:val="auto"/>
                <w:sz w:val="22"/>
                <w:szCs w:val="22"/>
                <w:lang w:val="ro-RO"/>
              </w:rPr>
              <w:t>ș</w:t>
            </w:r>
            <w:r w:rsidRPr="008C5F1C">
              <w:rPr>
                <w:rFonts w:ascii="Times New Roman" w:hAnsi="Times New Roman" w:cs="Times New Roman"/>
                <w:bCs/>
                <w:color w:val="auto"/>
                <w:sz w:val="22"/>
                <w:szCs w:val="22"/>
                <w:lang w:val="ro-RO"/>
              </w:rPr>
              <w:t>colar</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total</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Fenomenul de supraaglomerare predomin</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în </w:t>
            </w:r>
            <w:r w:rsidR="00106240" w:rsidRPr="008C5F1C">
              <w:rPr>
                <w:rFonts w:ascii="Times New Roman" w:hAnsi="Times New Roman" w:cs="Times New Roman"/>
                <w:bCs/>
                <w:color w:val="auto"/>
                <w:sz w:val="22"/>
                <w:szCs w:val="22"/>
                <w:lang w:val="ro-RO"/>
              </w:rPr>
              <w:t>ș</w:t>
            </w:r>
            <w:r w:rsidRPr="008C5F1C">
              <w:rPr>
                <w:rFonts w:ascii="Times New Roman" w:hAnsi="Times New Roman" w:cs="Times New Roman"/>
                <w:bCs/>
                <w:color w:val="auto"/>
                <w:sz w:val="22"/>
                <w:szCs w:val="22"/>
                <w:lang w:val="ro-RO"/>
              </w:rPr>
              <w:t xml:space="preserve">colile secundare </w:t>
            </w:r>
            <w:r w:rsidR="00106240" w:rsidRPr="008C5F1C">
              <w:rPr>
                <w:rFonts w:ascii="Times New Roman" w:hAnsi="Times New Roman" w:cs="Times New Roman"/>
                <w:bCs/>
                <w:color w:val="auto"/>
                <w:sz w:val="22"/>
                <w:szCs w:val="22"/>
                <w:lang w:val="ro-RO"/>
              </w:rPr>
              <w:t>ș</w:t>
            </w:r>
            <w:r w:rsidRPr="008C5F1C">
              <w:rPr>
                <w:rFonts w:ascii="Times New Roman" w:hAnsi="Times New Roman" w:cs="Times New Roman"/>
                <w:bCs/>
                <w:color w:val="auto"/>
                <w:sz w:val="22"/>
                <w:szCs w:val="22"/>
                <w:lang w:val="ro-RO"/>
              </w:rPr>
              <w:t xml:space="preserve">i din mediul urban, 24% dintre elevii din mediul urban </w:t>
            </w:r>
            <w:r w:rsidR="00106240" w:rsidRPr="008C5F1C">
              <w:rPr>
                <w:rFonts w:ascii="Times New Roman" w:hAnsi="Times New Roman" w:cs="Times New Roman"/>
                <w:bCs/>
                <w:color w:val="auto"/>
                <w:sz w:val="22"/>
                <w:szCs w:val="22"/>
                <w:lang w:val="ro-RO"/>
              </w:rPr>
              <w:t>ș</w:t>
            </w:r>
            <w:r w:rsidRPr="008C5F1C">
              <w:rPr>
                <w:rFonts w:ascii="Times New Roman" w:hAnsi="Times New Roman" w:cs="Times New Roman"/>
                <w:bCs/>
                <w:color w:val="auto"/>
                <w:sz w:val="22"/>
                <w:szCs w:val="22"/>
                <w:lang w:val="ro-RO"/>
              </w:rPr>
              <w:t>i 23% dintre elevii din înv</w:t>
            </w:r>
            <w:r w:rsidR="00BA7827" w:rsidRPr="008C5F1C">
              <w:rPr>
                <w:rFonts w:ascii="Times New Roman" w:hAnsi="Times New Roman" w:cs="Times New Roman"/>
                <w:bCs/>
                <w:color w:val="auto"/>
                <w:sz w:val="22"/>
                <w:szCs w:val="22"/>
                <w:lang w:val="ro-RO"/>
              </w:rPr>
              <w:t>ă</w:t>
            </w:r>
            <w:r w:rsidR="00E22FF2" w:rsidRPr="008C5F1C">
              <w:rPr>
                <w:rFonts w:ascii="Times New Roman" w:hAnsi="Times New Roman" w:cs="Times New Roman"/>
                <w:bCs/>
                <w:color w:val="auto"/>
                <w:sz w:val="22"/>
                <w:szCs w:val="22"/>
                <w:lang w:val="ro-RO"/>
              </w:rPr>
              <w:t>ț</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mântul secundar fiind expu</w:t>
            </w:r>
            <w:r w:rsidR="00106240" w:rsidRPr="008C5F1C">
              <w:rPr>
                <w:rFonts w:ascii="Times New Roman" w:hAnsi="Times New Roman" w:cs="Times New Roman"/>
                <w:bCs/>
                <w:color w:val="auto"/>
                <w:sz w:val="22"/>
                <w:szCs w:val="22"/>
                <w:lang w:val="ro-RO"/>
              </w:rPr>
              <w:t>ș</w:t>
            </w:r>
            <w:r w:rsidRPr="008C5F1C">
              <w:rPr>
                <w:rFonts w:ascii="Times New Roman" w:hAnsi="Times New Roman" w:cs="Times New Roman"/>
                <w:bCs/>
                <w:color w:val="auto"/>
                <w:sz w:val="22"/>
                <w:szCs w:val="22"/>
                <w:lang w:val="ro-RO"/>
              </w:rPr>
              <w:t xml:space="preserve">i acestui fenomen. </w:t>
            </w:r>
          </w:p>
          <w:p w14:paraId="21CAEE44" w14:textId="77777777" w:rsidR="00653571" w:rsidRPr="008C5F1C" w:rsidRDefault="00653571" w:rsidP="00534127">
            <w:pPr>
              <w:pStyle w:val="Default"/>
              <w:spacing w:after="120"/>
              <w:jc w:val="both"/>
              <w:rPr>
                <w:rFonts w:ascii="Times New Roman" w:hAnsi="Times New Roman" w:cs="Times New Roman"/>
                <w:bCs/>
                <w:color w:val="auto"/>
                <w:sz w:val="22"/>
                <w:szCs w:val="22"/>
                <w:lang w:val="ro-RO"/>
              </w:rPr>
            </w:pPr>
            <w:r w:rsidRPr="008C5F1C">
              <w:rPr>
                <w:rFonts w:ascii="Times New Roman" w:hAnsi="Times New Roman" w:cs="Times New Roman"/>
                <w:bCs/>
                <w:color w:val="auto"/>
                <w:sz w:val="22"/>
                <w:szCs w:val="22"/>
                <w:lang w:val="ro-RO"/>
              </w:rPr>
              <w:t>Capacitatea insuficient</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a s</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lilor de clas</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ar putea conduce la cre</w:t>
            </w:r>
            <w:r w:rsidR="00106240" w:rsidRPr="008C5F1C">
              <w:rPr>
                <w:rFonts w:ascii="Times New Roman" w:hAnsi="Times New Roman" w:cs="Times New Roman"/>
                <w:bCs/>
                <w:color w:val="auto"/>
                <w:sz w:val="22"/>
                <w:szCs w:val="22"/>
                <w:lang w:val="ro-RO"/>
              </w:rPr>
              <w:t>ș</w:t>
            </w:r>
            <w:r w:rsidRPr="008C5F1C">
              <w:rPr>
                <w:rFonts w:ascii="Times New Roman" w:hAnsi="Times New Roman" w:cs="Times New Roman"/>
                <w:bCs/>
                <w:color w:val="auto"/>
                <w:sz w:val="22"/>
                <w:szCs w:val="22"/>
                <w:lang w:val="ro-RO"/>
              </w:rPr>
              <w:t>terea riscului de p</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r</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sire timpurie a </w:t>
            </w:r>
            <w:r w:rsidR="00106240" w:rsidRPr="008C5F1C">
              <w:rPr>
                <w:rFonts w:ascii="Times New Roman" w:hAnsi="Times New Roman" w:cs="Times New Roman"/>
                <w:bCs/>
                <w:color w:val="auto"/>
                <w:sz w:val="22"/>
                <w:szCs w:val="22"/>
                <w:lang w:val="ro-RO"/>
              </w:rPr>
              <w:t>ș</w:t>
            </w:r>
            <w:r w:rsidRPr="008C5F1C">
              <w:rPr>
                <w:rFonts w:ascii="Times New Roman" w:hAnsi="Times New Roman" w:cs="Times New Roman"/>
                <w:bCs/>
                <w:color w:val="auto"/>
                <w:sz w:val="22"/>
                <w:szCs w:val="22"/>
                <w:lang w:val="ro-RO"/>
              </w:rPr>
              <w:t>colii, adâncind probleme precum: repeten</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 xml:space="preserve">ia, adecvarea vârstei elevilor la nivelul clasei </w:t>
            </w:r>
            <w:r w:rsidR="00106240" w:rsidRPr="008C5F1C">
              <w:rPr>
                <w:rFonts w:ascii="Times New Roman" w:hAnsi="Times New Roman" w:cs="Times New Roman"/>
                <w:bCs/>
                <w:color w:val="auto"/>
                <w:sz w:val="22"/>
                <w:szCs w:val="22"/>
                <w:lang w:val="ro-RO"/>
              </w:rPr>
              <w:t>ș</w:t>
            </w:r>
            <w:r w:rsidRPr="008C5F1C">
              <w:rPr>
                <w:rFonts w:ascii="Times New Roman" w:hAnsi="Times New Roman" w:cs="Times New Roman"/>
                <w:bCs/>
                <w:color w:val="auto"/>
                <w:sz w:val="22"/>
                <w:szCs w:val="22"/>
                <w:lang w:val="ro-RO"/>
              </w:rPr>
              <w:t xml:space="preserve">i abandonul </w:t>
            </w:r>
            <w:r w:rsidR="00106240" w:rsidRPr="008C5F1C">
              <w:rPr>
                <w:rFonts w:ascii="Times New Roman" w:hAnsi="Times New Roman" w:cs="Times New Roman"/>
                <w:bCs/>
                <w:color w:val="auto"/>
                <w:sz w:val="22"/>
                <w:szCs w:val="22"/>
                <w:lang w:val="ro-RO"/>
              </w:rPr>
              <w:t>ș</w:t>
            </w:r>
            <w:r w:rsidRPr="008C5F1C">
              <w:rPr>
                <w:rFonts w:ascii="Times New Roman" w:hAnsi="Times New Roman" w:cs="Times New Roman"/>
                <w:bCs/>
                <w:color w:val="auto"/>
                <w:sz w:val="22"/>
                <w:szCs w:val="22"/>
                <w:lang w:val="ro-RO"/>
              </w:rPr>
              <w:t xml:space="preserve">colar. Studiile </w:t>
            </w:r>
            <w:r w:rsidR="00106240" w:rsidRPr="008C5F1C">
              <w:rPr>
                <w:rFonts w:ascii="Times New Roman" w:hAnsi="Times New Roman" w:cs="Times New Roman"/>
                <w:bCs/>
                <w:color w:val="auto"/>
                <w:sz w:val="22"/>
                <w:szCs w:val="22"/>
                <w:lang w:val="ro-RO"/>
              </w:rPr>
              <w:t>ș</w:t>
            </w:r>
            <w:r w:rsidRPr="008C5F1C">
              <w:rPr>
                <w:rFonts w:ascii="Times New Roman" w:hAnsi="Times New Roman" w:cs="Times New Roman"/>
                <w:bCs/>
                <w:color w:val="auto"/>
                <w:sz w:val="22"/>
                <w:szCs w:val="22"/>
                <w:lang w:val="ro-RO"/>
              </w:rPr>
              <w:t>i rapoartele din domeniu indic</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faptul c</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mediul de înv</w:t>
            </w:r>
            <w:r w:rsidR="00BA7827" w:rsidRPr="008C5F1C">
              <w:rPr>
                <w:rFonts w:ascii="Times New Roman" w:hAnsi="Times New Roman" w:cs="Times New Roman"/>
                <w:bCs/>
                <w:color w:val="auto"/>
                <w:sz w:val="22"/>
                <w:szCs w:val="22"/>
                <w:lang w:val="ro-RO"/>
              </w:rPr>
              <w:t>ă</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are este esen</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ial pentru siguran</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 xml:space="preserve">a elevilor </w:t>
            </w:r>
            <w:r w:rsidR="00106240" w:rsidRPr="008C5F1C">
              <w:rPr>
                <w:rFonts w:ascii="Times New Roman" w:hAnsi="Times New Roman" w:cs="Times New Roman"/>
                <w:bCs/>
                <w:color w:val="auto"/>
                <w:sz w:val="22"/>
                <w:szCs w:val="22"/>
                <w:lang w:val="ro-RO"/>
              </w:rPr>
              <w:t>ș</w:t>
            </w:r>
            <w:r w:rsidRPr="008C5F1C">
              <w:rPr>
                <w:rFonts w:ascii="Times New Roman" w:hAnsi="Times New Roman" w:cs="Times New Roman"/>
                <w:bCs/>
                <w:color w:val="auto"/>
                <w:sz w:val="22"/>
                <w:szCs w:val="22"/>
                <w:lang w:val="ro-RO"/>
              </w:rPr>
              <w:t xml:space="preserve">i confortul acestora </w:t>
            </w:r>
            <w:r w:rsidR="00106240" w:rsidRPr="008C5F1C">
              <w:rPr>
                <w:rFonts w:ascii="Times New Roman" w:hAnsi="Times New Roman" w:cs="Times New Roman"/>
                <w:bCs/>
                <w:color w:val="auto"/>
                <w:sz w:val="22"/>
                <w:szCs w:val="22"/>
                <w:lang w:val="ro-RO"/>
              </w:rPr>
              <w:t>ș</w:t>
            </w:r>
            <w:r w:rsidRPr="008C5F1C">
              <w:rPr>
                <w:rFonts w:ascii="Times New Roman" w:hAnsi="Times New Roman" w:cs="Times New Roman"/>
                <w:bCs/>
                <w:color w:val="auto"/>
                <w:sz w:val="22"/>
                <w:szCs w:val="22"/>
                <w:lang w:val="ro-RO"/>
              </w:rPr>
              <w:t>i c</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supra-</w:t>
            </w:r>
            <w:r w:rsidR="00575254" w:rsidRPr="008C5F1C">
              <w:rPr>
                <w:rFonts w:ascii="Times New Roman" w:hAnsi="Times New Roman" w:cs="Times New Roman"/>
                <w:bCs/>
                <w:color w:val="auto"/>
                <w:sz w:val="22"/>
                <w:szCs w:val="22"/>
                <w:lang w:val="ro-RO"/>
              </w:rPr>
              <w:t>a</w:t>
            </w:r>
            <w:r w:rsidRPr="008C5F1C">
              <w:rPr>
                <w:rFonts w:ascii="Times New Roman" w:hAnsi="Times New Roman" w:cs="Times New Roman"/>
                <w:bCs/>
                <w:color w:val="auto"/>
                <w:sz w:val="22"/>
                <w:szCs w:val="22"/>
                <w:lang w:val="ro-RO"/>
              </w:rPr>
              <w:t>glomerarea sau condi</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iile improprii afecteaz</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procesul de înv</w:t>
            </w:r>
            <w:r w:rsidR="00BA7827" w:rsidRPr="008C5F1C">
              <w:rPr>
                <w:rFonts w:ascii="Times New Roman" w:hAnsi="Times New Roman" w:cs="Times New Roman"/>
                <w:bCs/>
                <w:color w:val="auto"/>
                <w:sz w:val="22"/>
                <w:szCs w:val="22"/>
                <w:lang w:val="ro-RO"/>
              </w:rPr>
              <w:t>ă</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 xml:space="preserve">are. </w:t>
            </w:r>
          </w:p>
          <w:p w14:paraId="01236DBD" w14:textId="04A85538" w:rsidR="00653571" w:rsidRPr="008C5F1C" w:rsidRDefault="00653571" w:rsidP="00534127">
            <w:pPr>
              <w:pStyle w:val="Default"/>
              <w:spacing w:after="120"/>
              <w:jc w:val="both"/>
              <w:rPr>
                <w:rFonts w:ascii="Times New Roman" w:hAnsi="Times New Roman" w:cs="Times New Roman"/>
                <w:bCs/>
                <w:color w:val="auto"/>
                <w:sz w:val="22"/>
                <w:szCs w:val="22"/>
                <w:lang w:val="ro-RO"/>
              </w:rPr>
            </w:pPr>
            <w:r w:rsidRPr="008C5F1C">
              <w:rPr>
                <w:rFonts w:ascii="Times New Roman" w:hAnsi="Times New Roman" w:cs="Times New Roman"/>
                <w:bCs/>
                <w:color w:val="auto"/>
                <w:sz w:val="22"/>
                <w:szCs w:val="22"/>
                <w:lang w:val="ro-RO"/>
              </w:rPr>
              <w:t>Asigurarea bazei materiale minime (cl</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diri reabilitate/ modernizate, condi</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ii sanitare necesare pentru func</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ionare, dotarea cu echipamente, material didactic, etc) pentru desf</w:t>
            </w:r>
            <w:r w:rsidR="00BA7827" w:rsidRPr="008C5F1C">
              <w:rPr>
                <w:rFonts w:ascii="Times New Roman" w:hAnsi="Times New Roman" w:cs="Times New Roman"/>
                <w:bCs/>
                <w:color w:val="auto"/>
                <w:sz w:val="22"/>
                <w:szCs w:val="22"/>
                <w:lang w:val="ro-RO"/>
              </w:rPr>
              <w:t>ă</w:t>
            </w:r>
            <w:r w:rsidR="00106240" w:rsidRPr="008C5F1C">
              <w:rPr>
                <w:rFonts w:ascii="Times New Roman" w:hAnsi="Times New Roman" w:cs="Times New Roman"/>
                <w:bCs/>
                <w:color w:val="auto"/>
                <w:sz w:val="22"/>
                <w:szCs w:val="22"/>
                <w:lang w:val="ro-RO"/>
              </w:rPr>
              <w:t>ș</w:t>
            </w:r>
            <w:r w:rsidRPr="008C5F1C">
              <w:rPr>
                <w:rFonts w:ascii="Times New Roman" w:hAnsi="Times New Roman" w:cs="Times New Roman"/>
                <w:bCs/>
                <w:color w:val="auto"/>
                <w:sz w:val="22"/>
                <w:szCs w:val="22"/>
                <w:lang w:val="ro-RO"/>
              </w:rPr>
              <w:t>urarea actului educa</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ional sunt condi</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ii esen</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 xml:space="preserve">iale pentru </w:t>
            </w:r>
            <w:proofErr w:type="spellStart"/>
            <w:r w:rsidRPr="008C5F1C">
              <w:rPr>
                <w:rFonts w:ascii="Times New Roman" w:hAnsi="Times New Roman" w:cs="Times New Roman"/>
                <w:bCs/>
                <w:color w:val="auto"/>
                <w:sz w:val="22"/>
                <w:szCs w:val="22"/>
                <w:lang w:val="ro-RO"/>
              </w:rPr>
              <w:t>co</w:t>
            </w:r>
            <w:proofErr w:type="spellEnd"/>
            <w:r w:rsidRPr="008C5F1C">
              <w:rPr>
                <w:rFonts w:ascii="Times New Roman" w:hAnsi="Times New Roman" w:cs="Times New Roman"/>
                <w:bCs/>
                <w:color w:val="auto"/>
                <w:sz w:val="22"/>
                <w:szCs w:val="22"/>
                <w:lang w:val="ro-RO"/>
              </w:rPr>
              <w:t xml:space="preserve">-interesarea elevului, pentru descurajarea absenteismului </w:t>
            </w:r>
            <w:r w:rsidR="00106240" w:rsidRPr="008C5F1C">
              <w:rPr>
                <w:rFonts w:ascii="Times New Roman" w:hAnsi="Times New Roman" w:cs="Times New Roman"/>
                <w:bCs/>
                <w:color w:val="auto"/>
                <w:sz w:val="22"/>
                <w:szCs w:val="22"/>
                <w:lang w:val="ro-RO"/>
              </w:rPr>
              <w:t>ș</w:t>
            </w:r>
            <w:r w:rsidRPr="008C5F1C">
              <w:rPr>
                <w:rFonts w:ascii="Times New Roman" w:hAnsi="Times New Roman" w:cs="Times New Roman"/>
                <w:bCs/>
                <w:color w:val="auto"/>
                <w:sz w:val="22"/>
                <w:szCs w:val="22"/>
                <w:lang w:val="ro-RO"/>
              </w:rPr>
              <w:t>i reducerea fenomenului de abandon/p</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r</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sire timpurie a </w:t>
            </w:r>
            <w:r w:rsidR="00106240" w:rsidRPr="008C5F1C">
              <w:rPr>
                <w:rFonts w:ascii="Times New Roman" w:hAnsi="Times New Roman" w:cs="Times New Roman"/>
                <w:bCs/>
                <w:color w:val="auto"/>
                <w:sz w:val="22"/>
                <w:szCs w:val="22"/>
                <w:lang w:val="ro-RO"/>
              </w:rPr>
              <w:t>ș</w:t>
            </w:r>
            <w:r w:rsidRPr="008C5F1C">
              <w:rPr>
                <w:rFonts w:ascii="Times New Roman" w:hAnsi="Times New Roman" w:cs="Times New Roman"/>
                <w:bCs/>
                <w:color w:val="auto"/>
                <w:sz w:val="22"/>
                <w:szCs w:val="22"/>
                <w:lang w:val="ro-RO"/>
              </w:rPr>
              <w:t>colii, pentru cre</w:t>
            </w:r>
            <w:r w:rsidR="00106240" w:rsidRPr="008C5F1C">
              <w:rPr>
                <w:rFonts w:ascii="Times New Roman" w:hAnsi="Times New Roman" w:cs="Times New Roman"/>
                <w:bCs/>
                <w:color w:val="auto"/>
                <w:sz w:val="22"/>
                <w:szCs w:val="22"/>
                <w:lang w:val="ro-RO"/>
              </w:rPr>
              <w:t>ș</w:t>
            </w:r>
            <w:r w:rsidRPr="008C5F1C">
              <w:rPr>
                <w:rFonts w:ascii="Times New Roman" w:hAnsi="Times New Roman" w:cs="Times New Roman"/>
                <w:bCs/>
                <w:color w:val="auto"/>
                <w:sz w:val="22"/>
                <w:szCs w:val="22"/>
                <w:lang w:val="ro-RO"/>
              </w:rPr>
              <w:t xml:space="preserve">terea ratei de absolvire </w:t>
            </w:r>
            <w:r w:rsidR="00106240" w:rsidRPr="008C5F1C">
              <w:rPr>
                <w:rFonts w:ascii="Times New Roman" w:hAnsi="Times New Roman" w:cs="Times New Roman"/>
                <w:bCs/>
                <w:color w:val="auto"/>
                <w:sz w:val="22"/>
                <w:szCs w:val="22"/>
                <w:lang w:val="ro-RO"/>
              </w:rPr>
              <w:t>ș</w:t>
            </w:r>
            <w:r w:rsidRPr="008C5F1C">
              <w:rPr>
                <w:rFonts w:ascii="Times New Roman" w:hAnsi="Times New Roman" w:cs="Times New Roman"/>
                <w:bCs/>
                <w:color w:val="auto"/>
                <w:sz w:val="22"/>
                <w:szCs w:val="22"/>
                <w:lang w:val="ro-RO"/>
              </w:rPr>
              <w:t>i tranzi</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ie spre niveluri superioare de educa</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 xml:space="preserve">ie. </w:t>
            </w:r>
          </w:p>
          <w:p w14:paraId="2F9A3027" w14:textId="11D736DD" w:rsidR="009B6742" w:rsidRPr="008C5F1C" w:rsidRDefault="009B6742" w:rsidP="009B6742">
            <w:pPr>
              <w:pStyle w:val="Default"/>
              <w:spacing w:after="120"/>
              <w:jc w:val="both"/>
              <w:rPr>
                <w:rFonts w:ascii="Times New Roman" w:hAnsi="Times New Roman" w:cs="Times New Roman"/>
                <w:bCs/>
                <w:color w:val="auto"/>
                <w:sz w:val="22"/>
                <w:szCs w:val="22"/>
                <w:lang w:val="ro-RO"/>
              </w:rPr>
            </w:pPr>
            <w:r w:rsidRPr="008C5F1C">
              <w:rPr>
                <w:rFonts w:ascii="Times New Roman" w:hAnsi="Times New Roman" w:cs="Times New Roman"/>
                <w:bCs/>
                <w:color w:val="auto"/>
                <w:sz w:val="22"/>
                <w:szCs w:val="22"/>
                <w:lang w:val="ro-RO"/>
              </w:rPr>
              <w:t xml:space="preserve">Învățământul universitar este un pilon esențial al creșterii economice, contribuind la accelerarea inovării, creșterea economică și prosperitatea societății. Investițiile propuse trebuie să asigure creșterea accesului la învățământul universitar precum și a calității și relevanței specializărilor pentru piața muncii. </w:t>
            </w:r>
          </w:p>
          <w:p w14:paraId="4735A6A1" w14:textId="35F9EB9A" w:rsidR="00653571" w:rsidRPr="008C5F1C" w:rsidRDefault="00653571" w:rsidP="00534127">
            <w:pPr>
              <w:pStyle w:val="Default"/>
              <w:spacing w:after="120"/>
              <w:jc w:val="both"/>
              <w:rPr>
                <w:rFonts w:ascii="Times New Roman" w:hAnsi="Times New Roman" w:cs="Times New Roman"/>
                <w:bCs/>
                <w:color w:val="auto"/>
                <w:sz w:val="22"/>
                <w:szCs w:val="22"/>
                <w:lang w:val="ro-RO"/>
              </w:rPr>
            </w:pPr>
            <w:r w:rsidRPr="008C5F1C">
              <w:rPr>
                <w:rFonts w:ascii="Times New Roman" w:hAnsi="Times New Roman" w:cs="Times New Roman"/>
                <w:bCs/>
                <w:color w:val="auto"/>
                <w:sz w:val="22"/>
                <w:szCs w:val="22"/>
                <w:lang w:val="ro-RO"/>
              </w:rPr>
              <w:t>Având în vedere aceste aspecte, urm</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toarele tipuri de </w:t>
            </w:r>
            <w:r w:rsidR="00E7654A" w:rsidRPr="008C5F1C">
              <w:rPr>
                <w:rFonts w:ascii="Times New Roman" w:hAnsi="Times New Roman" w:cs="Times New Roman"/>
                <w:bCs/>
                <w:color w:val="auto"/>
                <w:sz w:val="22"/>
                <w:szCs w:val="22"/>
                <w:lang w:val="ro-RO"/>
              </w:rPr>
              <w:t>ac</w:t>
            </w:r>
            <w:r w:rsidR="00E22FF2" w:rsidRPr="008C5F1C">
              <w:rPr>
                <w:rFonts w:ascii="Times New Roman" w:hAnsi="Times New Roman" w:cs="Times New Roman"/>
                <w:bCs/>
                <w:color w:val="auto"/>
                <w:sz w:val="22"/>
                <w:szCs w:val="22"/>
                <w:lang w:val="ro-RO"/>
              </w:rPr>
              <w:t>ț</w:t>
            </w:r>
            <w:r w:rsidR="00E7654A" w:rsidRPr="008C5F1C">
              <w:rPr>
                <w:rFonts w:ascii="Times New Roman" w:hAnsi="Times New Roman" w:cs="Times New Roman"/>
                <w:bCs/>
                <w:color w:val="auto"/>
                <w:sz w:val="22"/>
                <w:szCs w:val="22"/>
                <w:lang w:val="ro-RO"/>
              </w:rPr>
              <w:t xml:space="preserve">iuni </w:t>
            </w:r>
            <w:r w:rsidRPr="008C5F1C">
              <w:rPr>
                <w:rFonts w:ascii="Times New Roman" w:hAnsi="Times New Roman" w:cs="Times New Roman"/>
                <w:bCs/>
                <w:color w:val="auto"/>
                <w:sz w:val="22"/>
                <w:szCs w:val="22"/>
                <w:lang w:val="ro-RO"/>
              </w:rPr>
              <w:t>vor primi finan</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are:</w:t>
            </w:r>
          </w:p>
          <w:p w14:paraId="70464674" w14:textId="77777777" w:rsidR="00653571" w:rsidRPr="008C5F1C" w:rsidRDefault="00653571" w:rsidP="00446BA4">
            <w:pPr>
              <w:spacing w:after="120" w:line="240" w:lineRule="auto"/>
              <w:rPr>
                <w:rFonts w:ascii="Times New Roman" w:hAnsi="Times New Roman" w:cs="Times New Roman"/>
              </w:rPr>
            </w:pPr>
            <w:r w:rsidRPr="008C5F1C">
              <w:rPr>
                <w:rFonts w:ascii="Times New Roman" w:hAnsi="Times New Roman" w:cs="Times New Roman"/>
                <w:b/>
                <w:bCs/>
              </w:rPr>
              <w:lastRenderedPageBreak/>
              <w:t>a) Dezvoltarea infrastructurii educa</w:t>
            </w:r>
            <w:r w:rsidR="00E22FF2" w:rsidRPr="008C5F1C">
              <w:rPr>
                <w:rFonts w:ascii="Times New Roman" w:hAnsi="Times New Roman" w:cs="Times New Roman"/>
                <w:b/>
                <w:bCs/>
              </w:rPr>
              <w:t>ț</w:t>
            </w:r>
            <w:r w:rsidRPr="008C5F1C">
              <w:rPr>
                <w:rFonts w:ascii="Times New Roman" w:hAnsi="Times New Roman" w:cs="Times New Roman"/>
                <w:b/>
                <w:bCs/>
              </w:rPr>
              <w:t>ionale la nivelul educa</w:t>
            </w:r>
            <w:r w:rsidR="00E22FF2" w:rsidRPr="008C5F1C">
              <w:rPr>
                <w:rFonts w:ascii="Times New Roman" w:hAnsi="Times New Roman" w:cs="Times New Roman"/>
                <w:b/>
                <w:bCs/>
              </w:rPr>
              <w:t>ț</w:t>
            </w:r>
            <w:r w:rsidRPr="008C5F1C">
              <w:rPr>
                <w:rFonts w:ascii="Times New Roman" w:hAnsi="Times New Roman" w:cs="Times New Roman"/>
                <w:b/>
                <w:bCs/>
              </w:rPr>
              <w:t xml:space="preserve">iei timpurii </w:t>
            </w:r>
            <w:r w:rsidR="00106240" w:rsidRPr="008C5F1C">
              <w:rPr>
                <w:rFonts w:ascii="Times New Roman" w:hAnsi="Times New Roman" w:cs="Times New Roman"/>
                <w:b/>
                <w:bCs/>
              </w:rPr>
              <w:t>ș</w:t>
            </w:r>
            <w:r w:rsidRPr="008C5F1C">
              <w:rPr>
                <w:rFonts w:ascii="Times New Roman" w:hAnsi="Times New Roman" w:cs="Times New Roman"/>
                <w:b/>
                <w:bCs/>
              </w:rPr>
              <w:t>i înv</w:t>
            </w:r>
            <w:r w:rsidR="00BA7827" w:rsidRPr="008C5F1C">
              <w:rPr>
                <w:rFonts w:ascii="Times New Roman" w:hAnsi="Times New Roman" w:cs="Times New Roman"/>
                <w:b/>
                <w:bCs/>
              </w:rPr>
              <w:t>ă</w:t>
            </w:r>
            <w:r w:rsidR="00E22FF2" w:rsidRPr="008C5F1C">
              <w:rPr>
                <w:rFonts w:ascii="Times New Roman" w:hAnsi="Times New Roman" w:cs="Times New Roman"/>
                <w:b/>
                <w:bCs/>
              </w:rPr>
              <w:t>ț</w:t>
            </w:r>
            <w:r w:rsidR="00BA7827" w:rsidRPr="008C5F1C">
              <w:rPr>
                <w:rFonts w:ascii="Times New Roman" w:hAnsi="Times New Roman" w:cs="Times New Roman"/>
                <w:b/>
                <w:bCs/>
              </w:rPr>
              <w:t>ă</w:t>
            </w:r>
            <w:r w:rsidRPr="008C5F1C">
              <w:rPr>
                <w:rFonts w:ascii="Times New Roman" w:hAnsi="Times New Roman" w:cs="Times New Roman"/>
                <w:b/>
                <w:bCs/>
              </w:rPr>
              <w:t>mântului obligatoriu</w:t>
            </w:r>
            <w:r w:rsidRPr="008C5F1C">
              <w:rPr>
                <w:rFonts w:ascii="Times New Roman" w:hAnsi="Times New Roman" w:cs="Times New Roman"/>
              </w:rPr>
              <w:t>. Sunt avute în vedere: înv</w:t>
            </w:r>
            <w:r w:rsidR="00BA7827" w:rsidRPr="008C5F1C">
              <w:rPr>
                <w:rFonts w:ascii="Times New Roman" w:hAnsi="Times New Roman" w:cs="Times New Roman"/>
              </w:rPr>
              <w:t>ă</w:t>
            </w:r>
            <w:r w:rsidR="00E22FF2" w:rsidRPr="008C5F1C">
              <w:rPr>
                <w:rFonts w:ascii="Times New Roman" w:hAnsi="Times New Roman" w:cs="Times New Roman"/>
              </w:rPr>
              <w:t>ț</w:t>
            </w:r>
            <w:r w:rsidR="00BA7827" w:rsidRPr="008C5F1C">
              <w:rPr>
                <w:rFonts w:ascii="Times New Roman" w:hAnsi="Times New Roman" w:cs="Times New Roman"/>
              </w:rPr>
              <w:t>ă</w:t>
            </w:r>
            <w:r w:rsidRPr="008C5F1C">
              <w:rPr>
                <w:rFonts w:ascii="Times New Roman" w:hAnsi="Times New Roman" w:cs="Times New Roman"/>
              </w:rPr>
              <w:t>mânt ante-pre</w:t>
            </w:r>
            <w:r w:rsidR="00106240" w:rsidRPr="008C5F1C">
              <w:rPr>
                <w:rFonts w:ascii="Times New Roman" w:hAnsi="Times New Roman" w:cs="Times New Roman"/>
              </w:rPr>
              <w:t>ș</w:t>
            </w:r>
            <w:r w:rsidRPr="008C5F1C">
              <w:rPr>
                <w:rFonts w:ascii="Times New Roman" w:hAnsi="Times New Roman" w:cs="Times New Roman"/>
              </w:rPr>
              <w:t>colar</w:t>
            </w:r>
            <w:r w:rsidR="00333C71" w:rsidRPr="008C5F1C">
              <w:rPr>
                <w:rFonts w:ascii="Times New Roman" w:hAnsi="Times New Roman" w:cs="Times New Roman"/>
              </w:rPr>
              <w:t xml:space="preserve"> (cre</w:t>
            </w:r>
            <w:r w:rsidR="00106240" w:rsidRPr="008C5F1C">
              <w:rPr>
                <w:rFonts w:ascii="Times New Roman" w:hAnsi="Times New Roman" w:cs="Times New Roman"/>
              </w:rPr>
              <w:t>ș</w:t>
            </w:r>
            <w:r w:rsidR="00333C71" w:rsidRPr="008C5F1C">
              <w:rPr>
                <w:rFonts w:ascii="Times New Roman" w:hAnsi="Times New Roman" w:cs="Times New Roman"/>
              </w:rPr>
              <w:t>e)</w:t>
            </w:r>
            <w:r w:rsidRPr="008C5F1C">
              <w:rPr>
                <w:rFonts w:ascii="Times New Roman" w:hAnsi="Times New Roman" w:cs="Times New Roman"/>
              </w:rPr>
              <w:t>, pre</w:t>
            </w:r>
            <w:r w:rsidR="00106240" w:rsidRPr="008C5F1C">
              <w:rPr>
                <w:rFonts w:ascii="Times New Roman" w:hAnsi="Times New Roman" w:cs="Times New Roman"/>
              </w:rPr>
              <w:t>ș</w:t>
            </w:r>
            <w:r w:rsidRPr="008C5F1C">
              <w:rPr>
                <w:rFonts w:ascii="Times New Roman" w:hAnsi="Times New Roman" w:cs="Times New Roman"/>
              </w:rPr>
              <w:t>colar</w:t>
            </w:r>
            <w:r w:rsidR="00333C71" w:rsidRPr="008C5F1C">
              <w:rPr>
                <w:rFonts w:ascii="Times New Roman" w:hAnsi="Times New Roman" w:cs="Times New Roman"/>
              </w:rPr>
              <w:t xml:space="preserve"> (gr</w:t>
            </w:r>
            <w:r w:rsidR="00BA7827" w:rsidRPr="008C5F1C">
              <w:rPr>
                <w:rFonts w:ascii="Times New Roman" w:hAnsi="Times New Roman" w:cs="Times New Roman"/>
              </w:rPr>
              <w:t>ă</w:t>
            </w:r>
            <w:r w:rsidR="00333C71" w:rsidRPr="008C5F1C">
              <w:rPr>
                <w:rFonts w:ascii="Times New Roman" w:hAnsi="Times New Roman" w:cs="Times New Roman"/>
              </w:rPr>
              <w:t>dini</w:t>
            </w:r>
            <w:r w:rsidR="00E22FF2" w:rsidRPr="008C5F1C">
              <w:rPr>
                <w:rFonts w:ascii="Times New Roman" w:hAnsi="Times New Roman" w:cs="Times New Roman"/>
              </w:rPr>
              <w:t>ț</w:t>
            </w:r>
            <w:r w:rsidR="00333C71" w:rsidRPr="008C5F1C">
              <w:rPr>
                <w:rFonts w:ascii="Times New Roman" w:hAnsi="Times New Roman" w:cs="Times New Roman"/>
              </w:rPr>
              <w:t>e)</w:t>
            </w:r>
            <w:r w:rsidRPr="008C5F1C">
              <w:rPr>
                <w:rFonts w:ascii="Times New Roman" w:hAnsi="Times New Roman" w:cs="Times New Roman"/>
              </w:rPr>
              <w:t xml:space="preserve">, primar, secundar. </w:t>
            </w:r>
          </w:p>
          <w:p w14:paraId="5309BEE2" w14:textId="77777777" w:rsidR="00653571" w:rsidRPr="008C5F1C" w:rsidRDefault="00653571" w:rsidP="00534127">
            <w:pPr>
              <w:spacing w:after="120" w:line="240" w:lineRule="auto"/>
              <w:jc w:val="both"/>
              <w:rPr>
                <w:rFonts w:ascii="Times New Roman" w:hAnsi="Times New Roman" w:cs="Times New Roman"/>
                <w:b/>
                <w:bCs/>
              </w:rPr>
            </w:pPr>
            <w:r w:rsidRPr="008C5F1C">
              <w:rPr>
                <w:rFonts w:ascii="Times New Roman" w:hAnsi="Times New Roman" w:cs="Times New Roman"/>
                <w:b/>
                <w:bCs/>
              </w:rPr>
              <w:t>b) Dezvoltarea infrastructurii educa</w:t>
            </w:r>
            <w:r w:rsidR="00E22FF2" w:rsidRPr="008C5F1C">
              <w:rPr>
                <w:rFonts w:ascii="Times New Roman" w:hAnsi="Times New Roman" w:cs="Times New Roman"/>
                <w:b/>
                <w:bCs/>
              </w:rPr>
              <w:t>ț</w:t>
            </w:r>
            <w:r w:rsidRPr="008C5F1C">
              <w:rPr>
                <w:rFonts w:ascii="Times New Roman" w:hAnsi="Times New Roman" w:cs="Times New Roman"/>
                <w:b/>
                <w:bCs/>
              </w:rPr>
              <w:t>ionale în domeniul înv</w:t>
            </w:r>
            <w:r w:rsidR="00BA7827" w:rsidRPr="008C5F1C">
              <w:rPr>
                <w:rFonts w:ascii="Times New Roman" w:hAnsi="Times New Roman" w:cs="Times New Roman"/>
                <w:b/>
                <w:bCs/>
              </w:rPr>
              <w:t>ă</w:t>
            </w:r>
            <w:r w:rsidR="00E22FF2" w:rsidRPr="008C5F1C">
              <w:rPr>
                <w:rFonts w:ascii="Times New Roman" w:hAnsi="Times New Roman" w:cs="Times New Roman"/>
                <w:b/>
                <w:bCs/>
              </w:rPr>
              <w:t>ț</w:t>
            </w:r>
            <w:r w:rsidR="00BA7827" w:rsidRPr="008C5F1C">
              <w:rPr>
                <w:rFonts w:ascii="Times New Roman" w:hAnsi="Times New Roman" w:cs="Times New Roman"/>
                <w:b/>
                <w:bCs/>
              </w:rPr>
              <w:t>ă</w:t>
            </w:r>
            <w:r w:rsidRPr="008C5F1C">
              <w:rPr>
                <w:rFonts w:ascii="Times New Roman" w:hAnsi="Times New Roman" w:cs="Times New Roman"/>
                <w:b/>
                <w:bCs/>
              </w:rPr>
              <w:t xml:space="preserve">mântului profesional </w:t>
            </w:r>
            <w:r w:rsidR="00106240" w:rsidRPr="008C5F1C">
              <w:rPr>
                <w:rFonts w:ascii="Times New Roman" w:hAnsi="Times New Roman" w:cs="Times New Roman"/>
                <w:b/>
                <w:bCs/>
              </w:rPr>
              <w:t>ș</w:t>
            </w:r>
            <w:r w:rsidRPr="008C5F1C">
              <w:rPr>
                <w:rFonts w:ascii="Times New Roman" w:hAnsi="Times New Roman" w:cs="Times New Roman"/>
                <w:b/>
                <w:bCs/>
              </w:rPr>
              <w:t>i tehnic</w:t>
            </w:r>
            <w:r w:rsidR="009608D8" w:rsidRPr="008C5F1C">
              <w:rPr>
                <w:rFonts w:ascii="Times New Roman" w:hAnsi="Times New Roman" w:cs="Times New Roman"/>
                <w:b/>
                <w:bCs/>
              </w:rPr>
              <w:t xml:space="preserve"> (licee </w:t>
            </w:r>
            <w:r w:rsidR="00B57942" w:rsidRPr="008C5F1C">
              <w:rPr>
                <w:rFonts w:ascii="Times New Roman" w:hAnsi="Times New Roman" w:cs="Times New Roman"/>
                <w:b/>
                <w:bCs/>
              </w:rPr>
              <w:t>tehnologice</w:t>
            </w:r>
            <w:r w:rsidR="009608D8" w:rsidRPr="008C5F1C">
              <w:rPr>
                <w:rFonts w:ascii="Times New Roman" w:hAnsi="Times New Roman" w:cs="Times New Roman"/>
                <w:b/>
                <w:bCs/>
              </w:rPr>
              <w:t>)</w:t>
            </w:r>
            <w:r w:rsidR="00C50C26" w:rsidRPr="008C5F1C">
              <w:rPr>
                <w:rFonts w:ascii="Times New Roman" w:hAnsi="Times New Roman" w:cs="Times New Roman"/>
                <w:b/>
                <w:bCs/>
              </w:rPr>
              <w:t>;</w:t>
            </w:r>
          </w:p>
          <w:p w14:paraId="37ECCFED" w14:textId="6A6A8FDF" w:rsidR="00B33289" w:rsidRPr="008C5F1C" w:rsidRDefault="00653571" w:rsidP="00A71BFA">
            <w:pPr>
              <w:rPr>
                <w:rFonts w:ascii="Times New Roman" w:hAnsi="Times New Roman" w:cs="Times New Roman"/>
                <w:bCs/>
              </w:rPr>
            </w:pPr>
            <w:r w:rsidRPr="008C5F1C">
              <w:rPr>
                <w:rFonts w:ascii="Times New Roman" w:hAnsi="Times New Roman" w:cs="Times New Roman"/>
                <w:b/>
                <w:bCs/>
              </w:rPr>
              <w:t>c) Dezvoltarea infrastructurii educa</w:t>
            </w:r>
            <w:r w:rsidR="00E22FF2" w:rsidRPr="008C5F1C">
              <w:rPr>
                <w:rFonts w:ascii="Times New Roman" w:hAnsi="Times New Roman" w:cs="Times New Roman"/>
                <w:b/>
                <w:bCs/>
              </w:rPr>
              <w:t>ț</w:t>
            </w:r>
            <w:r w:rsidRPr="008C5F1C">
              <w:rPr>
                <w:rFonts w:ascii="Times New Roman" w:hAnsi="Times New Roman" w:cs="Times New Roman"/>
                <w:b/>
                <w:bCs/>
              </w:rPr>
              <w:t>ionale în înv</w:t>
            </w:r>
            <w:r w:rsidR="00BA7827" w:rsidRPr="008C5F1C">
              <w:rPr>
                <w:rFonts w:ascii="Times New Roman" w:hAnsi="Times New Roman" w:cs="Times New Roman"/>
                <w:b/>
                <w:bCs/>
              </w:rPr>
              <w:t>ă</w:t>
            </w:r>
            <w:r w:rsidR="00E22FF2" w:rsidRPr="008C5F1C">
              <w:rPr>
                <w:rFonts w:ascii="Times New Roman" w:hAnsi="Times New Roman" w:cs="Times New Roman"/>
                <w:b/>
                <w:bCs/>
              </w:rPr>
              <w:t>ț</w:t>
            </w:r>
            <w:r w:rsidR="00BA7827" w:rsidRPr="008C5F1C">
              <w:rPr>
                <w:rFonts w:ascii="Times New Roman" w:hAnsi="Times New Roman" w:cs="Times New Roman"/>
                <w:b/>
                <w:bCs/>
              </w:rPr>
              <w:t>ă</w:t>
            </w:r>
            <w:r w:rsidRPr="008C5F1C">
              <w:rPr>
                <w:rFonts w:ascii="Times New Roman" w:hAnsi="Times New Roman" w:cs="Times New Roman"/>
                <w:b/>
                <w:bCs/>
              </w:rPr>
              <w:t xml:space="preserve">mântul </w:t>
            </w:r>
            <w:r w:rsidR="0088356E" w:rsidRPr="008C5F1C">
              <w:rPr>
                <w:rFonts w:ascii="Times New Roman" w:hAnsi="Times New Roman" w:cs="Times New Roman"/>
                <w:b/>
                <w:bCs/>
              </w:rPr>
              <w:t>universitar</w:t>
            </w:r>
            <w:r w:rsidR="00C50C26" w:rsidRPr="008C5F1C">
              <w:rPr>
                <w:rFonts w:ascii="Times New Roman" w:hAnsi="Times New Roman" w:cs="Times New Roman"/>
                <w:b/>
                <w:bCs/>
              </w:rPr>
              <w:t>.</w:t>
            </w:r>
          </w:p>
        </w:tc>
      </w:tr>
    </w:tbl>
    <w:p w14:paraId="54C2E1DB" w14:textId="77777777" w:rsidR="00653571" w:rsidRPr="008C5F1C" w:rsidRDefault="00653571" w:rsidP="00653571">
      <w:pPr>
        <w:spacing w:before="120" w:after="120" w:line="360" w:lineRule="auto"/>
        <w:rPr>
          <w:rFonts w:ascii="Times New Roman" w:eastAsia="Times New Roman" w:hAnsi="Times New Roman" w:cs="Times New Roman"/>
          <w:b/>
          <w:i/>
          <w:iCs/>
          <w:noProof/>
          <w:sz w:val="24"/>
          <w:szCs w:val="24"/>
        </w:rPr>
      </w:pPr>
      <w:r w:rsidRPr="008C5F1C">
        <w:rPr>
          <w:rFonts w:ascii="Times New Roman" w:eastAsia="Times New Roman" w:hAnsi="Times New Roman" w:cs="Times New Roman"/>
          <w:i/>
          <w:noProof/>
          <w:sz w:val="24"/>
          <w:szCs w:val="24"/>
        </w:rPr>
        <w:lastRenderedPageBreak/>
        <w:t>The main target groups - Article 17(3)(d)(iii):</w:t>
      </w:r>
    </w:p>
    <w:p w14:paraId="535F69F8" w14:textId="77777777" w:rsidR="00653571" w:rsidRPr="008C5F1C" w:rsidRDefault="00653571" w:rsidP="0065357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iCs/>
          <w:noProof/>
          <w:sz w:val="24"/>
          <w:szCs w:val="24"/>
        </w:rPr>
      </w:pPr>
      <w:r w:rsidRPr="008C5F1C">
        <w:rPr>
          <w:rFonts w:ascii="Times New Roman" w:eastAsia="Times New Roman" w:hAnsi="Times New Roman" w:cs="Times New Roman"/>
          <w:i/>
          <w:iCs/>
          <w:noProof/>
          <w:sz w:val="24"/>
          <w:szCs w:val="24"/>
        </w:rPr>
        <w:t>Text field [1 000]</w:t>
      </w:r>
    </w:p>
    <w:p w14:paraId="0E714004" w14:textId="77777777" w:rsidR="005A27A8" w:rsidRPr="008C5F1C" w:rsidRDefault="000A2306" w:rsidP="0065357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noProof/>
        </w:rPr>
      </w:pPr>
      <w:r w:rsidRPr="008C5F1C">
        <w:rPr>
          <w:rFonts w:ascii="Times New Roman" w:eastAsia="Times New Roman" w:hAnsi="Times New Roman" w:cs="Times New Roman"/>
          <w:noProof/>
        </w:rPr>
        <w:t>Pre</w:t>
      </w:r>
      <w:r w:rsidR="00106240" w:rsidRPr="008C5F1C">
        <w:rPr>
          <w:rFonts w:ascii="Times New Roman" w:eastAsia="Times New Roman" w:hAnsi="Times New Roman" w:cs="Times New Roman"/>
          <w:noProof/>
        </w:rPr>
        <w:t>ș</w:t>
      </w:r>
      <w:r w:rsidRPr="008C5F1C">
        <w:rPr>
          <w:rFonts w:ascii="Times New Roman" w:eastAsia="Times New Roman" w:hAnsi="Times New Roman" w:cs="Times New Roman"/>
          <w:noProof/>
        </w:rPr>
        <w:t>colarii/e</w:t>
      </w:r>
      <w:r w:rsidR="005A27A8" w:rsidRPr="008C5F1C">
        <w:rPr>
          <w:rFonts w:ascii="Times New Roman" w:eastAsia="Times New Roman" w:hAnsi="Times New Roman" w:cs="Times New Roman"/>
          <w:noProof/>
        </w:rPr>
        <w:t>levii/studen</w:t>
      </w:r>
      <w:r w:rsidR="00E22FF2" w:rsidRPr="008C5F1C">
        <w:rPr>
          <w:rFonts w:ascii="Times New Roman" w:eastAsia="Times New Roman" w:hAnsi="Times New Roman" w:cs="Times New Roman"/>
          <w:noProof/>
        </w:rPr>
        <w:t>ț</w:t>
      </w:r>
      <w:r w:rsidR="005A27A8" w:rsidRPr="008C5F1C">
        <w:rPr>
          <w:rFonts w:ascii="Times New Roman" w:eastAsia="Times New Roman" w:hAnsi="Times New Roman" w:cs="Times New Roman"/>
          <w:noProof/>
        </w:rPr>
        <w:t xml:space="preserve">ii </w:t>
      </w:r>
      <w:r w:rsidR="00106240" w:rsidRPr="008C5F1C">
        <w:rPr>
          <w:rFonts w:ascii="Times New Roman" w:eastAsia="Times New Roman" w:hAnsi="Times New Roman" w:cs="Times New Roman"/>
          <w:noProof/>
        </w:rPr>
        <w:t>ș</w:t>
      </w:r>
      <w:r w:rsidR="005A27A8" w:rsidRPr="008C5F1C">
        <w:rPr>
          <w:rFonts w:ascii="Times New Roman" w:eastAsia="Times New Roman" w:hAnsi="Times New Roman" w:cs="Times New Roman"/>
          <w:noProof/>
        </w:rPr>
        <w:t>i profesorii din unită</w:t>
      </w:r>
      <w:r w:rsidR="00E22FF2" w:rsidRPr="008C5F1C">
        <w:rPr>
          <w:rFonts w:ascii="Times New Roman" w:eastAsia="Times New Roman" w:hAnsi="Times New Roman" w:cs="Times New Roman"/>
          <w:noProof/>
        </w:rPr>
        <w:t>ț</w:t>
      </w:r>
      <w:r w:rsidR="005A27A8" w:rsidRPr="008C5F1C">
        <w:rPr>
          <w:rFonts w:ascii="Times New Roman" w:eastAsia="Times New Roman" w:hAnsi="Times New Roman" w:cs="Times New Roman"/>
          <w:noProof/>
        </w:rPr>
        <w:t>ile de învă</w:t>
      </w:r>
      <w:r w:rsidR="00E22FF2" w:rsidRPr="008C5F1C">
        <w:rPr>
          <w:rFonts w:ascii="Times New Roman" w:eastAsia="Times New Roman" w:hAnsi="Times New Roman" w:cs="Times New Roman"/>
          <w:noProof/>
        </w:rPr>
        <w:t>ț</w:t>
      </w:r>
      <w:r w:rsidR="005A27A8" w:rsidRPr="008C5F1C">
        <w:rPr>
          <w:rFonts w:ascii="Times New Roman" w:eastAsia="Times New Roman" w:hAnsi="Times New Roman" w:cs="Times New Roman"/>
          <w:noProof/>
        </w:rPr>
        <w:t>ământ care beneficiază de investi</w:t>
      </w:r>
      <w:r w:rsidR="00E22FF2" w:rsidRPr="008C5F1C">
        <w:rPr>
          <w:rFonts w:ascii="Times New Roman" w:eastAsia="Times New Roman" w:hAnsi="Times New Roman" w:cs="Times New Roman"/>
          <w:noProof/>
        </w:rPr>
        <w:t>ț</w:t>
      </w:r>
      <w:r w:rsidR="005A27A8" w:rsidRPr="008C5F1C">
        <w:rPr>
          <w:rFonts w:ascii="Times New Roman" w:eastAsia="Times New Roman" w:hAnsi="Times New Roman" w:cs="Times New Roman"/>
          <w:noProof/>
        </w:rPr>
        <w:t>ii</w:t>
      </w:r>
    </w:p>
    <w:p w14:paraId="29B182AA" w14:textId="77777777" w:rsidR="00653571" w:rsidRPr="008C5F1C" w:rsidRDefault="00653571" w:rsidP="00653571">
      <w:pPr>
        <w:spacing w:before="120" w:after="120" w:line="360" w:lineRule="auto"/>
        <w:rPr>
          <w:rFonts w:ascii="Times New Roman" w:eastAsia="Times New Roman" w:hAnsi="Times New Roman" w:cs="Times New Roman"/>
          <w:i/>
          <w:noProof/>
          <w:sz w:val="24"/>
          <w:szCs w:val="24"/>
        </w:rPr>
      </w:pPr>
      <w:r w:rsidRPr="008C5F1C">
        <w:rPr>
          <w:rFonts w:ascii="Times New Roman" w:eastAsia="Times New Roman" w:hAnsi="Times New Roman" w:cs="Times New Roman"/>
          <w:i/>
          <w:noProof/>
          <w:sz w:val="24"/>
          <w:szCs w:val="24"/>
        </w:rPr>
        <w:t>Specific territories tageted, including the planned use of territorial tools – Article 17(3)(d)(iv)</w:t>
      </w:r>
    </w:p>
    <w:p w14:paraId="19EE89DA" w14:textId="77777777" w:rsidR="00653571" w:rsidRPr="008C5F1C" w:rsidRDefault="00653571" w:rsidP="0065357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rPr>
      </w:pPr>
      <w:r w:rsidRPr="008C5F1C">
        <w:rPr>
          <w:rFonts w:ascii="Times New Roman" w:eastAsia="Times New Roman" w:hAnsi="Times New Roman" w:cs="Times New Roman"/>
          <w:i/>
          <w:iCs/>
          <w:noProof/>
          <w:sz w:val="24"/>
          <w:szCs w:val="24"/>
        </w:rPr>
        <w:t>Nu este cazul</w:t>
      </w:r>
    </w:p>
    <w:p w14:paraId="6F2B3EB8" w14:textId="77777777" w:rsidR="00653571" w:rsidRPr="008C5F1C" w:rsidRDefault="00653571" w:rsidP="00653571">
      <w:pPr>
        <w:spacing w:before="120" w:after="120" w:line="360" w:lineRule="auto"/>
        <w:rPr>
          <w:rFonts w:ascii="Times New Roman" w:eastAsia="Times New Roman" w:hAnsi="Times New Roman" w:cs="Times New Roman"/>
          <w:b/>
          <w:i/>
          <w:iCs/>
          <w:noProof/>
          <w:sz w:val="24"/>
          <w:szCs w:val="24"/>
        </w:rPr>
      </w:pPr>
      <w:r w:rsidRPr="008C5F1C">
        <w:rPr>
          <w:rFonts w:ascii="Times New Roman" w:eastAsia="Times New Roman" w:hAnsi="Times New Roman" w:cs="Times New Roman"/>
          <w:i/>
          <w:noProof/>
          <w:sz w:val="24"/>
          <w:szCs w:val="24"/>
        </w:rPr>
        <w:t>The interregional and transnational actions  –Article – 17(3)(d)(v)</w:t>
      </w:r>
    </w:p>
    <w:p w14:paraId="69120078" w14:textId="77777777" w:rsidR="00653571" w:rsidRPr="008C5F1C" w:rsidRDefault="00653571" w:rsidP="0065357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rPr>
      </w:pPr>
      <w:r w:rsidRPr="008C5F1C">
        <w:rPr>
          <w:rFonts w:ascii="Times New Roman" w:eastAsia="Times New Roman" w:hAnsi="Times New Roman" w:cs="Times New Roman"/>
          <w:i/>
          <w:iCs/>
          <w:noProof/>
          <w:sz w:val="24"/>
          <w:szCs w:val="24"/>
        </w:rPr>
        <w:t>Nu este cazul</w:t>
      </w:r>
    </w:p>
    <w:p w14:paraId="72A8DD86" w14:textId="77777777" w:rsidR="00653571" w:rsidRPr="008C5F1C" w:rsidRDefault="00653571" w:rsidP="00653571">
      <w:pPr>
        <w:spacing w:before="120" w:after="120" w:line="360" w:lineRule="auto"/>
        <w:rPr>
          <w:rFonts w:ascii="Times New Roman" w:eastAsia="Times New Roman" w:hAnsi="Times New Roman" w:cs="Times New Roman"/>
          <w:b/>
          <w:i/>
          <w:iCs/>
          <w:noProof/>
          <w:sz w:val="24"/>
          <w:szCs w:val="24"/>
        </w:rPr>
      </w:pPr>
      <w:r w:rsidRPr="008C5F1C">
        <w:rPr>
          <w:rFonts w:ascii="Times New Roman" w:eastAsia="Times New Roman" w:hAnsi="Times New Roman" w:cs="Times New Roman"/>
          <w:i/>
          <w:noProof/>
          <w:sz w:val="24"/>
          <w:szCs w:val="24"/>
        </w:rPr>
        <w:t>The planned use of financial instruments – Article – 17(3)(d)(vi)</w:t>
      </w:r>
    </w:p>
    <w:p w14:paraId="53474707" w14:textId="77777777" w:rsidR="00653571" w:rsidRPr="008C5F1C" w:rsidRDefault="00653571" w:rsidP="0065357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rPr>
      </w:pPr>
      <w:r w:rsidRPr="008C5F1C">
        <w:rPr>
          <w:rFonts w:ascii="Times New Roman" w:eastAsia="Times New Roman" w:hAnsi="Times New Roman" w:cs="Times New Roman"/>
          <w:i/>
          <w:iCs/>
          <w:noProof/>
          <w:sz w:val="24"/>
          <w:szCs w:val="24"/>
        </w:rPr>
        <w:t>Nu este cazul</w:t>
      </w:r>
    </w:p>
    <w:p w14:paraId="707CC05D" w14:textId="77777777" w:rsidR="00653571" w:rsidRPr="008C5F1C" w:rsidRDefault="00653571" w:rsidP="00653571">
      <w:pPr>
        <w:pStyle w:val="Heading4"/>
        <w:numPr>
          <w:ilvl w:val="0"/>
          <w:numId w:val="0"/>
        </w:numPr>
        <w:ind w:left="851" w:hanging="851"/>
        <w:rPr>
          <w:rFonts w:cs="Times New Roman"/>
          <w:b/>
          <w:bCs/>
          <w:lang w:val="ro-RO"/>
        </w:rPr>
      </w:pPr>
      <w:r w:rsidRPr="008C5F1C">
        <w:rPr>
          <w:rFonts w:cs="Times New Roman"/>
          <w:b/>
          <w:bCs/>
          <w:lang w:val="ro-RO"/>
        </w:rPr>
        <w:t xml:space="preserve">2.A.3.2 </w:t>
      </w:r>
      <w:proofErr w:type="spellStart"/>
      <w:r w:rsidRPr="008C5F1C">
        <w:rPr>
          <w:rFonts w:cs="Times New Roman"/>
          <w:b/>
          <w:bCs/>
          <w:lang w:val="ro-RO"/>
        </w:rPr>
        <w:t>Indicators</w:t>
      </w:r>
      <w:proofErr w:type="spellEnd"/>
    </w:p>
    <w:p w14:paraId="7CECB468" w14:textId="77777777" w:rsidR="00653571" w:rsidRPr="008C5F1C" w:rsidRDefault="00653571" w:rsidP="00653571">
      <w:pPr>
        <w:rPr>
          <w:rFonts w:ascii="Times New Roman" w:hAnsi="Times New Roman" w:cs="Times New Roman"/>
          <w:b/>
          <w:bCs/>
          <w:i/>
          <w:u w:val="single"/>
        </w:rPr>
      </w:pPr>
      <w:proofErr w:type="spellStart"/>
      <w:r w:rsidRPr="008C5F1C">
        <w:rPr>
          <w:rFonts w:ascii="Times New Roman" w:hAnsi="Times New Roman" w:cs="Times New Roman"/>
          <w:i/>
        </w:rPr>
        <w:t>Reference</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Article</w:t>
      </w:r>
      <w:proofErr w:type="spellEnd"/>
      <w:r w:rsidRPr="008C5F1C">
        <w:rPr>
          <w:rFonts w:ascii="Times New Roman" w:hAnsi="Times New Roman" w:cs="Times New Roman"/>
          <w:i/>
        </w:rPr>
        <w:t xml:space="preserve"> 17(3)(d)(ii) CPR </w:t>
      </w:r>
    </w:p>
    <w:tbl>
      <w:tblPr>
        <w:tblW w:w="50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8"/>
        <w:gridCol w:w="1222"/>
        <w:gridCol w:w="627"/>
        <w:gridCol w:w="875"/>
        <w:gridCol w:w="545"/>
        <w:gridCol w:w="2188"/>
        <w:gridCol w:w="1158"/>
        <w:gridCol w:w="1046"/>
        <w:gridCol w:w="1280"/>
      </w:tblGrid>
      <w:tr w:rsidR="00653571" w:rsidRPr="008C5F1C" w14:paraId="529BAAE2" w14:textId="77777777" w:rsidTr="00EA6490">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1FD1E71B" w14:textId="77777777" w:rsidR="00653571" w:rsidRPr="008C5F1C" w:rsidRDefault="00653571" w:rsidP="00534127">
            <w:pPr>
              <w:rPr>
                <w:rFonts w:ascii="Times New Roman" w:hAnsi="Times New Roman" w:cs="Times New Roman"/>
                <w:b/>
              </w:rPr>
            </w:pPr>
            <w:r w:rsidRPr="008C5F1C">
              <w:rPr>
                <w:rFonts w:ascii="Times New Roman" w:hAnsi="Times New Roman" w:cs="Times New Roman"/>
                <w:b/>
                <w:iCs/>
              </w:rPr>
              <w:t xml:space="preserve">Table 2: Output </w:t>
            </w:r>
            <w:proofErr w:type="spellStart"/>
            <w:r w:rsidRPr="008C5F1C">
              <w:rPr>
                <w:rFonts w:ascii="Times New Roman" w:hAnsi="Times New Roman" w:cs="Times New Roman"/>
                <w:b/>
                <w:iCs/>
              </w:rPr>
              <w:t>indicators</w:t>
            </w:r>
            <w:proofErr w:type="spellEnd"/>
          </w:p>
        </w:tc>
      </w:tr>
      <w:tr w:rsidR="00653571" w:rsidRPr="008C5F1C" w14:paraId="5AC3C521" w14:textId="77777777" w:rsidTr="00EA6490">
        <w:trPr>
          <w:trHeight w:val="1647"/>
        </w:trPr>
        <w:tc>
          <w:tcPr>
            <w:tcW w:w="391" w:type="pct"/>
            <w:tcBorders>
              <w:top w:val="single" w:sz="4" w:space="0" w:color="auto"/>
              <w:left w:val="single" w:sz="4" w:space="0" w:color="auto"/>
              <w:bottom w:val="single" w:sz="4" w:space="0" w:color="auto"/>
              <w:right w:val="single" w:sz="4" w:space="0" w:color="auto"/>
            </w:tcBorders>
            <w:hideMark/>
          </w:tcPr>
          <w:p w14:paraId="38F78328"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Priority</w:t>
            </w:r>
            <w:proofErr w:type="spellEnd"/>
            <w:r w:rsidRPr="008C5F1C">
              <w:rPr>
                <w:rFonts w:ascii="Times New Roman" w:hAnsi="Times New Roman" w:cs="Times New Roman"/>
                <w:b/>
                <w:sz w:val="16"/>
                <w:szCs w:val="16"/>
              </w:rPr>
              <w:t xml:space="preserve"> </w:t>
            </w:r>
          </w:p>
        </w:tc>
        <w:tc>
          <w:tcPr>
            <w:tcW w:w="630" w:type="pct"/>
            <w:tcBorders>
              <w:top w:val="single" w:sz="4" w:space="0" w:color="auto"/>
              <w:left w:val="single" w:sz="4" w:space="0" w:color="auto"/>
              <w:bottom w:val="single" w:sz="4" w:space="0" w:color="auto"/>
              <w:right w:val="single" w:sz="4" w:space="0" w:color="auto"/>
            </w:tcBorders>
            <w:hideMark/>
          </w:tcPr>
          <w:p w14:paraId="0A6F7452"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 xml:space="preserve">Specific </w:t>
            </w:r>
            <w:proofErr w:type="spellStart"/>
            <w:r w:rsidRPr="008C5F1C">
              <w:rPr>
                <w:rFonts w:ascii="Times New Roman" w:hAnsi="Times New Roman" w:cs="Times New Roman"/>
                <w:b/>
                <w:sz w:val="16"/>
                <w:szCs w:val="16"/>
              </w:rPr>
              <w:t>objective</w:t>
            </w:r>
            <w:proofErr w:type="spellEnd"/>
            <w:r w:rsidRPr="008C5F1C">
              <w:rPr>
                <w:rFonts w:ascii="Times New Roman" w:hAnsi="Times New Roman" w:cs="Times New Roman"/>
                <w:b/>
                <w:sz w:val="16"/>
                <w:szCs w:val="16"/>
              </w:rPr>
              <w:t xml:space="preserve"> (Investment for </w:t>
            </w:r>
            <w:proofErr w:type="spellStart"/>
            <w:r w:rsidRPr="008C5F1C">
              <w:rPr>
                <w:rFonts w:ascii="Times New Roman" w:hAnsi="Times New Roman" w:cs="Times New Roman"/>
                <w:b/>
                <w:sz w:val="16"/>
                <w:szCs w:val="16"/>
              </w:rPr>
              <w:t>Jobs</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and</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Growth</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goal</w:t>
            </w:r>
            <w:proofErr w:type="spellEnd"/>
            <w:r w:rsidRPr="008C5F1C">
              <w:rPr>
                <w:rFonts w:ascii="Times New Roman" w:hAnsi="Times New Roman" w:cs="Times New Roman"/>
                <w:b/>
                <w:sz w:val="16"/>
                <w:szCs w:val="16"/>
              </w:rPr>
              <w:t xml:space="preserve"> or EMFF)</w:t>
            </w:r>
          </w:p>
        </w:tc>
        <w:tc>
          <w:tcPr>
            <w:tcW w:w="323" w:type="pct"/>
            <w:tcBorders>
              <w:top w:val="single" w:sz="4" w:space="0" w:color="auto"/>
              <w:left w:val="single" w:sz="4" w:space="0" w:color="auto"/>
              <w:bottom w:val="single" w:sz="4" w:space="0" w:color="auto"/>
              <w:right w:val="single" w:sz="4" w:space="0" w:color="auto"/>
            </w:tcBorders>
            <w:hideMark/>
          </w:tcPr>
          <w:p w14:paraId="70CE18A5"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Fund</w:t>
            </w:r>
          </w:p>
        </w:tc>
        <w:tc>
          <w:tcPr>
            <w:tcW w:w="451" w:type="pct"/>
            <w:tcBorders>
              <w:top w:val="single" w:sz="4" w:space="0" w:color="auto"/>
              <w:left w:val="single" w:sz="4" w:space="0" w:color="auto"/>
              <w:bottom w:val="single" w:sz="4" w:space="0" w:color="auto"/>
              <w:right w:val="single" w:sz="4" w:space="0" w:color="auto"/>
            </w:tcBorders>
            <w:hideMark/>
          </w:tcPr>
          <w:p w14:paraId="2D946E40"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Category</w:t>
            </w:r>
            <w:proofErr w:type="spellEnd"/>
            <w:r w:rsidRPr="008C5F1C">
              <w:rPr>
                <w:rFonts w:ascii="Times New Roman" w:hAnsi="Times New Roman" w:cs="Times New Roman"/>
                <w:b/>
                <w:sz w:val="16"/>
                <w:szCs w:val="16"/>
              </w:rPr>
              <w:t xml:space="preserve"> of </w:t>
            </w:r>
            <w:proofErr w:type="spellStart"/>
            <w:r w:rsidRPr="008C5F1C">
              <w:rPr>
                <w:rFonts w:ascii="Times New Roman" w:hAnsi="Times New Roman" w:cs="Times New Roman"/>
                <w:b/>
                <w:sz w:val="16"/>
                <w:szCs w:val="16"/>
              </w:rPr>
              <w:t>region</w:t>
            </w:r>
            <w:proofErr w:type="spellEnd"/>
          </w:p>
        </w:tc>
        <w:tc>
          <w:tcPr>
            <w:tcW w:w="281" w:type="pct"/>
            <w:tcBorders>
              <w:top w:val="single" w:sz="4" w:space="0" w:color="auto"/>
              <w:left w:val="single" w:sz="4" w:space="0" w:color="auto"/>
              <w:bottom w:val="single" w:sz="4" w:space="0" w:color="auto"/>
              <w:right w:val="single" w:sz="4" w:space="0" w:color="auto"/>
            </w:tcBorders>
            <w:hideMark/>
          </w:tcPr>
          <w:p w14:paraId="32564DEA"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ID [5]</w:t>
            </w:r>
          </w:p>
        </w:tc>
        <w:tc>
          <w:tcPr>
            <w:tcW w:w="1128" w:type="pct"/>
            <w:tcBorders>
              <w:top w:val="single" w:sz="4" w:space="0" w:color="auto"/>
              <w:left w:val="single" w:sz="4" w:space="0" w:color="auto"/>
              <w:bottom w:val="single" w:sz="4" w:space="0" w:color="auto"/>
              <w:right w:val="single" w:sz="4" w:space="0" w:color="auto"/>
            </w:tcBorders>
            <w:hideMark/>
          </w:tcPr>
          <w:p w14:paraId="33F7DA7B"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 xml:space="preserve">Indicator [255] </w:t>
            </w:r>
          </w:p>
        </w:tc>
        <w:tc>
          <w:tcPr>
            <w:tcW w:w="597" w:type="pct"/>
            <w:tcBorders>
              <w:top w:val="single" w:sz="4" w:space="0" w:color="auto"/>
              <w:left w:val="single" w:sz="4" w:space="0" w:color="auto"/>
              <w:bottom w:val="single" w:sz="4" w:space="0" w:color="auto"/>
              <w:right w:val="single" w:sz="4" w:space="0" w:color="auto"/>
            </w:tcBorders>
            <w:hideMark/>
          </w:tcPr>
          <w:p w14:paraId="46857DAB"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Measurement</w:t>
            </w:r>
            <w:proofErr w:type="spellEnd"/>
            <w:r w:rsidRPr="008C5F1C">
              <w:rPr>
                <w:rFonts w:ascii="Times New Roman" w:hAnsi="Times New Roman" w:cs="Times New Roman"/>
                <w:b/>
                <w:sz w:val="16"/>
                <w:szCs w:val="16"/>
              </w:rPr>
              <w:t xml:space="preserve"> unit</w:t>
            </w:r>
          </w:p>
        </w:tc>
        <w:tc>
          <w:tcPr>
            <w:tcW w:w="539" w:type="pct"/>
            <w:tcBorders>
              <w:top w:val="single" w:sz="4" w:space="0" w:color="auto"/>
              <w:left w:val="single" w:sz="4" w:space="0" w:color="auto"/>
              <w:bottom w:val="single" w:sz="4" w:space="0" w:color="auto"/>
              <w:right w:val="single" w:sz="4" w:space="0" w:color="auto"/>
            </w:tcBorders>
          </w:tcPr>
          <w:p w14:paraId="0A32F2EC"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Milestone</w:t>
            </w:r>
            <w:proofErr w:type="spellEnd"/>
            <w:r w:rsidRPr="008C5F1C">
              <w:rPr>
                <w:rFonts w:ascii="Times New Roman" w:hAnsi="Times New Roman" w:cs="Times New Roman"/>
                <w:b/>
                <w:sz w:val="16"/>
                <w:szCs w:val="16"/>
              </w:rPr>
              <w:t xml:space="preserve"> (2024)</w:t>
            </w:r>
          </w:p>
          <w:p w14:paraId="5F9E0D7E" w14:textId="77777777" w:rsidR="00653571" w:rsidRPr="008C5F1C" w:rsidRDefault="00653571" w:rsidP="00534127">
            <w:pPr>
              <w:rPr>
                <w:rFonts w:ascii="Times New Roman" w:hAnsi="Times New Roman" w:cs="Times New Roman"/>
                <w:b/>
                <w:sz w:val="16"/>
                <w:szCs w:val="16"/>
              </w:rPr>
            </w:pPr>
          </w:p>
        </w:tc>
        <w:tc>
          <w:tcPr>
            <w:tcW w:w="661" w:type="pct"/>
            <w:tcBorders>
              <w:top w:val="single" w:sz="4" w:space="0" w:color="auto"/>
              <w:left w:val="single" w:sz="4" w:space="0" w:color="auto"/>
              <w:bottom w:val="single" w:sz="4" w:space="0" w:color="auto"/>
              <w:right w:val="single" w:sz="4" w:space="0" w:color="auto"/>
            </w:tcBorders>
          </w:tcPr>
          <w:p w14:paraId="4D7878BC"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Target (2029)</w:t>
            </w:r>
          </w:p>
          <w:p w14:paraId="21BC9599" w14:textId="77777777" w:rsidR="00653571" w:rsidRPr="008C5F1C" w:rsidRDefault="00653571" w:rsidP="00534127">
            <w:pPr>
              <w:rPr>
                <w:rFonts w:ascii="Times New Roman" w:hAnsi="Times New Roman" w:cs="Times New Roman"/>
                <w:b/>
                <w:sz w:val="16"/>
                <w:szCs w:val="16"/>
              </w:rPr>
            </w:pPr>
          </w:p>
        </w:tc>
      </w:tr>
      <w:tr w:rsidR="00653571" w:rsidRPr="008C5F1C" w14:paraId="05955DE1" w14:textId="77777777" w:rsidTr="00EA6490">
        <w:trPr>
          <w:trHeight w:val="340"/>
        </w:trPr>
        <w:tc>
          <w:tcPr>
            <w:tcW w:w="391" w:type="pct"/>
            <w:tcBorders>
              <w:top w:val="single" w:sz="4" w:space="0" w:color="auto"/>
              <w:left w:val="single" w:sz="4" w:space="0" w:color="auto"/>
              <w:bottom w:val="single" w:sz="4" w:space="0" w:color="auto"/>
              <w:right w:val="single" w:sz="4" w:space="0" w:color="auto"/>
            </w:tcBorders>
          </w:tcPr>
          <w:p w14:paraId="236E65D2" w14:textId="77777777" w:rsidR="00653571" w:rsidRPr="008C5F1C" w:rsidRDefault="00904C61" w:rsidP="00534127">
            <w:pPr>
              <w:rPr>
                <w:rFonts w:ascii="Times New Roman" w:hAnsi="Times New Roman" w:cs="Times New Roman"/>
                <w:bCs/>
                <w:iCs/>
                <w:sz w:val="16"/>
                <w:szCs w:val="16"/>
              </w:rPr>
            </w:pPr>
            <w:r w:rsidRPr="008C5F1C">
              <w:rPr>
                <w:rFonts w:ascii="Times New Roman" w:hAnsi="Times New Roman" w:cs="Times New Roman"/>
                <w:bCs/>
                <w:iCs/>
                <w:sz w:val="16"/>
                <w:szCs w:val="16"/>
              </w:rPr>
              <w:t>5</w:t>
            </w:r>
          </w:p>
        </w:tc>
        <w:tc>
          <w:tcPr>
            <w:tcW w:w="630" w:type="pct"/>
            <w:tcBorders>
              <w:top w:val="single" w:sz="4" w:space="0" w:color="auto"/>
              <w:left w:val="single" w:sz="4" w:space="0" w:color="auto"/>
              <w:bottom w:val="single" w:sz="4" w:space="0" w:color="auto"/>
              <w:right w:val="single" w:sz="4" w:space="0" w:color="auto"/>
            </w:tcBorders>
          </w:tcPr>
          <w:p w14:paraId="5D44F32B"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bCs/>
                <w:iCs/>
                <w:sz w:val="16"/>
                <w:szCs w:val="16"/>
              </w:rPr>
              <w:t>d (ii) Îmbun</w:t>
            </w:r>
            <w:r w:rsidR="00BA7827" w:rsidRPr="008C5F1C">
              <w:rPr>
                <w:rFonts w:ascii="Times New Roman" w:hAnsi="Times New Roman" w:cs="Times New Roman"/>
                <w:bCs/>
                <w:iCs/>
                <w:sz w:val="16"/>
                <w:szCs w:val="16"/>
              </w:rPr>
              <w:t>ă</w:t>
            </w:r>
            <w:r w:rsidRPr="008C5F1C">
              <w:rPr>
                <w:rFonts w:ascii="Times New Roman" w:hAnsi="Times New Roman" w:cs="Times New Roman"/>
                <w:bCs/>
                <w:iCs/>
                <w:sz w:val="16"/>
                <w:szCs w:val="16"/>
              </w:rPr>
              <w:t>t</w:t>
            </w:r>
            <w:r w:rsidR="00BA7827" w:rsidRPr="008C5F1C">
              <w:rPr>
                <w:rFonts w:ascii="Times New Roman" w:hAnsi="Times New Roman" w:cs="Times New Roman"/>
                <w:bCs/>
                <w:iCs/>
                <w:sz w:val="16"/>
                <w:szCs w:val="16"/>
              </w:rPr>
              <w:t>ă</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 xml:space="preserve">irea accesului la servicii de calitate </w:t>
            </w:r>
            <w:r w:rsidR="00106240" w:rsidRPr="008C5F1C">
              <w:rPr>
                <w:rFonts w:ascii="Times New Roman" w:hAnsi="Times New Roman" w:cs="Times New Roman"/>
                <w:bCs/>
                <w:iCs/>
                <w:sz w:val="16"/>
                <w:szCs w:val="16"/>
              </w:rPr>
              <w:t>ș</w:t>
            </w:r>
            <w:r w:rsidRPr="008C5F1C">
              <w:rPr>
                <w:rFonts w:ascii="Times New Roman" w:hAnsi="Times New Roman" w:cs="Times New Roman"/>
                <w:bCs/>
                <w:iCs/>
                <w:sz w:val="16"/>
                <w:szCs w:val="16"/>
              </w:rPr>
              <w:t>i favorabile incluziunii în educa</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 xml:space="preserve">ie, formare </w:t>
            </w:r>
            <w:r w:rsidR="00106240" w:rsidRPr="008C5F1C">
              <w:rPr>
                <w:rFonts w:ascii="Times New Roman" w:hAnsi="Times New Roman" w:cs="Times New Roman"/>
                <w:bCs/>
                <w:iCs/>
                <w:sz w:val="16"/>
                <w:szCs w:val="16"/>
              </w:rPr>
              <w:t>ș</w:t>
            </w:r>
            <w:r w:rsidRPr="008C5F1C">
              <w:rPr>
                <w:rFonts w:ascii="Times New Roman" w:hAnsi="Times New Roman" w:cs="Times New Roman"/>
                <w:bCs/>
                <w:iCs/>
                <w:sz w:val="16"/>
                <w:szCs w:val="16"/>
              </w:rPr>
              <w:t>i înv</w:t>
            </w:r>
            <w:r w:rsidR="00BA7827" w:rsidRPr="008C5F1C">
              <w:rPr>
                <w:rFonts w:ascii="Times New Roman" w:hAnsi="Times New Roman" w:cs="Times New Roman"/>
                <w:bCs/>
                <w:iCs/>
                <w:sz w:val="16"/>
                <w:szCs w:val="16"/>
              </w:rPr>
              <w:t>ă</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area pe tot parcursul vie</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ii prin dezvoltarea infrastructurii</w:t>
            </w:r>
          </w:p>
        </w:tc>
        <w:tc>
          <w:tcPr>
            <w:tcW w:w="323" w:type="pct"/>
            <w:tcBorders>
              <w:top w:val="single" w:sz="4" w:space="0" w:color="auto"/>
              <w:left w:val="single" w:sz="4" w:space="0" w:color="auto"/>
              <w:bottom w:val="single" w:sz="4" w:space="0" w:color="auto"/>
              <w:right w:val="single" w:sz="4" w:space="0" w:color="auto"/>
            </w:tcBorders>
          </w:tcPr>
          <w:p w14:paraId="39319635"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noProof/>
                <w:sz w:val="16"/>
                <w:szCs w:val="16"/>
              </w:rPr>
              <w:t>FEDR</w:t>
            </w:r>
          </w:p>
        </w:tc>
        <w:tc>
          <w:tcPr>
            <w:tcW w:w="451" w:type="pct"/>
            <w:tcBorders>
              <w:top w:val="single" w:sz="4" w:space="0" w:color="auto"/>
              <w:left w:val="single" w:sz="4" w:space="0" w:color="auto"/>
              <w:bottom w:val="single" w:sz="4" w:space="0" w:color="auto"/>
              <w:right w:val="single" w:sz="4" w:space="0" w:color="auto"/>
            </w:tcBorders>
          </w:tcPr>
          <w:p w14:paraId="3E5C4413"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noProof/>
                <w:sz w:val="16"/>
                <w:szCs w:val="16"/>
              </w:rPr>
              <w:t>Mai pu</w:t>
            </w:r>
            <w:r w:rsidR="00E22FF2" w:rsidRPr="008C5F1C">
              <w:rPr>
                <w:rFonts w:ascii="Times New Roman" w:hAnsi="Times New Roman" w:cs="Times New Roman"/>
                <w:noProof/>
                <w:sz w:val="16"/>
                <w:szCs w:val="16"/>
              </w:rPr>
              <w:t>ț</w:t>
            </w:r>
            <w:r w:rsidRPr="008C5F1C">
              <w:rPr>
                <w:rFonts w:ascii="Times New Roman" w:hAnsi="Times New Roman" w:cs="Times New Roman"/>
                <w:noProof/>
                <w:sz w:val="16"/>
                <w:szCs w:val="16"/>
              </w:rPr>
              <w:t>in dezvoltate</w:t>
            </w:r>
          </w:p>
        </w:tc>
        <w:tc>
          <w:tcPr>
            <w:tcW w:w="281" w:type="pct"/>
            <w:tcBorders>
              <w:top w:val="single" w:sz="4" w:space="0" w:color="auto"/>
              <w:left w:val="single" w:sz="4" w:space="0" w:color="auto"/>
              <w:bottom w:val="single" w:sz="4" w:space="0" w:color="auto"/>
              <w:right w:val="single" w:sz="4" w:space="0" w:color="auto"/>
            </w:tcBorders>
          </w:tcPr>
          <w:p w14:paraId="74AC580D"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bCs/>
                <w:iCs/>
                <w:sz w:val="16"/>
                <w:szCs w:val="16"/>
              </w:rPr>
              <w:t xml:space="preserve">RCO 66 </w:t>
            </w:r>
          </w:p>
          <w:p w14:paraId="12BAF20C" w14:textId="77777777" w:rsidR="00653571" w:rsidRPr="008C5F1C" w:rsidRDefault="00653571" w:rsidP="00534127">
            <w:pPr>
              <w:rPr>
                <w:rFonts w:ascii="Times New Roman" w:hAnsi="Times New Roman" w:cs="Times New Roman"/>
                <w:bCs/>
                <w:iCs/>
                <w:sz w:val="16"/>
                <w:szCs w:val="16"/>
              </w:rPr>
            </w:pPr>
          </w:p>
        </w:tc>
        <w:tc>
          <w:tcPr>
            <w:tcW w:w="1128" w:type="pct"/>
            <w:tcBorders>
              <w:top w:val="single" w:sz="4" w:space="0" w:color="auto"/>
              <w:left w:val="single" w:sz="4" w:space="0" w:color="auto"/>
              <w:bottom w:val="single" w:sz="4" w:space="0" w:color="auto"/>
              <w:right w:val="single" w:sz="4" w:space="0" w:color="auto"/>
            </w:tcBorders>
          </w:tcPr>
          <w:p w14:paraId="28E46BA3"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bCs/>
                <w:iCs/>
                <w:sz w:val="16"/>
                <w:szCs w:val="16"/>
              </w:rPr>
              <w:t>RCO 66 – Capacitatea claselor din cadrul infrastructurilor pentru îngrijirea copiilor care beneficiaz</w:t>
            </w:r>
            <w:r w:rsidR="00BA7827" w:rsidRPr="008C5F1C">
              <w:rPr>
                <w:rFonts w:ascii="Times New Roman" w:hAnsi="Times New Roman" w:cs="Times New Roman"/>
                <w:bCs/>
                <w:iCs/>
                <w:sz w:val="16"/>
                <w:szCs w:val="16"/>
              </w:rPr>
              <w:t>ă</w:t>
            </w:r>
            <w:r w:rsidRPr="008C5F1C">
              <w:rPr>
                <w:rFonts w:ascii="Times New Roman" w:hAnsi="Times New Roman" w:cs="Times New Roman"/>
                <w:bCs/>
                <w:iCs/>
                <w:sz w:val="16"/>
                <w:szCs w:val="16"/>
              </w:rPr>
              <w:t xml:space="preserve"> de sprijin (noi sau modernizate)</w:t>
            </w:r>
          </w:p>
          <w:p w14:paraId="5E02054F" w14:textId="77777777" w:rsidR="00653571" w:rsidRPr="008C5F1C" w:rsidRDefault="00653571" w:rsidP="00534127">
            <w:pPr>
              <w:rPr>
                <w:rFonts w:ascii="Times New Roman" w:hAnsi="Times New Roman" w:cs="Times New Roman"/>
                <w:bCs/>
                <w:iCs/>
                <w:sz w:val="16"/>
                <w:szCs w:val="16"/>
              </w:rPr>
            </w:pPr>
          </w:p>
        </w:tc>
        <w:tc>
          <w:tcPr>
            <w:tcW w:w="597" w:type="pct"/>
            <w:tcBorders>
              <w:top w:val="single" w:sz="4" w:space="0" w:color="auto"/>
              <w:left w:val="single" w:sz="4" w:space="0" w:color="auto"/>
              <w:bottom w:val="single" w:sz="4" w:space="0" w:color="auto"/>
              <w:right w:val="single" w:sz="4" w:space="0" w:color="auto"/>
            </w:tcBorders>
          </w:tcPr>
          <w:p w14:paraId="0E929147" w14:textId="77777777" w:rsidR="00653571" w:rsidRPr="008C5F1C" w:rsidRDefault="00D75434" w:rsidP="00534127">
            <w:pPr>
              <w:rPr>
                <w:rFonts w:ascii="Times New Roman" w:hAnsi="Times New Roman" w:cs="Times New Roman"/>
                <w:bCs/>
                <w:iCs/>
                <w:sz w:val="16"/>
                <w:szCs w:val="16"/>
              </w:rPr>
            </w:pPr>
            <w:r w:rsidRPr="008C5F1C">
              <w:rPr>
                <w:rFonts w:ascii="Times New Roman" w:hAnsi="Times New Roman" w:cs="Times New Roman"/>
                <w:bCs/>
                <w:iCs/>
                <w:sz w:val="16"/>
                <w:szCs w:val="16"/>
              </w:rPr>
              <w:t>Persoane</w:t>
            </w:r>
          </w:p>
        </w:tc>
        <w:tc>
          <w:tcPr>
            <w:tcW w:w="539" w:type="pct"/>
            <w:tcBorders>
              <w:top w:val="single" w:sz="4" w:space="0" w:color="auto"/>
              <w:left w:val="single" w:sz="4" w:space="0" w:color="auto"/>
              <w:bottom w:val="single" w:sz="4" w:space="0" w:color="auto"/>
              <w:right w:val="single" w:sz="4" w:space="0" w:color="auto"/>
            </w:tcBorders>
          </w:tcPr>
          <w:p w14:paraId="27DC01A6" w14:textId="79BC3B73" w:rsidR="00653571" w:rsidRPr="008C5F1C" w:rsidRDefault="009B746B" w:rsidP="00534127">
            <w:pPr>
              <w:rPr>
                <w:rFonts w:ascii="Times New Roman" w:hAnsi="Times New Roman" w:cs="Times New Roman"/>
                <w:bCs/>
                <w:iCs/>
                <w:sz w:val="16"/>
                <w:szCs w:val="16"/>
              </w:rPr>
            </w:pPr>
            <w:r w:rsidRPr="008C5F1C">
              <w:rPr>
                <w:rFonts w:ascii="Times New Roman" w:hAnsi="Times New Roman" w:cs="Times New Roman"/>
                <w:bCs/>
                <w:iCs/>
                <w:sz w:val="16"/>
                <w:szCs w:val="16"/>
              </w:rPr>
              <w:t>150</w:t>
            </w:r>
          </w:p>
        </w:tc>
        <w:tc>
          <w:tcPr>
            <w:tcW w:w="661" w:type="pct"/>
            <w:tcBorders>
              <w:top w:val="single" w:sz="4" w:space="0" w:color="auto"/>
              <w:left w:val="single" w:sz="4" w:space="0" w:color="auto"/>
              <w:bottom w:val="single" w:sz="4" w:space="0" w:color="auto"/>
              <w:right w:val="single" w:sz="4" w:space="0" w:color="auto"/>
            </w:tcBorders>
          </w:tcPr>
          <w:p w14:paraId="3E380144" w14:textId="4541B518" w:rsidR="00653571" w:rsidRPr="008C5F1C" w:rsidRDefault="009B746B" w:rsidP="00534127">
            <w:pPr>
              <w:rPr>
                <w:rFonts w:ascii="Times New Roman" w:hAnsi="Times New Roman" w:cs="Times New Roman"/>
                <w:bCs/>
                <w:iCs/>
                <w:sz w:val="16"/>
                <w:szCs w:val="16"/>
              </w:rPr>
            </w:pPr>
            <w:r w:rsidRPr="008C5F1C">
              <w:rPr>
                <w:rFonts w:ascii="Times New Roman" w:hAnsi="Times New Roman" w:cs="Times New Roman"/>
                <w:bCs/>
                <w:iCs/>
                <w:sz w:val="16"/>
                <w:szCs w:val="16"/>
              </w:rPr>
              <w:t>1.500</w:t>
            </w:r>
          </w:p>
        </w:tc>
      </w:tr>
      <w:tr w:rsidR="00653571" w:rsidRPr="008C5F1C" w14:paraId="0D3CEA6B" w14:textId="77777777" w:rsidTr="00EA6490">
        <w:trPr>
          <w:trHeight w:val="340"/>
        </w:trPr>
        <w:tc>
          <w:tcPr>
            <w:tcW w:w="391" w:type="pct"/>
            <w:tcBorders>
              <w:top w:val="single" w:sz="4" w:space="0" w:color="auto"/>
              <w:left w:val="single" w:sz="4" w:space="0" w:color="auto"/>
              <w:bottom w:val="single" w:sz="4" w:space="0" w:color="auto"/>
              <w:right w:val="single" w:sz="4" w:space="0" w:color="auto"/>
            </w:tcBorders>
          </w:tcPr>
          <w:p w14:paraId="4E3F41DA" w14:textId="77777777" w:rsidR="00653571" w:rsidRPr="008C5F1C" w:rsidRDefault="00904C61" w:rsidP="00534127">
            <w:pPr>
              <w:rPr>
                <w:rFonts w:ascii="Times New Roman" w:hAnsi="Times New Roman" w:cs="Times New Roman"/>
                <w:bCs/>
                <w:iCs/>
                <w:sz w:val="16"/>
                <w:szCs w:val="16"/>
              </w:rPr>
            </w:pPr>
            <w:r w:rsidRPr="008C5F1C">
              <w:rPr>
                <w:rFonts w:ascii="Times New Roman" w:hAnsi="Times New Roman" w:cs="Times New Roman"/>
                <w:bCs/>
                <w:iCs/>
                <w:sz w:val="16"/>
                <w:szCs w:val="16"/>
              </w:rPr>
              <w:t>5</w:t>
            </w:r>
          </w:p>
        </w:tc>
        <w:tc>
          <w:tcPr>
            <w:tcW w:w="630" w:type="pct"/>
            <w:tcBorders>
              <w:top w:val="single" w:sz="4" w:space="0" w:color="auto"/>
              <w:left w:val="single" w:sz="4" w:space="0" w:color="auto"/>
              <w:bottom w:val="single" w:sz="4" w:space="0" w:color="auto"/>
              <w:right w:val="single" w:sz="4" w:space="0" w:color="auto"/>
            </w:tcBorders>
          </w:tcPr>
          <w:p w14:paraId="6BCE1C1D"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bCs/>
                <w:iCs/>
                <w:sz w:val="16"/>
                <w:szCs w:val="16"/>
              </w:rPr>
              <w:t>d (ii) Îmbun</w:t>
            </w:r>
            <w:r w:rsidR="00BA7827" w:rsidRPr="008C5F1C">
              <w:rPr>
                <w:rFonts w:ascii="Times New Roman" w:hAnsi="Times New Roman" w:cs="Times New Roman"/>
                <w:bCs/>
                <w:iCs/>
                <w:sz w:val="16"/>
                <w:szCs w:val="16"/>
              </w:rPr>
              <w:t>ă</w:t>
            </w:r>
            <w:r w:rsidRPr="008C5F1C">
              <w:rPr>
                <w:rFonts w:ascii="Times New Roman" w:hAnsi="Times New Roman" w:cs="Times New Roman"/>
                <w:bCs/>
                <w:iCs/>
                <w:sz w:val="16"/>
                <w:szCs w:val="16"/>
              </w:rPr>
              <w:t>t</w:t>
            </w:r>
            <w:r w:rsidR="00BA7827" w:rsidRPr="008C5F1C">
              <w:rPr>
                <w:rFonts w:ascii="Times New Roman" w:hAnsi="Times New Roman" w:cs="Times New Roman"/>
                <w:bCs/>
                <w:iCs/>
                <w:sz w:val="16"/>
                <w:szCs w:val="16"/>
              </w:rPr>
              <w:t>ă</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 xml:space="preserve">irea accesului la </w:t>
            </w:r>
            <w:r w:rsidRPr="008C5F1C">
              <w:rPr>
                <w:rFonts w:ascii="Times New Roman" w:hAnsi="Times New Roman" w:cs="Times New Roman"/>
                <w:bCs/>
                <w:iCs/>
                <w:sz w:val="16"/>
                <w:szCs w:val="16"/>
              </w:rPr>
              <w:lastRenderedPageBreak/>
              <w:t xml:space="preserve">servicii de calitate </w:t>
            </w:r>
            <w:r w:rsidR="00106240" w:rsidRPr="008C5F1C">
              <w:rPr>
                <w:rFonts w:ascii="Times New Roman" w:hAnsi="Times New Roman" w:cs="Times New Roman"/>
                <w:bCs/>
                <w:iCs/>
                <w:sz w:val="16"/>
                <w:szCs w:val="16"/>
              </w:rPr>
              <w:t>ș</w:t>
            </w:r>
            <w:r w:rsidRPr="008C5F1C">
              <w:rPr>
                <w:rFonts w:ascii="Times New Roman" w:hAnsi="Times New Roman" w:cs="Times New Roman"/>
                <w:bCs/>
                <w:iCs/>
                <w:sz w:val="16"/>
                <w:szCs w:val="16"/>
              </w:rPr>
              <w:t>i favorabile incluziunii în educa</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 xml:space="preserve">ie, formare </w:t>
            </w:r>
            <w:r w:rsidR="00106240" w:rsidRPr="008C5F1C">
              <w:rPr>
                <w:rFonts w:ascii="Times New Roman" w:hAnsi="Times New Roman" w:cs="Times New Roman"/>
                <w:bCs/>
                <w:iCs/>
                <w:sz w:val="16"/>
                <w:szCs w:val="16"/>
              </w:rPr>
              <w:t>ș</w:t>
            </w:r>
            <w:r w:rsidRPr="008C5F1C">
              <w:rPr>
                <w:rFonts w:ascii="Times New Roman" w:hAnsi="Times New Roman" w:cs="Times New Roman"/>
                <w:bCs/>
                <w:iCs/>
                <w:sz w:val="16"/>
                <w:szCs w:val="16"/>
              </w:rPr>
              <w:t>i înv</w:t>
            </w:r>
            <w:r w:rsidR="00BA7827" w:rsidRPr="008C5F1C">
              <w:rPr>
                <w:rFonts w:ascii="Times New Roman" w:hAnsi="Times New Roman" w:cs="Times New Roman"/>
                <w:bCs/>
                <w:iCs/>
                <w:sz w:val="16"/>
                <w:szCs w:val="16"/>
              </w:rPr>
              <w:t>ă</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area pe tot parcursul vie</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ii prin dezvoltarea infrastructurii</w:t>
            </w:r>
          </w:p>
        </w:tc>
        <w:tc>
          <w:tcPr>
            <w:tcW w:w="323" w:type="pct"/>
            <w:tcBorders>
              <w:top w:val="single" w:sz="4" w:space="0" w:color="auto"/>
              <w:left w:val="single" w:sz="4" w:space="0" w:color="auto"/>
              <w:bottom w:val="single" w:sz="4" w:space="0" w:color="auto"/>
              <w:right w:val="single" w:sz="4" w:space="0" w:color="auto"/>
            </w:tcBorders>
          </w:tcPr>
          <w:p w14:paraId="5D196F28" w14:textId="77777777" w:rsidR="00653571" w:rsidRPr="008C5F1C" w:rsidRDefault="00653571" w:rsidP="00534127">
            <w:pPr>
              <w:rPr>
                <w:rFonts w:ascii="Times New Roman" w:hAnsi="Times New Roman" w:cs="Times New Roman"/>
                <w:noProof/>
                <w:sz w:val="16"/>
                <w:szCs w:val="16"/>
              </w:rPr>
            </w:pPr>
            <w:r w:rsidRPr="008C5F1C">
              <w:rPr>
                <w:rFonts w:ascii="Times New Roman" w:hAnsi="Times New Roman" w:cs="Times New Roman"/>
                <w:noProof/>
                <w:sz w:val="16"/>
                <w:szCs w:val="16"/>
              </w:rPr>
              <w:lastRenderedPageBreak/>
              <w:t>FEDR</w:t>
            </w:r>
          </w:p>
        </w:tc>
        <w:tc>
          <w:tcPr>
            <w:tcW w:w="451" w:type="pct"/>
            <w:tcBorders>
              <w:top w:val="single" w:sz="4" w:space="0" w:color="auto"/>
              <w:left w:val="single" w:sz="4" w:space="0" w:color="auto"/>
              <w:bottom w:val="single" w:sz="4" w:space="0" w:color="auto"/>
              <w:right w:val="single" w:sz="4" w:space="0" w:color="auto"/>
            </w:tcBorders>
          </w:tcPr>
          <w:p w14:paraId="33CA3DA7" w14:textId="77777777" w:rsidR="00653571" w:rsidRPr="008C5F1C" w:rsidRDefault="00653571" w:rsidP="00534127">
            <w:pPr>
              <w:rPr>
                <w:rFonts w:ascii="Times New Roman" w:hAnsi="Times New Roman" w:cs="Times New Roman"/>
                <w:noProof/>
                <w:sz w:val="16"/>
                <w:szCs w:val="16"/>
              </w:rPr>
            </w:pPr>
            <w:r w:rsidRPr="008C5F1C">
              <w:rPr>
                <w:rFonts w:ascii="Times New Roman" w:hAnsi="Times New Roman" w:cs="Times New Roman"/>
                <w:noProof/>
                <w:sz w:val="16"/>
                <w:szCs w:val="16"/>
              </w:rPr>
              <w:t>Mai pu</w:t>
            </w:r>
            <w:r w:rsidR="00E22FF2" w:rsidRPr="008C5F1C">
              <w:rPr>
                <w:rFonts w:ascii="Times New Roman" w:hAnsi="Times New Roman" w:cs="Times New Roman"/>
                <w:noProof/>
                <w:sz w:val="16"/>
                <w:szCs w:val="16"/>
              </w:rPr>
              <w:t>ț</w:t>
            </w:r>
            <w:r w:rsidRPr="008C5F1C">
              <w:rPr>
                <w:rFonts w:ascii="Times New Roman" w:hAnsi="Times New Roman" w:cs="Times New Roman"/>
                <w:noProof/>
                <w:sz w:val="16"/>
                <w:szCs w:val="16"/>
              </w:rPr>
              <w:t>in dezvoltate</w:t>
            </w:r>
          </w:p>
        </w:tc>
        <w:tc>
          <w:tcPr>
            <w:tcW w:w="281" w:type="pct"/>
            <w:tcBorders>
              <w:top w:val="single" w:sz="4" w:space="0" w:color="auto"/>
              <w:left w:val="single" w:sz="4" w:space="0" w:color="auto"/>
              <w:bottom w:val="single" w:sz="4" w:space="0" w:color="auto"/>
              <w:right w:val="single" w:sz="4" w:space="0" w:color="auto"/>
            </w:tcBorders>
          </w:tcPr>
          <w:p w14:paraId="70AC0DA0"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bCs/>
                <w:iCs/>
                <w:sz w:val="16"/>
                <w:szCs w:val="16"/>
              </w:rPr>
              <w:t>RCO 67</w:t>
            </w:r>
          </w:p>
        </w:tc>
        <w:tc>
          <w:tcPr>
            <w:tcW w:w="1128" w:type="pct"/>
            <w:tcBorders>
              <w:top w:val="single" w:sz="4" w:space="0" w:color="auto"/>
              <w:left w:val="single" w:sz="4" w:space="0" w:color="auto"/>
              <w:bottom w:val="single" w:sz="4" w:space="0" w:color="auto"/>
              <w:right w:val="single" w:sz="4" w:space="0" w:color="auto"/>
            </w:tcBorders>
          </w:tcPr>
          <w:p w14:paraId="1393AACA"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bCs/>
                <w:iCs/>
                <w:sz w:val="16"/>
                <w:szCs w:val="16"/>
              </w:rPr>
              <w:t xml:space="preserve">RCO 67 – Capacitatea claselor din cadrul infrastructurilor din domeniul </w:t>
            </w:r>
            <w:r w:rsidRPr="008C5F1C">
              <w:rPr>
                <w:rFonts w:ascii="Times New Roman" w:hAnsi="Times New Roman" w:cs="Times New Roman"/>
                <w:bCs/>
                <w:iCs/>
                <w:sz w:val="16"/>
                <w:szCs w:val="16"/>
              </w:rPr>
              <w:lastRenderedPageBreak/>
              <w:t>înv</w:t>
            </w:r>
            <w:r w:rsidR="00BA7827" w:rsidRPr="008C5F1C">
              <w:rPr>
                <w:rFonts w:ascii="Times New Roman" w:hAnsi="Times New Roman" w:cs="Times New Roman"/>
                <w:bCs/>
                <w:iCs/>
                <w:sz w:val="16"/>
                <w:szCs w:val="16"/>
              </w:rPr>
              <w:t>ă</w:t>
            </w:r>
            <w:r w:rsidR="00E22FF2" w:rsidRPr="008C5F1C">
              <w:rPr>
                <w:rFonts w:ascii="Times New Roman" w:hAnsi="Times New Roman" w:cs="Times New Roman"/>
                <w:bCs/>
                <w:iCs/>
                <w:sz w:val="16"/>
                <w:szCs w:val="16"/>
              </w:rPr>
              <w:t>ț</w:t>
            </w:r>
            <w:r w:rsidR="00BA7827" w:rsidRPr="008C5F1C">
              <w:rPr>
                <w:rFonts w:ascii="Times New Roman" w:hAnsi="Times New Roman" w:cs="Times New Roman"/>
                <w:bCs/>
                <w:iCs/>
                <w:sz w:val="16"/>
                <w:szCs w:val="16"/>
              </w:rPr>
              <w:t>ă</w:t>
            </w:r>
            <w:r w:rsidRPr="008C5F1C">
              <w:rPr>
                <w:rFonts w:ascii="Times New Roman" w:hAnsi="Times New Roman" w:cs="Times New Roman"/>
                <w:bCs/>
                <w:iCs/>
                <w:sz w:val="16"/>
                <w:szCs w:val="16"/>
              </w:rPr>
              <w:t>mântului care beneficiaz</w:t>
            </w:r>
            <w:r w:rsidR="00BA7827" w:rsidRPr="008C5F1C">
              <w:rPr>
                <w:rFonts w:ascii="Times New Roman" w:hAnsi="Times New Roman" w:cs="Times New Roman"/>
                <w:bCs/>
                <w:iCs/>
                <w:sz w:val="16"/>
                <w:szCs w:val="16"/>
              </w:rPr>
              <w:t>ă</w:t>
            </w:r>
            <w:r w:rsidRPr="008C5F1C">
              <w:rPr>
                <w:rFonts w:ascii="Times New Roman" w:hAnsi="Times New Roman" w:cs="Times New Roman"/>
                <w:bCs/>
                <w:iCs/>
                <w:sz w:val="16"/>
                <w:szCs w:val="16"/>
              </w:rPr>
              <w:t xml:space="preserve"> de sprijin (noi sau modernizate)</w:t>
            </w:r>
          </w:p>
        </w:tc>
        <w:tc>
          <w:tcPr>
            <w:tcW w:w="597" w:type="pct"/>
            <w:tcBorders>
              <w:top w:val="single" w:sz="4" w:space="0" w:color="auto"/>
              <w:left w:val="single" w:sz="4" w:space="0" w:color="auto"/>
              <w:bottom w:val="single" w:sz="4" w:space="0" w:color="auto"/>
              <w:right w:val="single" w:sz="4" w:space="0" w:color="auto"/>
            </w:tcBorders>
          </w:tcPr>
          <w:p w14:paraId="230BBE02" w14:textId="77777777" w:rsidR="00653571" w:rsidRPr="008C5F1C" w:rsidRDefault="00D75434" w:rsidP="00534127">
            <w:pPr>
              <w:rPr>
                <w:rFonts w:ascii="Times New Roman" w:hAnsi="Times New Roman" w:cs="Times New Roman"/>
                <w:bCs/>
                <w:iCs/>
                <w:sz w:val="16"/>
                <w:szCs w:val="16"/>
              </w:rPr>
            </w:pPr>
            <w:r w:rsidRPr="008C5F1C">
              <w:rPr>
                <w:rFonts w:ascii="Times New Roman" w:hAnsi="Times New Roman" w:cs="Times New Roman"/>
                <w:bCs/>
                <w:iCs/>
                <w:sz w:val="16"/>
                <w:szCs w:val="16"/>
              </w:rPr>
              <w:lastRenderedPageBreak/>
              <w:t>persoane</w:t>
            </w:r>
          </w:p>
        </w:tc>
        <w:tc>
          <w:tcPr>
            <w:tcW w:w="539" w:type="pct"/>
            <w:tcBorders>
              <w:top w:val="single" w:sz="4" w:space="0" w:color="auto"/>
              <w:left w:val="single" w:sz="4" w:space="0" w:color="auto"/>
              <w:bottom w:val="single" w:sz="4" w:space="0" w:color="auto"/>
              <w:right w:val="single" w:sz="4" w:space="0" w:color="auto"/>
            </w:tcBorders>
          </w:tcPr>
          <w:p w14:paraId="1485162A" w14:textId="29F4700D" w:rsidR="00653571" w:rsidRPr="008C5F1C" w:rsidRDefault="00DD0134" w:rsidP="00534127">
            <w:pPr>
              <w:rPr>
                <w:rFonts w:ascii="Times New Roman" w:hAnsi="Times New Roman" w:cs="Times New Roman"/>
                <w:bCs/>
                <w:iCs/>
                <w:sz w:val="16"/>
                <w:szCs w:val="16"/>
              </w:rPr>
            </w:pPr>
            <w:r w:rsidRPr="008C5F1C">
              <w:rPr>
                <w:rFonts w:ascii="Times New Roman" w:hAnsi="Times New Roman" w:cs="Times New Roman"/>
                <w:bCs/>
                <w:iCs/>
                <w:sz w:val="16"/>
                <w:szCs w:val="16"/>
              </w:rPr>
              <w:t>2.000</w:t>
            </w:r>
          </w:p>
        </w:tc>
        <w:tc>
          <w:tcPr>
            <w:tcW w:w="661" w:type="pct"/>
            <w:tcBorders>
              <w:top w:val="single" w:sz="4" w:space="0" w:color="auto"/>
              <w:left w:val="single" w:sz="4" w:space="0" w:color="auto"/>
              <w:bottom w:val="single" w:sz="4" w:space="0" w:color="auto"/>
              <w:right w:val="single" w:sz="4" w:space="0" w:color="auto"/>
            </w:tcBorders>
          </w:tcPr>
          <w:p w14:paraId="50B00F04" w14:textId="1D82BA2F" w:rsidR="00653571" w:rsidRPr="008C5F1C" w:rsidRDefault="009A7CCC" w:rsidP="00534127">
            <w:pPr>
              <w:rPr>
                <w:rFonts w:ascii="Times New Roman" w:hAnsi="Times New Roman" w:cs="Times New Roman"/>
                <w:bCs/>
                <w:iCs/>
                <w:sz w:val="16"/>
                <w:szCs w:val="16"/>
              </w:rPr>
            </w:pPr>
            <w:r w:rsidRPr="008C5F1C">
              <w:rPr>
                <w:rFonts w:ascii="Times New Roman" w:hAnsi="Times New Roman" w:cs="Times New Roman"/>
                <w:bCs/>
                <w:iCs/>
                <w:sz w:val="16"/>
                <w:szCs w:val="16"/>
              </w:rPr>
              <w:t>2</w:t>
            </w:r>
            <w:r w:rsidR="00DD0134" w:rsidRPr="008C5F1C">
              <w:rPr>
                <w:rFonts w:ascii="Times New Roman" w:hAnsi="Times New Roman" w:cs="Times New Roman"/>
                <w:bCs/>
                <w:iCs/>
                <w:sz w:val="16"/>
                <w:szCs w:val="16"/>
              </w:rPr>
              <w:t>0</w:t>
            </w:r>
            <w:r w:rsidRPr="008C5F1C">
              <w:rPr>
                <w:rFonts w:ascii="Times New Roman" w:hAnsi="Times New Roman" w:cs="Times New Roman"/>
                <w:bCs/>
                <w:iCs/>
                <w:sz w:val="16"/>
                <w:szCs w:val="16"/>
              </w:rPr>
              <w:t>.000</w:t>
            </w:r>
          </w:p>
        </w:tc>
      </w:tr>
    </w:tbl>
    <w:p w14:paraId="74F9B5CD" w14:textId="77777777" w:rsidR="00653571" w:rsidRPr="008C5F1C" w:rsidRDefault="00653571" w:rsidP="00653571">
      <w:pPr>
        <w:rPr>
          <w:rFonts w:ascii="Times New Roman" w:hAnsi="Times New Roman" w:cs="Times New Roman"/>
        </w:rPr>
      </w:pPr>
    </w:p>
    <w:tbl>
      <w:tblPr>
        <w:tblW w:w="50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8"/>
        <w:gridCol w:w="1105"/>
        <w:gridCol w:w="625"/>
        <w:gridCol w:w="874"/>
        <w:gridCol w:w="537"/>
        <w:gridCol w:w="1176"/>
        <w:gridCol w:w="1158"/>
        <w:gridCol w:w="856"/>
        <w:gridCol w:w="900"/>
        <w:gridCol w:w="679"/>
        <w:gridCol w:w="688"/>
        <w:gridCol w:w="954"/>
      </w:tblGrid>
      <w:tr w:rsidR="00653571" w:rsidRPr="008C5F1C" w14:paraId="357E8E38" w14:textId="77777777" w:rsidTr="008B3BA1">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14:paraId="2AC07CC0" w14:textId="77777777" w:rsidR="00653571" w:rsidRPr="008C5F1C" w:rsidRDefault="00653571" w:rsidP="00534127">
            <w:pPr>
              <w:rPr>
                <w:rFonts w:ascii="Times New Roman" w:hAnsi="Times New Roman" w:cs="Times New Roman"/>
                <w:b/>
              </w:rPr>
            </w:pPr>
            <w:r w:rsidRPr="008C5F1C">
              <w:rPr>
                <w:rFonts w:ascii="Times New Roman" w:hAnsi="Times New Roman" w:cs="Times New Roman"/>
                <w:b/>
                <w:iCs/>
              </w:rPr>
              <w:t xml:space="preserve">Table 3: </w:t>
            </w:r>
            <w:proofErr w:type="spellStart"/>
            <w:r w:rsidRPr="008C5F1C">
              <w:rPr>
                <w:rFonts w:ascii="Times New Roman" w:hAnsi="Times New Roman" w:cs="Times New Roman"/>
                <w:b/>
                <w:iCs/>
              </w:rPr>
              <w:t>Result</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indicators</w:t>
            </w:r>
            <w:proofErr w:type="spellEnd"/>
          </w:p>
        </w:tc>
      </w:tr>
      <w:tr w:rsidR="00653571" w:rsidRPr="008C5F1C" w14:paraId="0E781F26" w14:textId="77777777" w:rsidTr="008B3BA1">
        <w:trPr>
          <w:trHeight w:val="1768"/>
        </w:trPr>
        <w:tc>
          <w:tcPr>
            <w:tcW w:w="365" w:type="pct"/>
            <w:tcBorders>
              <w:top w:val="single" w:sz="4" w:space="0" w:color="auto"/>
              <w:left w:val="single" w:sz="4" w:space="0" w:color="auto"/>
              <w:bottom w:val="single" w:sz="4" w:space="0" w:color="auto"/>
              <w:right w:val="single" w:sz="4" w:space="0" w:color="auto"/>
            </w:tcBorders>
            <w:hideMark/>
          </w:tcPr>
          <w:p w14:paraId="5322C439"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Priority</w:t>
            </w:r>
            <w:proofErr w:type="spellEnd"/>
            <w:r w:rsidRPr="008C5F1C">
              <w:rPr>
                <w:rFonts w:ascii="Times New Roman" w:hAnsi="Times New Roman" w:cs="Times New Roman"/>
                <w:b/>
                <w:sz w:val="16"/>
                <w:szCs w:val="16"/>
              </w:rPr>
              <w:t xml:space="preserve"> </w:t>
            </w:r>
          </w:p>
        </w:tc>
        <w:tc>
          <w:tcPr>
            <w:tcW w:w="580" w:type="pct"/>
            <w:tcBorders>
              <w:top w:val="single" w:sz="4" w:space="0" w:color="auto"/>
              <w:left w:val="single" w:sz="4" w:space="0" w:color="auto"/>
              <w:bottom w:val="single" w:sz="4" w:space="0" w:color="auto"/>
              <w:right w:val="single" w:sz="4" w:space="0" w:color="auto"/>
            </w:tcBorders>
            <w:hideMark/>
          </w:tcPr>
          <w:p w14:paraId="77CE9C4A"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 xml:space="preserve">Specific </w:t>
            </w:r>
            <w:proofErr w:type="spellStart"/>
            <w:r w:rsidRPr="008C5F1C">
              <w:rPr>
                <w:rFonts w:ascii="Times New Roman" w:hAnsi="Times New Roman" w:cs="Times New Roman"/>
                <w:b/>
                <w:sz w:val="16"/>
                <w:szCs w:val="16"/>
              </w:rPr>
              <w:t>objective</w:t>
            </w:r>
            <w:proofErr w:type="spellEnd"/>
            <w:r w:rsidRPr="008C5F1C">
              <w:rPr>
                <w:rFonts w:ascii="Times New Roman" w:hAnsi="Times New Roman" w:cs="Times New Roman"/>
                <w:b/>
                <w:sz w:val="16"/>
                <w:szCs w:val="16"/>
              </w:rPr>
              <w:t xml:space="preserve"> (Investment for </w:t>
            </w:r>
            <w:proofErr w:type="spellStart"/>
            <w:r w:rsidRPr="008C5F1C">
              <w:rPr>
                <w:rFonts w:ascii="Times New Roman" w:hAnsi="Times New Roman" w:cs="Times New Roman"/>
                <w:b/>
                <w:sz w:val="16"/>
                <w:szCs w:val="16"/>
              </w:rPr>
              <w:t>Jobs</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and</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Growth</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goal</w:t>
            </w:r>
            <w:proofErr w:type="spellEnd"/>
            <w:r w:rsidRPr="008C5F1C">
              <w:rPr>
                <w:rFonts w:ascii="Times New Roman" w:hAnsi="Times New Roman" w:cs="Times New Roman"/>
                <w:b/>
                <w:sz w:val="16"/>
                <w:szCs w:val="16"/>
              </w:rPr>
              <w:t xml:space="preserve"> or EMFF)</w:t>
            </w:r>
          </w:p>
        </w:tc>
        <w:tc>
          <w:tcPr>
            <w:tcW w:w="303" w:type="pct"/>
            <w:tcBorders>
              <w:top w:val="single" w:sz="4" w:space="0" w:color="auto"/>
              <w:left w:val="single" w:sz="4" w:space="0" w:color="auto"/>
              <w:bottom w:val="single" w:sz="4" w:space="0" w:color="auto"/>
              <w:right w:val="single" w:sz="4" w:space="0" w:color="auto"/>
            </w:tcBorders>
            <w:hideMark/>
          </w:tcPr>
          <w:p w14:paraId="4C4EBE11"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Fund</w:t>
            </w:r>
          </w:p>
        </w:tc>
        <w:tc>
          <w:tcPr>
            <w:tcW w:w="419" w:type="pct"/>
            <w:tcBorders>
              <w:top w:val="single" w:sz="4" w:space="0" w:color="auto"/>
              <w:left w:val="single" w:sz="4" w:space="0" w:color="auto"/>
              <w:bottom w:val="single" w:sz="4" w:space="0" w:color="auto"/>
              <w:right w:val="single" w:sz="4" w:space="0" w:color="auto"/>
            </w:tcBorders>
            <w:hideMark/>
          </w:tcPr>
          <w:p w14:paraId="03DE5D55"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Category</w:t>
            </w:r>
            <w:proofErr w:type="spellEnd"/>
            <w:r w:rsidRPr="008C5F1C">
              <w:rPr>
                <w:rFonts w:ascii="Times New Roman" w:hAnsi="Times New Roman" w:cs="Times New Roman"/>
                <w:b/>
                <w:sz w:val="16"/>
                <w:szCs w:val="16"/>
              </w:rPr>
              <w:t xml:space="preserve"> of </w:t>
            </w:r>
            <w:proofErr w:type="spellStart"/>
            <w:r w:rsidRPr="008C5F1C">
              <w:rPr>
                <w:rFonts w:ascii="Times New Roman" w:hAnsi="Times New Roman" w:cs="Times New Roman"/>
                <w:b/>
                <w:sz w:val="16"/>
                <w:szCs w:val="16"/>
              </w:rPr>
              <w:t>region</w:t>
            </w:r>
            <w:proofErr w:type="spellEnd"/>
            <w:r w:rsidRPr="008C5F1C">
              <w:rPr>
                <w:rFonts w:ascii="Times New Roman" w:hAnsi="Times New Roman" w:cs="Times New Roman"/>
                <w:b/>
                <w:sz w:val="16"/>
                <w:szCs w:val="16"/>
              </w:rPr>
              <w:t xml:space="preserve"> </w:t>
            </w:r>
          </w:p>
        </w:tc>
        <w:tc>
          <w:tcPr>
            <w:tcW w:w="262" w:type="pct"/>
            <w:tcBorders>
              <w:top w:val="single" w:sz="4" w:space="0" w:color="auto"/>
              <w:left w:val="single" w:sz="4" w:space="0" w:color="auto"/>
              <w:bottom w:val="single" w:sz="4" w:space="0" w:color="auto"/>
              <w:right w:val="single" w:sz="4" w:space="0" w:color="auto"/>
            </w:tcBorders>
            <w:hideMark/>
          </w:tcPr>
          <w:p w14:paraId="04AF407A"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ID [5]</w:t>
            </w:r>
          </w:p>
        </w:tc>
        <w:tc>
          <w:tcPr>
            <w:tcW w:w="561" w:type="pct"/>
            <w:tcBorders>
              <w:top w:val="single" w:sz="4" w:space="0" w:color="auto"/>
              <w:left w:val="single" w:sz="4" w:space="0" w:color="auto"/>
              <w:bottom w:val="single" w:sz="4" w:space="0" w:color="auto"/>
              <w:right w:val="single" w:sz="4" w:space="0" w:color="auto"/>
            </w:tcBorders>
            <w:hideMark/>
          </w:tcPr>
          <w:p w14:paraId="52493D72"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Indicator [255]</w:t>
            </w:r>
          </w:p>
        </w:tc>
        <w:tc>
          <w:tcPr>
            <w:tcW w:w="552" w:type="pct"/>
            <w:tcBorders>
              <w:top w:val="single" w:sz="4" w:space="0" w:color="auto"/>
              <w:left w:val="single" w:sz="4" w:space="0" w:color="auto"/>
              <w:bottom w:val="single" w:sz="4" w:space="0" w:color="auto"/>
              <w:right w:val="single" w:sz="4" w:space="0" w:color="auto"/>
            </w:tcBorders>
            <w:hideMark/>
          </w:tcPr>
          <w:p w14:paraId="5EC70FEF"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Measurement</w:t>
            </w:r>
            <w:proofErr w:type="spellEnd"/>
            <w:r w:rsidRPr="008C5F1C">
              <w:rPr>
                <w:rFonts w:ascii="Times New Roman" w:hAnsi="Times New Roman" w:cs="Times New Roman"/>
                <w:b/>
                <w:sz w:val="16"/>
                <w:szCs w:val="16"/>
              </w:rPr>
              <w:t xml:space="preserve"> unit</w:t>
            </w:r>
          </w:p>
        </w:tc>
        <w:tc>
          <w:tcPr>
            <w:tcW w:w="411" w:type="pct"/>
            <w:tcBorders>
              <w:top w:val="single" w:sz="4" w:space="0" w:color="auto"/>
              <w:left w:val="single" w:sz="4" w:space="0" w:color="auto"/>
              <w:bottom w:val="single" w:sz="4" w:space="0" w:color="auto"/>
              <w:right w:val="single" w:sz="4" w:space="0" w:color="auto"/>
            </w:tcBorders>
            <w:hideMark/>
          </w:tcPr>
          <w:p w14:paraId="15BB35A5"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Baseline</w:t>
            </w:r>
            <w:proofErr w:type="spellEnd"/>
            <w:r w:rsidRPr="008C5F1C">
              <w:rPr>
                <w:rFonts w:ascii="Times New Roman" w:hAnsi="Times New Roman" w:cs="Times New Roman"/>
                <w:b/>
                <w:sz w:val="16"/>
                <w:szCs w:val="16"/>
              </w:rPr>
              <w:t xml:space="preserve"> or </w:t>
            </w:r>
            <w:proofErr w:type="spellStart"/>
            <w:r w:rsidRPr="008C5F1C">
              <w:rPr>
                <w:rFonts w:ascii="Times New Roman" w:hAnsi="Times New Roman" w:cs="Times New Roman"/>
                <w:b/>
                <w:sz w:val="16"/>
                <w:szCs w:val="16"/>
              </w:rPr>
              <w:t>reference</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value</w:t>
            </w:r>
            <w:proofErr w:type="spellEnd"/>
          </w:p>
        </w:tc>
        <w:tc>
          <w:tcPr>
            <w:tcW w:w="432" w:type="pct"/>
            <w:tcBorders>
              <w:top w:val="single" w:sz="4" w:space="0" w:color="auto"/>
              <w:left w:val="single" w:sz="4" w:space="0" w:color="auto"/>
              <w:bottom w:val="single" w:sz="4" w:space="0" w:color="auto"/>
              <w:right w:val="single" w:sz="4" w:space="0" w:color="auto"/>
            </w:tcBorders>
            <w:hideMark/>
          </w:tcPr>
          <w:p w14:paraId="4A05AB0C"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Reference</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year</w:t>
            </w:r>
            <w:proofErr w:type="spellEnd"/>
          </w:p>
        </w:tc>
        <w:tc>
          <w:tcPr>
            <w:tcW w:w="328" w:type="pct"/>
            <w:tcBorders>
              <w:top w:val="single" w:sz="4" w:space="0" w:color="auto"/>
              <w:left w:val="single" w:sz="4" w:space="0" w:color="auto"/>
              <w:bottom w:val="single" w:sz="4" w:space="0" w:color="auto"/>
              <w:right w:val="single" w:sz="4" w:space="0" w:color="auto"/>
            </w:tcBorders>
          </w:tcPr>
          <w:p w14:paraId="567FB65D"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Target (2029)</w:t>
            </w:r>
          </w:p>
          <w:p w14:paraId="7C83E0CD" w14:textId="77777777" w:rsidR="00653571" w:rsidRPr="008C5F1C" w:rsidRDefault="00653571" w:rsidP="00534127">
            <w:pPr>
              <w:rPr>
                <w:rFonts w:ascii="Times New Roman" w:hAnsi="Times New Roman" w:cs="Times New Roman"/>
                <w:b/>
                <w:sz w:val="16"/>
                <w:szCs w:val="16"/>
              </w:rPr>
            </w:pPr>
          </w:p>
        </w:tc>
        <w:tc>
          <w:tcPr>
            <w:tcW w:w="332" w:type="pct"/>
            <w:tcBorders>
              <w:top w:val="single" w:sz="4" w:space="0" w:color="auto"/>
              <w:left w:val="single" w:sz="4" w:space="0" w:color="auto"/>
              <w:bottom w:val="single" w:sz="4" w:space="0" w:color="auto"/>
              <w:right w:val="single" w:sz="4" w:space="0" w:color="auto"/>
            </w:tcBorders>
            <w:hideMark/>
          </w:tcPr>
          <w:p w14:paraId="6A542290"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Source</w:t>
            </w:r>
            <w:proofErr w:type="spellEnd"/>
            <w:r w:rsidRPr="008C5F1C">
              <w:rPr>
                <w:rFonts w:ascii="Times New Roman" w:hAnsi="Times New Roman" w:cs="Times New Roman"/>
                <w:b/>
                <w:sz w:val="16"/>
                <w:szCs w:val="16"/>
              </w:rPr>
              <w:t xml:space="preserve"> of data [200]</w:t>
            </w:r>
          </w:p>
        </w:tc>
        <w:tc>
          <w:tcPr>
            <w:tcW w:w="457" w:type="pct"/>
            <w:tcBorders>
              <w:top w:val="single" w:sz="4" w:space="0" w:color="auto"/>
              <w:left w:val="single" w:sz="4" w:space="0" w:color="auto"/>
              <w:bottom w:val="single" w:sz="4" w:space="0" w:color="auto"/>
              <w:right w:val="single" w:sz="4" w:space="0" w:color="auto"/>
            </w:tcBorders>
            <w:hideMark/>
          </w:tcPr>
          <w:p w14:paraId="38BEE586"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Comments</w:t>
            </w:r>
            <w:proofErr w:type="spellEnd"/>
            <w:r w:rsidRPr="008C5F1C">
              <w:rPr>
                <w:rFonts w:ascii="Times New Roman" w:hAnsi="Times New Roman" w:cs="Times New Roman"/>
                <w:b/>
                <w:sz w:val="16"/>
                <w:szCs w:val="16"/>
              </w:rPr>
              <w:t xml:space="preserve"> [200]</w:t>
            </w:r>
          </w:p>
        </w:tc>
      </w:tr>
      <w:tr w:rsidR="00653571" w:rsidRPr="008C5F1C" w14:paraId="403E9F82" w14:textId="77777777" w:rsidTr="008B3BA1">
        <w:trPr>
          <w:trHeight w:val="434"/>
        </w:trPr>
        <w:tc>
          <w:tcPr>
            <w:tcW w:w="365" w:type="pct"/>
            <w:tcBorders>
              <w:top w:val="single" w:sz="4" w:space="0" w:color="auto"/>
              <w:left w:val="single" w:sz="4" w:space="0" w:color="auto"/>
              <w:bottom w:val="single" w:sz="4" w:space="0" w:color="auto"/>
              <w:right w:val="single" w:sz="4" w:space="0" w:color="auto"/>
            </w:tcBorders>
          </w:tcPr>
          <w:p w14:paraId="314FA3A3" w14:textId="77777777" w:rsidR="00653571" w:rsidRPr="008C5F1C" w:rsidRDefault="00904C61" w:rsidP="00534127">
            <w:pPr>
              <w:rPr>
                <w:rFonts w:ascii="Times New Roman" w:hAnsi="Times New Roman" w:cs="Times New Roman"/>
                <w:bCs/>
                <w:sz w:val="16"/>
                <w:szCs w:val="16"/>
              </w:rPr>
            </w:pPr>
            <w:r w:rsidRPr="008C5F1C">
              <w:rPr>
                <w:rFonts w:ascii="Times New Roman" w:hAnsi="Times New Roman" w:cs="Times New Roman"/>
                <w:bCs/>
                <w:sz w:val="16"/>
                <w:szCs w:val="16"/>
              </w:rPr>
              <w:t>5</w:t>
            </w:r>
          </w:p>
        </w:tc>
        <w:tc>
          <w:tcPr>
            <w:tcW w:w="580" w:type="pct"/>
            <w:tcBorders>
              <w:top w:val="single" w:sz="4" w:space="0" w:color="auto"/>
              <w:left w:val="single" w:sz="4" w:space="0" w:color="auto"/>
              <w:bottom w:val="single" w:sz="4" w:space="0" w:color="auto"/>
              <w:right w:val="single" w:sz="4" w:space="0" w:color="auto"/>
            </w:tcBorders>
          </w:tcPr>
          <w:p w14:paraId="57456BD8" w14:textId="77777777" w:rsidR="00653571" w:rsidRPr="008C5F1C" w:rsidRDefault="00653571" w:rsidP="00534127">
            <w:pPr>
              <w:rPr>
                <w:rFonts w:ascii="Times New Roman" w:hAnsi="Times New Roman" w:cs="Times New Roman"/>
                <w:bCs/>
                <w:sz w:val="16"/>
                <w:szCs w:val="16"/>
              </w:rPr>
            </w:pPr>
            <w:r w:rsidRPr="008C5F1C">
              <w:rPr>
                <w:rFonts w:ascii="Times New Roman" w:hAnsi="Times New Roman" w:cs="Times New Roman"/>
                <w:bCs/>
                <w:iCs/>
                <w:sz w:val="16"/>
                <w:szCs w:val="16"/>
              </w:rPr>
              <w:t>d (ii) Îmbun</w:t>
            </w:r>
            <w:r w:rsidR="00BA7827" w:rsidRPr="008C5F1C">
              <w:rPr>
                <w:rFonts w:ascii="Times New Roman" w:hAnsi="Times New Roman" w:cs="Times New Roman"/>
                <w:bCs/>
                <w:iCs/>
                <w:sz w:val="16"/>
                <w:szCs w:val="16"/>
              </w:rPr>
              <w:t>ă</w:t>
            </w:r>
            <w:r w:rsidRPr="008C5F1C">
              <w:rPr>
                <w:rFonts w:ascii="Times New Roman" w:hAnsi="Times New Roman" w:cs="Times New Roman"/>
                <w:bCs/>
                <w:iCs/>
                <w:sz w:val="16"/>
                <w:szCs w:val="16"/>
              </w:rPr>
              <w:t>t</w:t>
            </w:r>
            <w:r w:rsidR="00BA7827" w:rsidRPr="008C5F1C">
              <w:rPr>
                <w:rFonts w:ascii="Times New Roman" w:hAnsi="Times New Roman" w:cs="Times New Roman"/>
                <w:bCs/>
                <w:iCs/>
                <w:sz w:val="16"/>
                <w:szCs w:val="16"/>
              </w:rPr>
              <w:t>ă</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 xml:space="preserve">irea accesului la servicii de calitate </w:t>
            </w:r>
            <w:r w:rsidR="00106240" w:rsidRPr="008C5F1C">
              <w:rPr>
                <w:rFonts w:ascii="Times New Roman" w:hAnsi="Times New Roman" w:cs="Times New Roman"/>
                <w:bCs/>
                <w:iCs/>
                <w:sz w:val="16"/>
                <w:szCs w:val="16"/>
              </w:rPr>
              <w:t>ș</w:t>
            </w:r>
            <w:r w:rsidRPr="008C5F1C">
              <w:rPr>
                <w:rFonts w:ascii="Times New Roman" w:hAnsi="Times New Roman" w:cs="Times New Roman"/>
                <w:bCs/>
                <w:iCs/>
                <w:sz w:val="16"/>
                <w:szCs w:val="16"/>
              </w:rPr>
              <w:t>i favorabile incluziunii în educa</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 xml:space="preserve">ie, formare </w:t>
            </w:r>
            <w:r w:rsidR="00106240" w:rsidRPr="008C5F1C">
              <w:rPr>
                <w:rFonts w:ascii="Times New Roman" w:hAnsi="Times New Roman" w:cs="Times New Roman"/>
                <w:bCs/>
                <w:iCs/>
                <w:sz w:val="16"/>
                <w:szCs w:val="16"/>
              </w:rPr>
              <w:t>ș</w:t>
            </w:r>
            <w:r w:rsidRPr="008C5F1C">
              <w:rPr>
                <w:rFonts w:ascii="Times New Roman" w:hAnsi="Times New Roman" w:cs="Times New Roman"/>
                <w:bCs/>
                <w:iCs/>
                <w:sz w:val="16"/>
                <w:szCs w:val="16"/>
              </w:rPr>
              <w:t>i înv</w:t>
            </w:r>
            <w:r w:rsidR="00BA7827" w:rsidRPr="008C5F1C">
              <w:rPr>
                <w:rFonts w:ascii="Times New Roman" w:hAnsi="Times New Roman" w:cs="Times New Roman"/>
                <w:bCs/>
                <w:iCs/>
                <w:sz w:val="16"/>
                <w:szCs w:val="16"/>
              </w:rPr>
              <w:t>ă</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area pe tot parcursul vie</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ii prin dezvoltarea infrastructurii</w:t>
            </w:r>
          </w:p>
        </w:tc>
        <w:tc>
          <w:tcPr>
            <w:tcW w:w="303" w:type="pct"/>
            <w:tcBorders>
              <w:top w:val="single" w:sz="4" w:space="0" w:color="auto"/>
              <w:left w:val="single" w:sz="4" w:space="0" w:color="auto"/>
              <w:bottom w:val="single" w:sz="4" w:space="0" w:color="auto"/>
              <w:right w:val="single" w:sz="4" w:space="0" w:color="auto"/>
            </w:tcBorders>
          </w:tcPr>
          <w:p w14:paraId="1D473030" w14:textId="77777777" w:rsidR="00653571" w:rsidRPr="008C5F1C" w:rsidRDefault="00653571" w:rsidP="00534127">
            <w:pPr>
              <w:rPr>
                <w:rFonts w:ascii="Times New Roman" w:hAnsi="Times New Roman" w:cs="Times New Roman"/>
                <w:bCs/>
                <w:sz w:val="16"/>
                <w:szCs w:val="16"/>
              </w:rPr>
            </w:pPr>
            <w:r w:rsidRPr="008C5F1C">
              <w:rPr>
                <w:rFonts w:ascii="Times New Roman" w:hAnsi="Times New Roman" w:cs="Times New Roman"/>
                <w:noProof/>
                <w:sz w:val="16"/>
                <w:szCs w:val="16"/>
              </w:rPr>
              <w:t>FEDR</w:t>
            </w:r>
          </w:p>
        </w:tc>
        <w:tc>
          <w:tcPr>
            <w:tcW w:w="419" w:type="pct"/>
            <w:tcBorders>
              <w:top w:val="single" w:sz="4" w:space="0" w:color="auto"/>
              <w:left w:val="single" w:sz="4" w:space="0" w:color="auto"/>
              <w:bottom w:val="single" w:sz="4" w:space="0" w:color="auto"/>
              <w:right w:val="single" w:sz="4" w:space="0" w:color="auto"/>
            </w:tcBorders>
          </w:tcPr>
          <w:p w14:paraId="4F10586F" w14:textId="77777777" w:rsidR="00653571" w:rsidRPr="008C5F1C" w:rsidRDefault="00653571" w:rsidP="00534127">
            <w:pPr>
              <w:rPr>
                <w:rFonts w:ascii="Times New Roman" w:hAnsi="Times New Roman" w:cs="Times New Roman"/>
                <w:bCs/>
                <w:sz w:val="16"/>
                <w:szCs w:val="16"/>
              </w:rPr>
            </w:pPr>
            <w:r w:rsidRPr="008C5F1C">
              <w:rPr>
                <w:rFonts w:ascii="Times New Roman" w:hAnsi="Times New Roman" w:cs="Times New Roman"/>
                <w:noProof/>
                <w:sz w:val="16"/>
                <w:szCs w:val="16"/>
              </w:rPr>
              <w:t>Mai pu</w:t>
            </w:r>
            <w:r w:rsidR="00E22FF2" w:rsidRPr="008C5F1C">
              <w:rPr>
                <w:rFonts w:ascii="Times New Roman" w:hAnsi="Times New Roman" w:cs="Times New Roman"/>
                <w:noProof/>
                <w:sz w:val="16"/>
                <w:szCs w:val="16"/>
              </w:rPr>
              <w:t>ț</w:t>
            </w:r>
            <w:r w:rsidRPr="008C5F1C">
              <w:rPr>
                <w:rFonts w:ascii="Times New Roman" w:hAnsi="Times New Roman" w:cs="Times New Roman"/>
                <w:noProof/>
                <w:sz w:val="16"/>
                <w:szCs w:val="16"/>
              </w:rPr>
              <w:t>in dezvoltate</w:t>
            </w:r>
          </w:p>
        </w:tc>
        <w:tc>
          <w:tcPr>
            <w:tcW w:w="262" w:type="pct"/>
            <w:tcBorders>
              <w:top w:val="single" w:sz="4" w:space="0" w:color="auto"/>
              <w:left w:val="single" w:sz="4" w:space="0" w:color="auto"/>
              <w:bottom w:val="single" w:sz="4" w:space="0" w:color="auto"/>
              <w:right w:val="single" w:sz="4" w:space="0" w:color="auto"/>
            </w:tcBorders>
          </w:tcPr>
          <w:p w14:paraId="411D809A" w14:textId="77777777" w:rsidR="00653571" w:rsidRPr="008C5F1C" w:rsidRDefault="00653571" w:rsidP="00534127">
            <w:pPr>
              <w:rPr>
                <w:rFonts w:ascii="Times New Roman" w:hAnsi="Times New Roman" w:cs="Times New Roman"/>
                <w:bCs/>
                <w:sz w:val="16"/>
                <w:szCs w:val="16"/>
              </w:rPr>
            </w:pPr>
            <w:r w:rsidRPr="008C5F1C">
              <w:rPr>
                <w:rFonts w:ascii="Times New Roman" w:hAnsi="Times New Roman" w:cs="Times New Roman"/>
                <w:bCs/>
                <w:sz w:val="16"/>
                <w:szCs w:val="16"/>
              </w:rPr>
              <w:t xml:space="preserve">RCR 70 </w:t>
            </w:r>
          </w:p>
          <w:p w14:paraId="23DB6B77" w14:textId="77777777" w:rsidR="00653571" w:rsidRPr="008C5F1C" w:rsidRDefault="00653571" w:rsidP="00534127">
            <w:pPr>
              <w:rPr>
                <w:rFonts w:ascii="Times New Roman" w:hAnsi="Times New Roman" w:cs="Times New Roman"/>
                <w:bCs/>
                <w:sz w:val="16"/>
                <w:szCs w:val="16"/>
              </w:rPr>
            </w:pPr>
          </w:p>
        </w:tc>
        <w:tc>
          <w:tcPr>
            <w:tcW w:w="561" w:type="pct"/>
            <w:tcBorders>
              <w:top w:val="single" w:sz="4" w:space="0" w:color="auto"/>
              <w:left w:val="single" w:sz="4" w:space="0" w:color="auto"/>
              <w:bottom w:val="single" w:sz="4" w:space="0" w:color="auto"/>
              <w:right w:val="single" w:sz="4" w:space="0" w:color="auto"/>
            </w:tcBorders>
          </w:tcPr>
          <w:p w14:paraId="33B66DB4" w14:textId="77777777" w:rsidR="00653571" w:rsidRPr="008C5F1C" w:rsidRDefault="00653571" w:rsidP="00534127">
            <w:pPr>
              <w:rPr>
                <w:rFonts w:ascii="Times New Roman" w:hAnsi="Times New Roman" w:cs="Times New Roman"/>
                <w:bCs/>
                <w:sz w:val="16"/>
                <w:szCs w:val="16"/>
              </w:rPr>
            </w:pPr>
            <w:r w:rsidRPr="008C5F1C">
              <w:rPr>
                <w:rFonts w:ascii="Times New Roman" w:hAnsi="Times New Roman" w:cs="Times New Roman"/>
                <w:bCs/>
                <w:sz w:val="16"/>
                <w:szCs w:val="16"/>
              </w:rPr>
              <w:t>RCR 70 – Num</w:t>
            </w:r>
            <w:r w:rsidR="00BA7827" w:rsidRPr="008C5F1C">
              <w:rPr>
                <w:rFonts w:ascii="Times New Roman" w:hAnsi="Times New Roman" w:cs="Times New Roman"/>
                <w:bCs/>
                <w:sz w:val="16"/>
                <w:szCs w:val="16"/>
              </w:rPr>
              <w:t>ă</w:t>
            </w:r>
            <w:r w:rsidRPr="008C5F1C">
              <w:rPr>
                <w:rFonts w:ascii="Times New Roman" w:hAnsi="Times New Roman" w:cs="Times New Roman"/>
                <w:bCs/>
                <w:sz w:val="16"/>
                <w:szCs w:val="16"/>
              </w:rPr>
              <w:t>rul anual al copiilor care utilizeaz</w:t>
            </w:r>
            <w:r w:rsidR="00BA7827" w:rsidRPr="008C5F1C">
              <w:rPr>
                <w:rFonts w:ascii="Times New Roman" w:hAnsi="Times New Roman" w:cs="Times New Roman"/>
                <w:bCs/>
                <w:sz w:val="16"/>
                <w:szCs w:val="16"/>
              </w:rPr>
              <w:t>ă</w:t>
            </w:r>
            <w:r w:rsidRPr="008C5F1C">
              <w:rPr>
                <w:rFonts w:ascii="Times New Roman" w:hAnsi="Times New Roman" w:cs="Times New Roman"/>
                <w:bCs/>
                <w:sz w:val="16"/>
                <w:szCs w:val="16"/>
              </w:rPr>
              <w:t xml:space="preserve"> infrastructurile pentru îngrijirea copiilor ce beneficiaz</w:t>
            </w:r>
            <w:r w:rsidR="00BA7827" w:rsidRPr="008C5F1C">
              <w:rPr>
                <w:rFonts w:ascii="Times New Roman" w:hAnsi="Times New Roman" w:cs="Times New Roman"/>
                <w:bCs/>
                <w:sz w:val="16"/>
                <w:szCs w:val="16"/>
              </w:rPr>
              <w:t>ă</w:t>
            </w:r>
            <w:r w:rsidRPr="008C5F1C">
              <w:rPr>
                <w:rFonts w:ascii="Times New Roman" w:hAnsi="Times New Roman" w:cs="Times New Roman"/>
                <w:bCs/>
                <w:sz w:val="16"/>
                <w:szCs w:val="16"/>
              </w:rPr>
              <w:t xml:space="preserve"> de sprijin</w:t>
            </w:r>
          </w:p>
          <w:p w14:paraId="789B5214" w14:textId="77777777" w:rsidR="00653571" w:rsidRPr="008C5F1C" w:rsidRDefault="00653571" w:rsidP="00534127">
            <w:pPr>
              <w:rPr>
                <w:rFonts w:ascii="Times New Roman" w:hAnsi="Times New Roman" w:cs="Times New Roman"/>
                <w:bCs/>
                <w:sz w:val="16"/>
                <w:szCs w:val="16"/>
              </w:rPr>
            </w:pPr>
          </w:p>
        </w:tc>
        <w:tc>
          <w:tcPr>
            <w:tcW w:w="552" w:type="pct"/>
            <w:tcBorders>
              <w:top w:val="single" w:sz="4" w:space="0" w:color="auto"/>
              <w:left w:val="single" w:sz="4" w:space="0" w:color="auto"/>
              <w:bottom w:val="single" w:sz="4" w:space="0" w:color="auto"/>
              <w:right w:val="single" w:sz="4" w:space="0" w:color="auto"/>
            </w:tcBorders>
          </w:tcPr>
          <w:p w14:paraId="79A8B23D" w14:textId="77777777" w:rsidR="00653571" w:rsidRPr="008C5F1C" w:rsidRDefault="008E0DB6" w:rsidP="00534127">
            <w:pPr>
              <w:rPr>
                <w:rFonts w:ascii="Times New Roman" w:hAnsi="Times New Roman" w:cs="Times New Roman"/>
                <w:bCs/>
                <w:sz w:val="16"/>
                <w:szCs w:val="16"/>
              </w:rPr>
            </w:pPr>
            <w:proofErr w:type="spellStart"/>
            <w:r w:rsidRPr="008C5F1C">
              <w:rPr>
                <w:rFonts w:ascii="Times New Roman" w:hAnsi="Times New Roman" w:cs="Times New Roman"/>
                <w:bCs/>
                <w:sz w:val="16"/>
                <w:szCs w:val="16"/>
              </w:rPr>
              <w:t>users</w:t>
            </w:r>
            <w:proofErr w:type="spellEnd"/>
            <w:r w:rsidRPr="008C5F1C">
              <w:rPr>
                <w:rFonts w:ascii="Times New Roman" w:hAnsi="Times New Roman" w:cs="Times New Roman"/>
                <w:bCs/>
                <w:sz w:val="16"/>
                <w:szCs w:val="16"/>
              </w:rPr>
              <w:t>/</w:t>
            </w:r>
            <w:proofErr w:type="spellStart"/>
            <w:r w:rsidRPr="008C5F1C">
              <w:rPr>
                <w:rFonts w:ascii="Times New Roman" w:hAnsi="Times New Roman" w:cs="Times New Roman"/>
                <w:bCs/>
                <w:sz w:val="16"/>
                <w:szCs w:val="16"/>
              </w:rPr>
              <w:t>year</w:t>
            </w:r>
            <w:proofErr w:type="spellEnd"/>
          </w:p>
        </w:tc>
        <w:tc>
          <w:tcPr>
            <w:tcW w:w="411" w:type="pct"/>
            <w:tcBorders>
              <w:top w:val="single" w:sz="4" w:space="0" w:color="auto"/>
              <w:left w:val="single" w:sz="4" w:space="0" w:color="auto"/>
              <w:bottom w:val="single" w:sz="4" w:space="0" w:color="auto"/>
              <w:right w:val="single" w:sz="4" w:space="0" w:color="auto"/>
            </w:tcBorders>
          </w:tcPr>
          <w:p w14:paraId="57CABA6E" w14:textId="77777777" w:rsidR="00653571" w:rsidRPr="008C5F1C" w:rsidRDefault="008E0DB6" w:rsidP="00534127">
            <w:pPr>
              <w:rPr>
                <w:rFonts w:ascii="Times New Roman" w:hAnsi="Times New Roman" w:cs="Times New Roman"/>
                <w:bCs/>
                <w:sz w:val="16"/>
                <w:szCs w:val="16"/>
              </w:rPr>
            </w:pPr>
            <w:r w:rsidRPr="008C5F1C">
              <w:rPr>
                <w:rFonts w:ascii="Times New Roman" w:hAnsi="Times New Roman" w:cs="Times New Roman"/>
                <w:bCs/>
                <w:sz w:val="16"/>
                <w:szCs w:val="16"/>
              </w:rPr>
              <w:t>0</w:t>
            </w:r>
          </w:p>
        </w:tc>
        <w:tc>
          <w:tcPr>
            <w:tcW w:w="432" w:type="pct"/>
            <w:tcBorders>
              <w:top w:val="single" w:sz="4" w:space="0" w:color="auto"/>
              <w:left w:val="single" w:sz="4" w:space="0" w:color="auto"/>
              <w:bottom w:val="single" w:sz="4" w:space="0" w:color="auto"/>
              <w:right w:val="single" w:sz="4" w:space="0" w:color="auto"/>
            </w:tcBorders>
          </w:tcPr>
          <w:p w14:paraId="175EF9EF" w14:textId="77777777" w:rsidR="00653571" w:rsidRPr="008C5F1C" w:rsidRDefault="008E0DB6" w:rsidP="00534127">
            <w:pPr>
              <w:rPr>
                <w:rFonts w:ascii="Times New Roman" w:hAnsi="Times New Roman" w:cs="Times New Roman"/>
                <w:bCs/>
                <w:sz w:val="16"/>
                <w:szCs w:val="16"/>
              </w:rPr>
            </w:pPr>
            <w:r w:rsidRPr="008C5F1C">
              <w:rPr>
                <w:rFonts w:ascii="Times New Roman" w:hAnsi="Times New Roman" w:cs="Times New Roman"/>
                <w:bCs/>
                <w:sz w:val="16"/>
                <w:szCs w:val="16"/>
              </w:rPr>
              <w:t>2021</w:t>
            </w:r>
          </w:p>
        </w:tc>
        <w:tc>
          <w:tcPr>
            <w:tcW w:w="328" w:type="pct"/>
            <w:tcBorders>
              <w:top w:val="single" w:sz="4" w:space="0" w:color="auto"/>
              <w:left w:val="single" w:sz="4" w:space="0" w:color="auto"/>
              <w:bottom w:val="single" w:sz="4" w:space="0" w:color="auto"/>
              <w:right w:val="single" w:sz="4" w:space="0" w:color="auto"/>
            </w:tcBorders>
          </w:tcPr>
          <w:p w14:paraId="31A715D9" w14:textId="48B5C9A8" w:rsidR="00653571" w:rsidRPr="008C5F1C" w:rsidRDefault="009B746B" w:rsidP="00534127">
            <w:pPr>
              <w:rPr>
                <w:rFonts w:ascii="Times New Roman" w:hAnsi="Times New Roman" w:cs="Times New Roman"/>
                <w:bCs/>
                <w:sz w:val="16"/>
                <w:szCs w:val="16"/>
              </w:rPr>
            </w:pPr>
            <w:r w:rsidRPr="008C5F1C">
              <w:rPr>
                <w:rFonts w:ascii="Times New Roman" w:hAnsi="Times New Roman" w:cs="Times New Roman"/>
                <w:bCs/>
                <w:sz w:val="16"/>
                <w:szCs w:val="16"/>
              </w:rPr>
              <w:t>1</w:t>
            </w:r>
            <w:r w:rsidR="00DD0134" w:rsidRPr="008C5F1C">
              <w:rPr>
                <w:rFonts w:ascii="Times New Roman" w:hAnsi="Times New Roman" w:cs="Times New Roman"/>
                <w:bCs/>
                <w:sz w:val="16"/>
                <w:szCs w:val="16"/>
              </w:rPr>
              <w:t>.</w:t>
            </w:r>
            <w:r w:rsidRPr="008C5F1C">
              <w:rPr>
                <w:rFonts w:ascii="Times New Roman" w:hAnsi="Times New Roman" w:cs="Times New Roman"/>
                <w:bCs/>
                <w:sz w:val="16"/>
                <w:szCs w:val="16"/>
              </w:rPr>
              <w:t>500</w:t>
            </w:r>
          </w:p>
        </w:tc>
        <w:tc>
          <w:tcPr>
            <w:tcW w:w="332" w:type="pct"/>
            <w:tcBorders>
              <w:top w:val="single" w:sz="4" w:space="0" w:color="auto"/>
              <w:left w:val="single" w:sz="4" w:space="0" w:color="auto"/>
              <w:bottom w:val="single" w:sz="4" w:space="0" w:color="auto"/>
              <w:right w:val="single" w:sz="4" w:space="0" w:color="auto"/>
            </w:tcBorders>
          </w:tcPr>
          <w:p w14:paraId="71FDFF5E" w14:textId="7581E5DA" w:rsidR="00653571" w:rsidRPr="008C5F1C" w:rsidRDefault="009A7CCC" w:rsidP="00534127">
            <w:pPr>
              <w:rPr>
                <w:rFonts w:ascii="Times New Roman" w:hAnsi="Times New Roman" w:cs="Times New Roman"/>
                <w:bCs/>
                <w:sz w:val="16"/>
                <w:szCs w:val="16"/>
              </w:rPr>
            </w:pPr>
            <w:r w:rsidRPr="008C5F1C">
              <w:rPr>
                <w:rFonts w:ascii="Times New Roman" w:hAnsi="Times New Roman" w:cs="Times New Roman"/>
                <w:bCs/>
                <w:sz w:val="16"/>
                <w:szCs w:val="16"/>
              </w:rPr>
              <w:t>SIIIR</w:t>
            </w:r>
          </w:p>
        </w:tc>
        <w:tc>
          <w:tcPr>
            <w:tcW w:w="457" w:type="pct"/>
            <w:tcBorders>
              <w:top w:val="single" w:sz="4" w:space="0" w:color="auto"/>
              <w:left w:val="single" w:sz="4" w:space="0" w:color="auto"/>
              <w:bottom w:val="single" w:sz="4" w:space="0" w:color="auto"/>
              <w:right w:val="single" w:sz="4" w:space="0" w:color="auto"/>
            </w:tcBorders>
          </w:tcPr>
          <w:p w14:paraId="383ABBAD" w14:textId="77777777" w:rsidR="00653571" w:rsidRPr="008C5F1C" w:rsidRDefault="00653571" w:rsidP="00534127">
            <w:pPr>
              <w:rPr>
                <w:rFonts w:ascii="Times New Roman" w:hAnsi="Times New Roman" w:cs="Times New Roman"/>
                <w:bCs/>
                <w:sz w:val="16"/>
                <w:szCs w:val="16"/>
              </w:rPr>
            </w:pPr>
          </w:p>
        </w:tc>
      </w:tr>
      <w:tr w:rsidR="00653571" w:rsidRPr="008C5F1C" w14:paraId="0A1AA82B" w14:textId="77777777" w:rsidTr="008B3BA1">
        <w:trPr>
          <w:trHeight w:val="434"/>
        </w:trPr>
        <w:tc>
          <w:tcPr>
            <w:tcW w:w="365" w:type="pct"/>
            <w:tcBorders>
              <w:top w:val="single" w:sz="4" w:space="0" w:color="auto"/>
              <w:left w:val="single" w:sz="4" w:space="0" w:color="auto"/>
              <w:bottom w:val="single" w:sz="4" w:space="0" w:color="auto"/>
              <w:right w:val="single" w:sz="4" w:space="0" w:color="auto"/>
            </w:tcBorders>
          </w:tcPr>
          <w:p w14:paraId="3D7A18E4" w14:textId="77777777" w:rsidR="00653571" w:rsidRPr="008C5F1C" w:rsidRDefault="00904C61" w:rsidP="00534127">
            <w:pPr>
              <w:rPr>
                <w:rFonts w:ascii="Times New Roman" w:hAnsi="Times New Roman" w:cs="Times New Roman"/>
                <w:bCs/>
                <w:sz w:val="16"/>
                <w:szCs w:val="16"/>
              </w:rPr>
            </w:pPr>
            <w:r w:rsidRPr="008C5F1C">
              <w:rPr>
                <w:rFonts w:ascii="Times New Roman" w:hAnsi="Times New Roman" w:cs="Times New Roman"/>
                <w:bCs/>
                <w:sz w:val="16"/>
                <w:szCs w:val="16"/>
              </w:rPr>
              <w:t>5</w:t>
            </w:r>
          </w:p>
        </w:tc>
        <w:tc>
          <w:tcPr>
            <w:tcW w:w="580" w:type="pct"/>
            <w:tcBorders>
              <w:top w:val="single" w:sz="4" w:space="0" w:color="auto"/>
              <w:left w:val="single" w:sz="4" w:space="0" w:color="auto"/>
              <w:bottom w:val="single" w:sz="4" w:space="0" w:color="auto"/>
              <w:right w:val="single" w:sz="4" w:space="0" w:color="auto"/>
            </w:tcBorders>
          </w:tcPr>
          <w:p w14:paraId="1019B46E" w14:textId="77777777" w:rsidR="00653571" w:rsidRPr="008C5F1C" w:rsidRDefault="00653571" w:rsidP="00534127">
            <w:pPr>
              <w:rPr>
                <w:rFonts w:ascii="Times New Roman" w:hAnsi="Times New Roman" w:cs="Times New Roman"/>
                <w:bCs/>
                <w:sz w:val="16"/>
                <w:szCs w:val="16"/>
              </w:rPr>
            </w:pPr>
            <w:r w:rsidRPr="008C5F1C">
              <w:rPr>
                <w:rFonts w:ascii="Times New Roman" w:hAnsi="Times New Roman" w:cs="Times New Roman"/>
                <w:bCs/>
                <w:iCs/>
                <w:sz w:val="16"/>
                <w:szCs w:val="16"/>
              </w:rPr>
              <w:t>d (ii) Îmbun</w:t>
            </w:r>
            <w:r w:rsidR="00BA7827" w:rsidRPr="008C5F1C">
              <w:rPr>
                <w:rFonts w:ascii="Times New Roman" w:hAnsi="Times New Roman" w:cs="Times New Roman"/>
                <w:bCs/>
                <w:iCs/>
                <w:sz w:val="16"/>
                <w:szCs w:val="16"/>
              </w:rPr>
              <w:t>ă</w:t>
            </w:r>
            <w:r w:rsidRPr="008C5F1C">
              <w:rPr>
                <w:rFonts w:ascii="Times New Roman" w:hAnsi="Times New Roman" w:cs="Times New Roman"/>
                <w:bCs/>
                <w:iCs/>
                <w:sz w:val="16"/>
                <w:szCs w:val="16"/>
              </w:rPr>
              <w:t>t</w:t>
            </w:r>
            <w:r w:rsidR="00BA7827" w:rsidRPr="008C5F1C">
              <w:rPr>
                <w:rFonts w:ascii="Times New Roman" w:hAnsi="Times New Roman" w:cs="Times New Roman"/>
                <w:bCs/>
                <w:iCs/>
                <w:sz w:val="16"/>
                <w:szCs w:val="16"/>
              </w:rPr>
              <w:t>ă</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 xml:space="preserve">irea accesului la servicii de calitate </w:t>
            </w:r>
            <w:r w:rsidR="00106240" w:rsidRPr="008C5F1C">
              <w:rPr>
                <w:rFonts w:ascii="Times New Roman" w:hAnsi="Times New Roman" w:cs="Times New Roman"/>
                <w:bCs/>
                <w:iCs/>
                <w:sz w:val="16"/>
                <w:szCs w:val="16"/>
              </w:rPr>
              <w:t>ș</w:t>
            </w:r>
            <w:r w:rsidRPr="008C5F1C">
              <w:rPr>
                <w:rFonts w:ascii="Times New Roman" w:hAnsi="Times New Roman" w:cs="Times New Roman"/>
                <w:bCs/>
                <w:iCs/>
                <w:sz w:val="16"/>
                <w:szCs w:val="16"/>
              </w:rPr>
              <w:t>i favorabile incluziunii în educa</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 xml:space="preserve">ie, formare </w:t>
            </w:r>
            <w:r w:rsidR="00106240" w:rsidRPr="008C5F1C">
              <w:rPr>
                <w:rFonts w:ascii="Times New Roman" w:hAnsi="Times New Roman" w:cs="Times New Roman"/>
                <w:bCs/>
                <w:iCs/>
                <w:sz w:val="16"/>
                <w:szCs w:val="16"/>
              </w:rPr>
              <w:t>ș</w:t>
            </w:r>
            <w:r w:rsidRPr="008C5F1C">
              <w:rPr>
                <w:rFonts w:ascii="Times New Roman" w:hAnsi="Times New Roman" w:cs="Times New Roman"/>
                <w:bCs/>
                <w:iCs/>
                <w:sz w:val="16"/>
                <w:szCs w:val="16"/>
              </w:rPr>
              <w:t>i înv</w:t>
            </w:r>
            <w:r w:rsidR="00BA7827" w:rsidRPr="008C5F1C">
              <w:rPr>
                <w:rFonts w:ascii="Times New Roman" w:hAnsi="Times New Roman" w:cs="Times New Roman"/>
                <w:bCs/>
                <w:iCs/>
                <w:sz w:val="16"/>
                <w:szCs w:val="16"/>
              </w:rPr>
              <w:t>ă</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area pe tot parcursul vie</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ii prin dezvoltarea infrastructurii</w:t>
            </w:r>
          </w:p>
        </w:tc>
        <w:tc>
          <w:tcPr>
            <w:tcW w:w="303" w:type="pct"/>
            <w:tcBorders>
              <w:top w:val="single" w:sz="4" w:space="0" w:color="auto"/>
              <w:left w:val="single" w:sz="4" w:space="0" w:color="auto"/>
              <w:bottom w:val="single" w:sz="4" w:space="0" w:color="auto"/>
              <w:right w:val="single" w:sz="4" w:space="0" w:color="auto"/>
            </w:tcBorders>
          </w:tcPr>
          <w:p w14:paraId="452B8C05" w14:textId="77777777" w:rsidR="00653571" w:rsidRPr="008C5F1C" w:rsidRDefault="00653571" w:rsidP="00534127">
            <w:pPr>
              <w:rPr>
                <w:rFonts w:ascii="Times New Roman" w:hAnsi="Times New Roman" w:cs="Times New Roman"/>
                <w:noProof/>
                <w:sz w:val="16"/>
                <w:szCs w:val="16"/>
              </w:rPr>
            </w:pPr>
            <w:r w:rsidRPr="008C5F1C">
              <w:rPr>
                <w:rFonts w:ascii="Times New Roman" w:hAnsi="Times New Roman" w:cs="Times New Roman"/>
                <w:noProof/>
                <w:sz w:val="16"/>
                <w:szCs w:val="16"/>
              </w:rPr>
              <w:t>FEDR</w:t>
            </w:r>
          </w:p>
        </w:tc>
        <w:tc>
          <w:tcPr>
            <w:tcW w:w="419" w:type="pct"/>
            <w:tcBorders>
              <w:top w:val="single" w:sz="4" w:space="0" w:color="auto"/>
              <w:left w:val="single" w:sz="4" w:space="0" w:color="auto"/>
              <w:bottom w:val="single" w:sz="4" w:space="0" w:color="auto"/>
              <w:right w:val="single" w:sz="4" w:space="0" w:color="auto"/>
            </w:tcBorders>
          </w:tcPr>
          <w:p w14:paraId="32A76E2A" w14:textId="77777777" w:rsidR="00653571" w:rsidRPr="008C5F1C" w:rsidRDefault="00653571" w:rsidP="00534127">
            <w:pPr>
              <w:rPr>
                <w:rFonts w:ascii="Times New Roman" w:hAnsi="Times New Roman" w:cs="Times New Roman"/>
                <w:noProof/>
                <w:sz w:val="16"/>
                <w:szCs w:val="16"/>
              </w:rPr>
            </w:pPr>
            <w:r w:rsidRPr="008C5F1C">
              <w:rPr>
                <w:rFonts w:ascii="Times New Roman" w:hAnsi="Times New Roman" w:cs="Times New Roman"/>
                <w:noProof/>
                <w:sz w:val="16"/>
                <w:szCs w:val="16"/>
              </w:rPr>
              <w:t>Mai pu</w:t>
            </w:r>
            <w:r w:rsidR="00E22FF2" w:rsidRPr="008C5F1C">
              <w:rPr>
                <w:rFonts w:ascii="Times New Roman" w:hAnsi="Times New Roman" w:cs="Times New Roman"/>
                <w:noProof/>
                <w:sz w:val="16"/>
                <w:szCs w:val="16"/>
              </w:rPr>
              <w:t>ț</w:t>
            </w:r>
            <w:r w:rsidRPr="008C5F1C">
              <w:rPr>
                <w:rFonts w:ascii="Times New Roman" w:hAnsi="Times New Roman" w:cs="Times New Roman"/>
                <w:noProof/>
                <w:sz w:val="16"/>
                <w:szCs w:val="16"/>
              </w:rPr>
              <w:t>in dezvoltate</w:t>
            </w:r>
          </w:p>
        </w:tc>
        <w:tc>
          <w:tcPr>
            <w:tcW w:w="262" w:type="pct"/>
            <w:tcBorders>
              <w:top w:val="single" w:sz="4" w:space="0" w:color="auto"/>
              <w:left w:val="single" w:sz="4" w:space="0" w:color="auto"/>
              <w:bottom w:val="single" w:sz="4" w:space="0" w:color="auto"/>
              <w:right w:val="single" w:sz="4" w:space="0" w:color="auto"/>
            </w:tcBorders>
          </w:tcPr>
          <w:p w14:paraId="5C3A0CA2" w14:textId="77777777" w:rsidR="00653571" w:rsidRPr="008C5F1C" w:rsidRDefault="00653571" w:rsidP="00534127">
            <w:pPr>
              <w:rPr>
                <w:rFonts w:ascii="Times New Roman" w:hAnsi="Times New Roman" w:cs="Times New Roman"/>
                <w:bCs/>
                <w:sz w:val="16"/>
                <w:szCs w:val="16"/>
              </w:rPr>
            </w:pPr>
            <w:r w:rsidRPr="008C5F1C">
              <w:rPr>
                <w:rFonts w:ascii="Times New Roman" w:hAnsi="Times New Roman" w:cs="Times New Roman"/>
                <w:bCs/>
                <w:sz w:val="16"/>
                <w:szCs w:val="16"/>
              </w:rPr>
              <w:t>RCR 71</w:t>
            </w:r>
          </w:p>
        </w:tc>
        <w:tc>
          <w:tcPr>
            <w:tcW w:w="561" w:type="pct"/>
            <w:tcBorders>
              <w:top w:val="single" w:sz="4" w:space="0" w:color="auto"/>
              <w:left w:val="single" w:sz="4" w:space="0" w:color="auto"/>
              <w:bottom w:val="single" w:sz="4" w:space="0" w:color="auto"/>
              <w:right w:val="single" w:sz="4" w:space="0" w:color="auto"/>
            </w:tcBorders>
          </w:tcPr>
          <w:p w14:paraId="3A0398B7" w14:textId="2309989B" w:rsidR="00653571" w:rsidRPr="008C5F1C" w:rsidRDefault="00653571" w:rsidP="00534127">
            <w:pPr>
              <w:rPr>
                <w:rFonts w:ascii="Times New Roman" w:hAnsi="Times New Roman" w:cs="Times New Roman"/>
                <w:bCs/>
                <w:sz w:val="16"/>
                <w:szCs w:val="16"/>
              </w:rPr>
            </w:pPr>
            <w:r w:rsidRPr="008C5F1C">
              <w:rPr>
                <w:rFonts w:ascii="Times New Roman" w:hAnsi="Times New Roman" w:cs="Times New Roman"/>
                <w:bCs/>
                <w:sz w:val="16"/>
                <w:szCs w:val="16"/>
              </w:rPr>
              <w:t>RCR 71 – Num</w:t>
            </w:r>
            <w:r w:rsidR="00BA7827" w:rsidRPr="008C5F1C">
              <w:rPr>
                <w:rFonts w:ascii="Times New Roman" w:hAnsi="Times New Roman" w:cs="Times New Roman"/>
                <w:bCs/>
                <w:sz w:val="16"/>
                <w:szCs w:val="16"/>
              </w:rPr>
              <w:t>ă</w:t>
            </w:r>
            <w:r w:rsidRPr="008C5F1C">
              <w:rPr>
                <w:rFonts w:ascii="Times New Roman" w:hAnsi="Times New Roman" w:cs="Times New Roman"/>
                <w:bCs/>
                <w:sz w:val="16"/>
                <w:szCs w:val="16"/>
              </w:rPr>
              <w:t xml:space="preserve">rul anual al </w:t>
            </w:r>
            <w:r w:rsidR="00CE49F3" w:rsidRPr="008C5F1C">
              <w:rPr>
                <w:rFonts w:ascii="Times New Roman" w:hAnsi="Times New Roman" w:cs="Times New Roman"/>
                <w:bCs/>
                <w:sz w:val="16"/>
                <w:szCs w:val="16"/>
              </w:rPr>
              <w:t>utilizatori</w:t>
            </w:r>
            <w:r w:rsidRPr="008C5F1C">
              <w:rPr>
                <w:rFonts w:ascii="Times New Roman" w:hAnsi="Times New Roman" w:cs="Times New Roman"/>
                <w:bCs/>
                <w:sz w:val="16"/>
                <w:szCs w:val="16"/>
              </w:rPr>
              <w:t xml:space="preserve"> care utilizeaz</w:t>
            </w:r>
            <w:r w:rsidR="00BA7827" w:rsidRPr="008C5F1C">
              <w:rPr>
                <w:rFonts w:ascii="Times New Roman" w:hAnsi="Times New Roman" w:cs="Times New Roman"/>
                <w:bCs/>
                <w:sz w:val="16"/>
                <w:szCs w:val="16"/>
              </w:rPr>
              <w:t>ă</w:t>
            </w:r>
            <w:r w:rsidRPr="008C5F1C">
              <w:rPr>
                <w:rFonts w:ascii="Times New Roman" w:hAnsi="Times New Roman" w:cs="Times New Roman"/>
                <w:bCs/>
                <w:sz w:val="16"/>
                <w:szCs w:val="16"/>
              </w:rPr>
              <w:t xml:space="preserve"> infrastructurile din domeniul înv</w:t>
            </w:r>
            <w:r w:rsidR="00BA7827" w:rsidRPr="008C5F1C">
              <w:rPr>
                <w:rFonts w:ascii="Times New Roman" w:hAnsi="Times New Roman" w:cs="Times New Roman"/>
                <w:bCs/>
                <w:sz w:val="16"/>
                <w:szCs w:val="16"/>
              </w:rPr>
              <w:t>ă</w:t>
            </w:r>
            <w:r w:rsidR="00E22FF2" w:rsidRPr="008C5F1C">
              <w:rPr>
                <w:rFonts w:ascii="Times New Roman" w:hAnsi="Times New Roman" w:cs="Times New Roman"/>
                <w:bCs/>
                <w:sz w:val="16"/>
                <w:szCs w:val="16"/>
              </w:rPr>
              <w:t>ț</w:t>
            </w:r>
            <w:r w:rsidR="00BA7827" w:rsidRPr="008C5F1C">
              <w:rPr>
                <w:rFonts w:ascii="Times New Roman" w:hAnsi="Times New Roman" w:cs="Times New Roman"/>
                <w:bCs/>
                <w:sz w:val="16"/>
                <w:szCs w:val="16"/>
              </w:rPr>
              <w:t>ă</w:t>
            </w:r>
            <w:r w:rsidRPr="008C5F1C">
              <w:rPr>
                <w:rFonts w:ascii="Times New Roman" w:hAnsi="Times New Roman" w:cs="Times New Roman"/>
                <w:bCs/>
                <w:sz w:val="16"/>
                <w:szCs w:val="16"/>
              </w:rPr>
              <w:t>mântului ce beneficiaz</w:t>
            </w:r>
            <w:r w:rsidR="00BA7827" w:rsidRPr="008C5F1C">
              <w:rPr>
                <w:rFonts w:ascii="Times New Roman" w:hAnsi="Times New Roman" w:cs="Times New Roman"/>
                <w:bCs/>
                <w:sz w:val="16"/>
                <w:szCs w:val="16"/>
              </w:rPr>
              <w:t>ă</w:t>
            </w:r>
            <w:r w:rsidRPr="008C5F1C">
              <w:rPr>
                <w:rFonts w:ascii="Times New Roman" w:hAnsi="Times New Roman" w:cs="Times New Roman"/>
                <w:bCs/>
                <w:sz w:val="16"/>
                <w:szCs w:val="16"/>
              </w:rPr>
              <w:t xml:space="preserve"> de sprijin</w:t>
            </w:r>
          </w:p>
        </w:tc>
        <w:tc>
          <w:tcPr>
            <w:tcW w:w="552" w:type="pct"/>
            <w:tcBorders>
              <w:top w:val="single" w:sz="4" w:space="0" w:color="auto"/>
              <w:left w:val="single" w:sz="4" w:space="0" w:color="auto"/>
              <w:bottom w:val="single" w:sz="4" w:space="0" w:color="auto"/>
              <w:right w:val="single" w:sz="4" w:space="0" w:color="auto"/>
            </w:tcBorders>
          </w:tcPr>
          <w:p w14:paraId="3706739B" w14:textId="77777777" w:rsidR="00653571" w:rsidRPr="008C5F1C" w:rsidRDefault="008E0DB6" w:rsidP="00534127">
            <w:pPr>
              <w:rPr>
                <w:rFonts w:ascii="Times New Roman" w:hAnsi="Times New Roman" w:cs="Times New Roman"/>
                <w:bCs/>
                <w:sz w:val="16"/>
                <w:szCs w:val="16"/>
              </w:rPr>
            </w:pPr>
            <w:proofErr w:type="spellStart"/>
            <w:r w:rsidRPr="008C5F1C">
              <w:rPr>
                <w:rFonts w:ascii="Times New Roman" w:hAnsi="Times New Roman" w:cs="Times New Roman"/>
                <w:bCs/>
                <w:sz w:val="16"/>
                <w:szCs w:val="16"/>
              </w:rPr>
              <w:t>users</w:t>
            </w:r>
            <w:proofErr w:type="spellEnd"/>
            <w:r w:rsidRPr="008C5F1C">
              <w:rPr>
                <w:rFonts w:ascii="Times New Roman" w:hAnsi="Times New Roman" w:cs="Times New Roman"/>
                <w:bCs/>
                <w:sz w:val="16"/>
                <w:szCs w:val="16"/>
              </w:rPr>
              <w:t>/</w:t>
            </w:r>
            <w:proofErr w:type="spellStart"/>
            <w:r w:rsidRPr="008C5F1C">
              <w:rPr>
                <w:rFonts w:ascii="Times New Roman" w:hAnsi="Times New Roman" w:cs="Times New Roman"/>
                <w:bCs/>
                <w:sz w:val="16"/>
                <w:szCs w:val="16"/>
              </w:rPr>
              <w:t>year</w:t>
            </w:r>
            <w:proofErr w:type="spellEnd"/>
          </w:p>
        </w:tc>
        <w:tc>
          <w:tcPr>
            <w:tcW w:w="411" w:type="pct"/>
            <w:tcBorders>
              <w:top w:val="single" w:sz="4" w:space="0" w:color="auto"/>
              <w:left w:val="single" w:sz="4" w:space="0" w:color="auto"/>
              <w:bottom w:val="single" w:sz="4" w:space="0" w:color="auto"/>
              <w:right w:val="single" w:sz="4" w:space="0" w:color="auto"/>
            </w:tcBorders>
          </w:tcPr>
          <w:p w14:paraId="0D8DD3F5" w14:textId="77777777" w:rsidR="00653571" w:rsidRPr="008C5F1C" w:rsidRDefault="008E0DB6" w:rsidP="00534127">
            <w:pPr>
              <w:rPr>
                <w:rFonts w:ascii="Times New Roman" w:hAnsi="Times New Roman" w:cs="Times New Roman"/>
                <w:bCs/>
                <w:sz w:val="16"/>
                <w:szCs w:val="16"/>
              </w:rPr>
            </w:pPr>
            <w:r w:rsidRPr="008C5F1C">
              <w:rPr>
                <w:rFonts w:ascii="Times New Roman" w:hAnsi="Times New Roman" w:cs="Times New Roman"/>
                <w:bCs/>
                <w:sz w:val="16"/>
                <w:szCs w:val="16"/>
              </w:rPr>
              <w:t>0</w:t>
            </w:r>
          </w:p>
        </w:tc>
        <w:tc>
          <w:tcPr>
            <w:tcW w:w="432" w:type="pct"/>
            <w:tcBorders>
              <w:top w:val="single" w:sz="4" w:space="0" w:color="auto"/>
              <w:left w:val="single" w:sz="4" w:space="0" w:color="auto"/>
              <w:bottom w:val="single" w:sz="4" w:space="0" w:color="auto"/>
              <w:right w:val="single" w:sz="4" w:space="0" w:color="auto"/>
            </w:tcBorders>
          </w:tcPr>
          <w:p w14:paraId="15091EE5" w14:textId="77777777" w:rsidR="00653571" w:rsidRPr="008C5F1C" w:rsidRDefault="008E0DB6" w:rsidP="00534127">
            <w:pPr>
              <w:rPr>
                <w:rFonts w:ascii="Times New Roman" w:hAnsi="Times New Roman" w:cs="Times New Roman"/>
                <w:bCs/>
                <w:sz w:val="16"/>
                <w:szCs w:val="16"/>
              </w:rPr>
            </w:pPr>
            <w:r w:rsidRPr="008C5F1C">
              <w:rPr>
                <w:rFonts w:ascii="Times New Roman" w:hAnsi="Times New Roman" w:cs="Times New Roman"/>
                <w:bCs/>
                <w:sz w:val="16"/>
                <w:szCs w:val="16"/>
              </w:rPr>
              <w:t>2021</w:t>
            </w:r>
          </w:p>
        </w:tc>
        <w:tc>
          <w:tcPr>
            <w:tcW w:w="328" w:type="pct"/>
            <w:tcBorders>
              <w:top w:val="single" w:sz="4" w:space="0" w:color="auto"/>
              <w:left w:val="single" w:sz="4" w:space="0" w:color="auto"/>
              <w:bottom w:val="single" w:sz="4" w:space="0" w:color="auto"/>
              <w:right w:val="single" w:sz="4" w:space="0" w:color="auto"/>
            </w:tcBorders>
          </w:tcPr>
          <w:p w14:paraId="19F2F635" w14:textId="33B70E6B" w:rsidR="00653571" w:rsidRPr="008C5F1C" w:rsidRDefault="009A7CCC" w:rsidP="00534127">
            <w:pPr>
              <w:rPr>
                <w:rFonts w:ascii="Times New Roman" w:hAnsi="Times New Roman" w:cs="Times New Roman"/>
                <w:bCs/>
                <w:sz w:val="16"/>
                <w:szCs w:val="16"/>
              </w:rPr>
            </w:pPr>
            <w:r w:rsidRPr="008C5F1C">
              <w:rPr>
                <w:rFonts w:ascii="Times New Roman" w:hAnsi="Times New Roman" w:cs="Times New Roman"/>
                <w:bCs/>
                <w:sz w:val="16"/>
                <w:szCs w:val="16"/>
              </w:rPr>
              <w:t>2</w:t>
            </w:r>
            <w:r w:rsidR="00DD0134" w:rsidRPr="008C5F1C">
              <w:rPr>
                <w:rFonts w:ascii="Times New Roman" w:hAnsi="Times New Roman" w:cs="Times New Roman"/>
                <w:bCs/>
                <w:sz w:val="16"/>
                <w:szCs w:val="16"/>
              </w:rPr>
              <w:t>1</w:t>
            </w:r>
            <w:r w:rsidRPr="008C5F1C">
              <w:rPr>
                <w:rFonts w:ascii="Times New Roman" w:hAnsi="Times New Roman" w:cs="Times New Roman"/>
                <w:bCs/>
                <w:sz w:val="16"/>
                <w:szCs w:val="16"/>
              </w:rPr>
              <w:t>.000</w:t>
            </w:r>
          </w:p>
        </w:tc>
        <w:tc>
          <w:tcPr>
            <w:tcW w:w="332" w:type="pct"/>
            <w:tcBorders>
              <w:top w:val="single" w:sz="4" w:space="0" w:color="auto"/>
              <w:left w:val="single" w:sz="4" w:space="0" w:color="auto"/>
              <w:bottom w:val="single" w:sz="4" w:space="0" w:color="auto"/>
              <w:right w:val="single" w:sz="4" w:space="0" w:color="auto"/>
            </w:tcBorders>
          </w:tcPr>
          <w:p w14:paraId="18DC1FE1" w14:textId="28DC27E7" w:rsidR="00653571" w:rsidRPr="008C5F1C" w:rsidRDefault="009A7CCC" w:rsidP="00534127">
            <w:pPr>
              <w:rPr>
                <w:rFonts w:ascii="Times New Roman" w:hAnsi="Times New Roman" w:cs="Times New Roman"/>
                <w:bCs/>
                <w:sz w:val="16"/>
                <w:szCs w:val="16"/>
              </w:rPr>
            </w:pPr>
            <w:r w:rsidRPr="008C5F1C">
              <w:rPr>
                <w:rFonts w:ascii="Times New Roman" w:hAnsi="Times New Roman" w:cs="Times New Roman"/>
                <w:bCs/>
                <w:sz w:val="16"/>
                <w:szCs w:val="16"/>
              </w:rPr>
              <w:t>SIIIR</w:t>
            </w:r>
          </w:p>
        </w:tc>
        <w:tc>
          <w:tcPr>
            <w:tcW w:w="457" w:type="pct"/>
            <w:tcBorders>
              <w:top w:val="single" w:sz="4" w:space="0" w:color="auto"/>
              <w:left w:val="single" w:sz="4" w:space="0" w:color="auto"/>
              <w:bottom w:val="single" w:sz="4" w:space="0" w:color="auto"/>
              <w:right w:val="single" w:sz="4" w:space="0" w:color="auto"/>
            </w:tcBorders>
          </w:tcPr>
          <w:p w14:paraId="4FBFBF4C" w14:textId="77777777" w:rsidR="00653571" w:rsidRPr="008C5F1C" w:rsidRDefault="00653571" w:rsidP="00534127">
            <w:pPr>
              <w:rPr>
                <w:rFonts w:ascii="Times New Roman" w:hAnsi="Times New Roman" w:cs="Times New Roman"/>
                <w:bCs/>
                <w:sz w:val="16"/>
                <w:szCs w:val="16"/>
              </w:rPr>
            </w:pPr>
          </w:p>
        </w:tc>
      </w:tr>
    </w:tbl>
    <w:p w14:paraId="3BB24021" w14:textId="77777777" w:rsidR="00653571" w:rsidRPr="008C5F1C" w:rsidRDefault="00653571" w:rsidP="00653571">
      <w:pPr>
        <w:rPr>
          <w:rFonts w:ascii="Times New Roman" w:hAnsi="Times New Roman" w:cs="Times New Roman"/>
          <w:b/>
          <w:iCs/>
        </w:rPr>
      </w:pPr>
      <w:r w:rsidRPr="008C5F1C">
        <w:rPr>
          <w:rFonts w:ascii="Times New Roman" w:hAnsi="Times New Roman" w:cs="Times New Roman"/>
          <w:i/>
        </w:rPr>
        <w:t xml:space="preserve">[Point 2.1.1.3 in </w:t>
      </w:r>
      <w:proofErr w:type="spellStart"/>
      <w:r w:rsidRPr="008C5F1C">
        <w:rPr>
          <w:rFonts w:ascii="Times New Roman" w:hAnsi="Times New Roman" w:cs="Times New Roman"/>
          <w:i/>
        </w:rPr>
        <w:t>the</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Commission</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proposal</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has</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been</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moved</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up</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following</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changes</w:t>
      </w:r>
      <w:proofErr w:type="spellEnd"/>
      <w:r w:rsidRPr="008C5F1C">
        <w:rPr>
          <w:rFonts w:ascii="Times New Roman" w:hAnsi="Times New Roman" w:cs="Times New Roman"/>
          <w:i/>
        </w:rPr>
        <w:t xml:space="preserve"> in </w:t>
      </w:r>
      <w:proofErr w:type="spellStart"/>
      <w:r w:rsidRPr="008C5F1C">
        <w:rPr>
          <w:rFonts w:ascii="Times New Roman" w:hAnsi="Times New Roman" w:cs="Times New Roman"/>
          <w:i/>
        </w:rPr>
        <w:t>Article</w:t>
      </w:r>
      <w:proofErr w:type="spellEnd"/>
      <w:r w:rsidRPr="008C5F1C">
        <w:rPr>
          <w:rFonts w:ascii="Times New Roman" w:hAnsi="Times New Roman" w:cs="Times New Roman"/>
          <w:i/>
        </w:rPr>
        <w:t xml:space="preserve"> 17(3)(c) CPR </w:t>
      </w:r>
      <w:proofErr w:type="spellStart"/>
      <w:r w:rsidRPr="008C5F1C">
        <w:rPr>
          <w:rFonts w:ascii="Times New Roman" w:hAnsi="Times New Roman" w:cs="Times New Roman"/>
          <w:i/>
        </w:rPr>
        <w:t>and</w:t>
      </w:r>
      <w:proofErr w:type="spellEnd"/>
      <w:r w:rsidRPr="008C5F1C">
        <w:rPr>
          <w:rFonts w:ascii="Times New Roman" w:hAnsi="Times New Roman" w:cs="Times New Roman"/>
          <w:i/>
        </w:rPr>
        <w:t xml:space="preserve"> it </w:t>
      </w:r>
      <w:proofErr w:type="spellStart"/>
      <w:r w:rsidRPr="008C5F1C">
        <w:rPr>
          <w:rFonts w:ascii="Times New Roman" w:hAnsi="Times New Roman" w:cs="Times New Roman"/>
          <w:i/>
        </w:rPr>
        <w:t>is</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now</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point</w:t>
      </w:r>
      <w:proofErr w:type="spellEnd"/>
      <w:r w:rsidRPr="008C5F1C">
        <w:rPr>
          <w:rFonts w:ascii="Times New Roman" w:hAnsi="Times New Roman" w:cs="Times New Roman"/>
          <w:i/>
        </w:rPr>
        <w:t xml:space="preserve"> 2.1.1.bis]</w:t>
      </w:r>
    </w:p>
    <w:p w14:paraId="405308E8" w14:textId="77777777" w:rsidR="00446BA4" w:rsidRPr="008C5F1C" w:rsidRDefault="00446BA4">
      <w:pPr>
        <w:spacing w:after="160" w:line="259" w:lineRule="auto"/>
        <w:rPr>
          <w:rFonts w:ascii="Times New Roman" w:hAnsi="Times New Roman" w:cs="Times New Roman"/>
        </w:rPr>
      </w:pPr>
      <w:r w:rsidRPr="008C5F1C">
        <w:rPr>
          <w:rFonts w:ascii="Times New Roman" w:hAnsi="Times New Roman" w:cs="Times New Roman"/>
        </w:rPr>
        <w:br w:type="page"/>
      </w:r>
    </w:p>
    <w:p w14:paraId="4C897ABB" w14:textId="77777777" w:rsidR="00653571" w:rsidRPr="008C5F1C" w:rsidRDefault="00653571" w:rsidP="00653571">
      <w:pPr>
        <w:pStyle w:val="Heading2"/>
        <w:numPr>
          <w:ilvl w:val="0"/>
          <w:numId w:val="0"/>
        </w:numPr>
        <w:ind w:left="851" w:hanging="851"/>
        <w:rPr>
          <w:rFonts w:cs="Times New Roman"/>
          <w:lang w:val="ro-RO"/>
        </w:rPr>
      </w:pPr>
      <w:bookmarkStart w:id="125" w:name="_Toc39840944"/>
      <w:r w:rsidRPr="008C5F1C">
        <w:rPr>
          <w:rFonts w:cs="Times New Roman"/>
          <w:lang w:val="ro-RO"/>
        </w:rPr>
        <w:lastRenderedPageBreak/>
        <w:t xml:space="preserve">2.A.1 </w:t>
      </w:r>
      <w:proofErr w:type="spellStart"/>
      <w:r w:rsidRPr="008C5F1C">
        <w:rPr>
          <w:rFonts w:cs="Times New Roman"/>
          <w:lang w:val="ro-RO"/>
        </w:rPr>
        <w:t>Prioritarea</w:t>
      </w:r>
      <w:proofErr w:type="spellEnd"/>
      <w:r w:rsidRPr="008C5F1C">
        <w:rPr>
          <w:rFonts w:cs="Times New Roman"/>
          <w:lang w:val="ro-RO"/>
        </w:rPr>
        <w:t xml:space="preserve"> 6. O regiune atractiv</w:t>
      </w:r>
      <w:bookmarkEnd w:id="125"/>
      <w:r w:rsidR="00BA7827" w:rsidRPr="008C5F1C">
        <w:rPr>
          <w:rFonts w:cs="Times New Roman"/>
          <w:lang w:val="ro-RO"/>
        </w:rPr>
        <w:t>ă</w:t>
      </w:r>
    </w:p>
    <w:p w14:paraId="51363897" w14:textId="77777777" w:rsidR="00653571" w:rsidRPr="008C5F1C" w:rsidRDefault="00653571" w:rsidP="00653571">
      <w:pPr>
        <w:rPr>
          <w:rFonts w:ascii="Times New Roman" w:hAnsi="Times New Roman" w:cs="Times New Roman"/>
          <w:i/>
          <w:iCs/>
        </w:rPr>
      </w:pPr>
      <w:proofErr w:type="spellStart"/>
      <w:r w:rsidRPr="008C5F1C">
        <w:rPr>
          <w:rFonts w:ascii="Times New Roman" w:hAnsi="Times New Roman" w:cs="Times New Roman"/>
          <w:i/>
          <w:iCs/>
        </w:rPr>
        <w:t>Reference</w:t>
      </w:r>
      <w:proofErr w:type="spellEnd"/>
      <w:r w:rsidRPr="008C5F1C">
        <w:rPr>
          <w:rFonts w:ascii="Times New Roman" w:hAnsi="Times New Roman" w:cs="Times New Roman"/>
          <w:i/>
          <w:iCs/>
        </w:rPr>
        <w:t xml:space="preserve">: </w:t>
      </w:r>
      <w:proofErr w:type="spellStart"/>
      <w:r w:rsidRPr="008C5F1C">
        <w:rPr>
          <w:rFonts w:ascii="Times New Roman" w:hAnsi="Times New Roman" w:cs="Times New Roman"/>
          <w:i/>
          <w:iCs/>
        </w:rPr>
        <w:t>Article</w:t>
      </w:r>
      <w:proofErr w:type="spellEnd"/>
      <w:r w:rsidRPr="008C5F1C">
        <w:rPr>
          <w:rFonts w:ascii="Times New Roman" w:hAnsi="Times New Roman" w:cs="Times New Roman"/>
          <w:i/>
          <w:iCs/>
        </w:rPr>
        <w:t xml:space="preserve"> 4(1), 10 </w:t>
      </w:r>
      <w:proofErr w:type="spellStart"/>
      <w:r w:rsidRPr="008C5F1C">
        <w:rPr>
          <w:rFonts w:ascii="Times New Roman" w:hAnsi="Times New Roman" w:cs="Times New Roman"/>
          <w:i/>
          <w:iCs/>
        </w:rPr>
        <w:t>and</w:t>
      </w:r>
      <w:proofErr w:type="spellEnd"/>
      <w:r w:rsidRPr="008C5F1C">
        <w:rPr>
          <w:rFonts w:ascii="Times New Roman" w:hAnsi="Times New Roman" w:cs="Times New Roman"/>
          <w:i/>
          <w:iCs/>
        </w:rPr>
        <w:t xml:space="preserve"> 13 ESF+</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53571" w:rsidRPr="008C5F1C" w14:paraId="4FE27362" w14:textId="77777777" w:rsidTr="00534127">
        <w:tc>
          <w:tcPr>
            <w:tcW w:w="9322" w:type="dxa"/>
            <w:tcBorders>
              <w:top w:val="single" w:sz="4" w:space="0" w:color="auto"/>
              <w:left w:val="single" w:sz="4" w:space="0" w:color="auto"/>
              <w:bottom w:val="single" w:sz="4" w:space="0" w:color="auto"/>
              <w:right w:val="single" w:sz="4" w:space="0" w:color="auto"/>
            </w:tcBorders>
            <w:hideMark/>
          </w:tcPr>
          <w:p w14:paraId="2825DED6" w14:textId="77777777" w:rsidR="00653571" w:rsidRPr="008C5F1C" w:rsidRDefault="00653571" w:rsidP="00534127">
            <w:pPr>
              <w:rPr>
                <w:rFonts w:ascii="Times New Roman" w:hAnsi="Times New Roman" w:cs="Times New Roman"/>
              </w:rPr>
            </w:pPr>
            <w:r w:rsidRPr="008C5F1C">
              <w:rPr>
                <w:rFonts w:ascii="Times New Roman" w:hAnsi="Times New Roman" w:cs="Times New Roman"/>
              </w:rPr>
              <w:fldChar w:fldCharType="begin">
                <w:ffData>
                  <w:name w:val="Check2"/>
                  <w:enabled/>
                  <w:calcOnExit w:val="0"/>
                  <w:checkBox>
                    <w:sizeAuto/>
                    <w:default w:val="0"/>
                  </w:checkBox>
                </w:ffData>
              </w:fldChar>
            </w:r>
            <w:r w:rsidRPr="008C5F1C">
              <w:rPr>
                <w:rFonts w:ascii="Times New Roman" w:hAnsi="Times New Roman" w:cs="Times New Roman"/>
              </w:rPr>
              <w:instrText xml:space="preserve"> FORMCHECKBOX </w:instrText>
            </w:r>
            <w:r w:rsidR="00AD12F7">
              <w:rPr>
                <w:rFonts w:ascii="Times New Roman" w:hAnsi="Times New Roman" w:cs="Times New Roman"/>
              </w:rPr>
            </w:r>
            <w:r w:rsidR="00AD12F7">
              <w:rPr>
                <w:rFonts w:ascii="Times New Roman" w:hAnsi="Times New Roman" w:cs="Times New Roman"/>
              </w:rPr>
              <w:fldChar w:fldCharType="separate"/>
            </w:r>
            <w:r w:rsidRPr="008C5F1C">
              <w:rPr>
                <w:rFonts w:ascii="Times New Roman" w:hAnsi="Times New Roman" w:cs="Times New Roman"/>
              </w:rPr>
              <w:fldChar w:fldCharType="end"/>
            </w:r>
            <w:r w:rsidRPr="008C5F1C">
              <w:rPr>
                <w:rFonts w:ascii="Times New Roman" w:hAnsi="Times New Roman" w:cs="Times New Roman"/>
              </w:rPr>
              <w:t xml:space="preserve"> </w:t>
            </w:r>
            <w:proofErr w:type="spellStart"/>
            <w:r w:rsidRPr="008C5F1C">
              <w:rPr>
                <w:rFonts w:ascii="Times New Roman" w:hAnsi="Times New Roman" w:cs="Times New Roman"/>
              </w:rPr>
              <w:t>This</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is</w:t>
            </w:r>
            <w:proofErr w:type="spellEnd"/>
            <w:r w:rsidRPr="008C5F1C">
              <w:rPr>
                <w:rFonts w:ascii="Times New Roman" w:hAnsi="Times New Roman" w:cs="Times New Roman"/>
              </w:rPr>
              <w:t xml:space="preserve"> a </w:t>
            </w:r>
            <w:proofErr w:type="spellStart"/>
            <w:r w:rsidRPr="008C5F1C">
              <w:rPr>
                <w:rFonts w:ascii="Times New Roman" w:hAnsi="Times New Roman" w:cs="Times New Roman"/>
              </w:rPr>
              <w:t>priority</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dedicated</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to</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youth</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employment</w:t>
            </w:r>
            <w:proofErr w:type="spellEnd"/>
          </w:p>
        </w:tc>
      </w:tr>
      <w:tr w:rsidR="00653571" w:rsidRPr="008C5F1C" w14:paraId="428629ED" w14:textId="77777777" w:rsidTr="00534127">
        <w:tc>
          <w:tcPr>
            <w:tcW w:w="9322" w:type="dxa"/>
            <w:tcBorders>
              <w:top w:val="single" w:sz="4" w:space="0" w:color="auto"/>
              <w:left w:val="single" w:sz="4" w:space="0" w:color="auto"/>
              <w:bottom w:val="single" w:sz="4" w:space="0" w:color="auto"/>
              <w:right w:val="single" w:sz="4" w:space="0" w:color="auto"/>
            </w:tcBorders>
            <w:hideMark/>
          </w:tcPr>
          <w:p w14:paraId="3D7166EB" w14:textId="77777777" w:rsidR="00653571" w:rsidRPr="008C5F1C" w:rsidRDefault="00653571" w:rsidP="00534127">
            <w:pPr>
              <w:rPr>
                <w:rFonts w:ascii="Times New Roman" w:hAnsi="Times New Roman" w:cs="Times New Roman"/>
              </w:rPr>
            </w:pPr>
            <w:r w:rsidRPr="008C5F1C">
              <w:rPr>
                <w:rFonts w:ascii="Times New Roman" w:hAnsi="Times New Roman" w:cs="Times New Roman"/>
              </w:rPr>
              <w:fldChar w:fldCharType="begin">
                <w:ffData>
                  <w:name w:val="Check2"/>
                  <w:enabled/>
                  <w:calcOnExit w:val="0"/>
                  <w:checkBox>
                    <w:sizeAuto/>
                    <w:default w:val="0"/>
                  </w:checkBox>
                </w:ffData>
              </w:fldChar>
            </w:r>
            <w:r w:rsidRPr="008C5F1C">
              <w:rPr>
                <w:rFonts w:ascii="Times New Roman" w:hAnsi="Times New Roman" w:cs="Times New Roman"/>
              </w:rPr>
              <w:instrText xml:space="preserve"> FORMCHECKBOX </w:instrText>
            </w:r>
            <w:r w:rsidR="00AD12F7">
              <w:rPr>
                <w:rFonts w:ascii="Times New Roman" w:hAnsi="Times New Roman" w:cs="Times New Roman"/>
              </w:rPr>
            </w:r>
            <w:r w:rsidR="00AD12F7">
              <w:rPr>
                <w:rFonts w:ascii="Times New Roman" w:hAnsi="Times New Roman" w:cs="Times New Roman"/>
              </w:rPr>
              <w:fldChar w:fldCharType="separate"/>
            </w:r>
            <w:r w:rsidRPr="008C5F1C">
              <w:rPr>
                <w:rFonts w:ascii="Times New Roman" w:hAnsi="Times New Roman" w:cs="Times New Roman"/>
              </w:rPr>
              <w:fldChar w:fldCharType="end"/>
            </w:r>
            <w:r w:rsidRPr="008C5F1C">
              <w:rPr>
                <w:rFonts w:ascii="Times New Roman" w:hAnsi="Times New Roman" w:cs="Times New Roman"/>
              </w:rPr>
              <w:t xml:space="preserve"> </w:t>
            </w:r>
            <w:proofErr w:type="spellStart"/>
            <w:r w:rsidRPr="008C5F1C">
              <w:rPr>
                <w:rFonts w:ascii="Times New Roman" w:hAnsi="Times New Roman" w:cs="Times New Roman"/>
              </w:rPr>
              <w:t>This</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is</w:t>
            </w:r>
            <w:proofErr w:type="spellEnd"/>
            <w:r w:rsidRPr="008C5F1C">
              <w:rPr>
                <w:rFonts w:ascii="Times New Roman" w:hAnsi="Times New Roman" w:cs="Times New Roman"/>
              </w:rPr>
              <w:t xml:space="preserve"> a </w:t>
            </w:r>
            <w:proofErr w:type="spellStart"/>
            <w:r w:rsidRPr="008C5F1C">
              <w:rPr>
                <w:rFonts w:ascii="Times New Roman" w:hAnsi="Times New Roman" w:cs="Times New Roman"/>
              </w:rPr>
              <w:t>priority</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dedicated</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to</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innovative</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actions</w:t>
            </w:r>
            <w:proofErr w:type="spellEnd"/>
          </w:p>
        </w:tc>
      </w:tr>
      <w:tr w:rsidR="00653571" w:rsidRPr="008C5F1C" w14:paraId="06CD12A4" w14:textId="77777777" w:rsidTr="00534127">
        <w:tc>
          <w:tcPr>
            <w:tcW w:w="9322" w:type="dxa"/>
            <w:tcBorders>
              <w:top w:val="single" w:sz="4" w:space="0" w:color="auto"/>
              <w:left w:val="single" w:sz="4" w:space="0" w:color="auto"/>
              <w:bottom w:val="single" w:sz="4" w:space="0" w:color="auto"/>
              <w:right w:val="single" w:sz="4" w:space="0" w:color="auto"/>
            </w:tcBorders>
            <w:hideMark/>
          </w:tcPr>
          <w:p w14:paraId="300339CC" w14:textId="77777777" w:rsidR="00653571" w:rsidRPr="008C5F1C" w:rsidRDefault="00653571" w:rsidP="00534127">
            <w:pPr>
              <w:rPr>
                <w:rFonts w:ascii="Times New Roman" w:hAnsi="Times New Roman" w:cs="Times New Roman"/>
              </w:rPr>
            </w:pPr>
            <w:r w:rsidRPr="008C5F1C">
              <w:rPr>
                <w:rFonts w:ascii="Times New Roman" w:hAnsi="Times New Roman" w:cs="Times New Roman"/>
              </w:rPr>
              <w:fldChar w:fldCharType="begin">
                <w:ffData>
                  <w:name w:val="Check2"/>
                  <w:enabled/>
                  <w:calcOnExit w:val="0"/>
                  <w:checkBox>
                    <w:sizeAuto/>
                    <w:default w:val="0"/>
                  </w:checkBox>
                </w:ffData>
              </w:fldChar>
            </w:r>
            <w:r w:rsidRPr="008C5F1C">
              <w:rPr>
                <w:rFonts w:ascii="Times New Roman" w:hAnsi="Times New Roman" w:cs="Times New Roman"/>
              </w:rPr>
              <w:instrText xml:space="preserve"> FORMCHECKBOX </w:instrText>
            </w:r>
            <w:r w:rsidR="00AD12F7">
              <w:rPr>
                <w:rFonts w:ascii="Times New Roman" w:hAnsi="Times New Roman" w:cs="Times New Roman"/>
              </w:rPr>
            </w:r>
            <w:r w:rsidR="00AD12F7">
              <w:rPr>
                <w:rFonts w:ascii="Times New Roman" w:hAnsi="Times New Roman" w:cs="Times New Roman"/>
              </w:rPr>
              <w:fldChar w:fldCharType="separate"/>
            </w:r>
            <w:r w:rsidRPr="008C5F1C">
              <w:rPr>
                <w:rFonts w:ascii="Times New Roman" w:hAnsi="Times New Roman" w:cs="Times New Roman"/>
              </w:rPr>
              <w:fldChar w:fldCharType="end"/>
            </w:r>
            <w:r w:rsidRPr="008C5F1C">
              <w:rPr>
                <w:rFonts w:ascii="Times New Roman" w:hAnsi="Times New Roman" w:cs="Times New Roman"/>
              </w:rPr>
              <w:t xml:space="preserve"> </w:t>
            </w:r>
            <w:proofErr w:type="spellStart"/>
            <w:r w:rsidRPr="008C5F1C">
              <w:rPr>
                <w:rFonts w:ascii="Times New Roman" w:hAnsi="Times New Roman" w:cs="Times New Roman"/>
              </w:rPr>
              <w:t>This</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is</w:t>
            </w:r>
            <w:proofErr w:type="spellEnd"/>
            <w:r w:rsidRPr="008C5F1C">
              <w:rPr>
                <w:rFonts w:ascii="Times New Roman" w:hAnsi="Times New Roman" w:cs="Times New Roman"/>
              </w:rPr>
              <w:t xml:space="preserve"> a </w:t>
            </w:r>
            <w:proofErr w:type="spellStart"/>
            <w:r w:rsidRPr="008C5F1C">
              <w:rPr>
                <w:rFonts w:ascii="Times New Roman" w:hAnsi="Times New Roman" w:cs="Times New Roman"/>
              </w:rPr>
              <w:t>priority</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dedicated</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to</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support</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to</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the</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most</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deprived</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under</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the</w:t>
            </w:r>
            <w:proofErr w:type="spellEnd"/>
            <w:r w:rsidRPr="008C5F1C">
              <w:rPr>
                <w:rFonts w:ascii="Times New Roman" w:hAnsi="Times New Roman" w:cs="Times New Roman"/>
              </w:rPr>
              <w:t xml:space="preserve"> specific </w:t>
            </w:r>
            <w:proofErr w:type="spellStart"/>
            <w:r w:rsidRPr="008C5F1C">
              <w:rPr>
                <w:rFonts w:ascii="Times New Roman" w:hAnsi="Times New Roman" w:cs="Times New Roman"/>
              </w:rPr>
              <w:t>objective</w:t>
            </w:r>
            <w:proofErr w:type="spellEnd"/>
            <w:r w:rsidRPr="008C5F1C">
              <w:rPr>
                <w:rFonts w:ascii="Times New Roman" w:hAnsi="Times New Roman" w:cs="Times New Roman"/>
              </w:rPr>
              <w:t xml:space="preserve"> set out in </w:t>
            </w:r>
            <w:proofErr w:type="spellStart"/>
            <w:r w:rsidRPr="008C5F1C">
              <w:rPr>
                <w:rFonts w:ascii="Times New Roman" w:hAnsi="Times New Roman" w:cs="Times New Roman"/>
              </w:rPr>
              <w:t>point</w:t>
            </w:r>
            <w:proofErr w:type="spellEnd"/>
            <w:r w:rsidRPr="008C5F1C">
              <w:rPr>
                <w:rFonts w:ascii="Times New Roman" w:hAnsi="Times New Roman" w:cs="Times New Roman"/>
              </w:rPr>
              <w:t xml:space="preserve"> (xi) of </w:t>
            </w:r>
            <w:proofErr w:type="spellStart"/>
            <w:r w:rsidRPr="008C5F1C">
              <w:rPr>
                <w:rFonts w:ascii="Times New Roman" w:hAnsi="Times New Roman" w:cs="Times New Roman"/>
              </w:rPr>
              <w:t>Art</w:t>
            </w:r>
            <w:r w:rsidRPr="008C5F1C">
              <w:rPr>
                <w:rFonts w:ascii="Times New Roman" w:hAnsi="Times New Roman" w:cs="Times New Roman"/>
                <w:bCs/>
              </w:rPr>
              <w:t>i</w:t>
            </w:r>
            <w:r w:rsidRPr="008C5F1C">
              <w:rPr>
                <w:rFonts w:ascii="Times New Roman" w:hAnsi="Times New Roman" w:cs="Times New Roman"/>
              </w:rPr>
              <w:t>cle</w:t>
            </w:r>
            <w:proofErr w:type="spellEnd"/>
            <w:r w:rsidRPr="008C5F1C">
              <w:rPr>
                <w:rFonts w:ascii="Times New Roman" w:hAnsi="Times New Roman" w:cs="Times New Roman"/>
              </w:rPr>
              <w:t xml:space="preserve"> 4(1) of </w:t>
            </w:r>
            <w:proofErr w:type="spellStart"/>
            <w:r w:rsidRPr="008C5F1C">
              <w:rPr>
                <w:rFonts w:ascii="Times New Roman" w:hAnsi="Times New Roman" w:cs="Times New Roman"/>
              </w:rPr>
              <w:t>the</w:t>
            </w:r>
            <w:proofErr w:type="spellEnd"/>
            <w:r w:rsidRPr="008C5F1C">
              <w:rPr>
                <w:rFonts w:ascii="Times New Roman" w:hAnsi="Times New Roman" w:cs="Times New Roman"/>
              </w:rPr>
              <w:t xml:space="preserve"> ESF+ </w:t>
            </w:r>
            <w:proofErr w:type="spellStart"/>
            <w:r w:rsidRPr="008C5F1C">
              <w:rPr>
                <w:rFonts w:ascii="Times New Roman" w:hAnsi="Times New Roman" w:cs="Times New Roman"/>
              </w:rPr>
              <w:t>regulation</w:t>
            </w:r>
            <w:proofErr w:type="spellEnd"/>
            <w:r w:rsidRPr="008C5F1C">
              <w:rPr>
                <w:rFonts w:ascii="Times New Roman" w:hAnsi="Times New Roman" w:cs="Times New Roman"/>
              </w:rPr>
              <w:t>**</w:t>
            </w:r>
          </w:p>
        </w:tc>
      </w:tr>
      <w:tr w:rsidR="00653571" w:rsidRPr="008C5F1C" w14:paraId="2BFAD18D" w14:textId="77777777" w:rsidTr="00534127">
        <w:tc>
          <w:tcPr>
            <w:tcW w:w="9322" w:type="dxa"/>
            <w:tcBorders>
              <w:top w:val="single" w:sz="4" w:space="0" w:color="auto"/>
              <w:left w:val="single" w:sz="4" w:space="0" w:color="auto"/>
              <w:bottom w:val="single" w:sz="4" w:space="0" w:color="auto"/>
              <w:right w:val="single" w:sz="4" w:space="0" w:color="auto"/>
            </w:tcBorders>
            <w:hideMark/>
          </w:tcPr>
          <w:p w14:paraId="0450D4A8" w14:textId="77777777" w:rsidR="00653571" w:rsidRPr="008C5F1C" w:rsidRDefault="00653571" w:rsidP="00534127">
            <w:pPr>
              <w:rPr>
                <w:rFonts w:ascii="Times New Roman" w:hAnsi="Times New Roman" w:cs="Times New Roman"/>
              </w:rPr>
            </w:pPr>
            <w:r w:rsidRPr="008C5F1C">
              <w:rPr>
                <w:rFonts w:ascii="Times New Roman" w:hAnsi="Times New Roman" w:cs="Times New Roman"/>
              </w:rPr>
              <w:fldChar w:fldCharType="begin">
                <w:ffData>
                  <w:name w:val="Check2"/>
                  <w:enabled/>
                  <w:calcOnExit w:val="0"/>
                  <w:checkBox>
                    <w:sizeAuto/>
                    <w:default w:val="0"/>
                  </w:checkBox>
                </w:ffData>
              </w:fldChar>
            </w:r>
            <w:r w:rsidRPr="008C5F1C">
              <w:rPr>
                <w:rFonts w:ascii="Times New Roman" w:hAnsi="Times New Roman" w:cs="Times New Roman"/>
              </w:rPr>
              <w:instrText xml:space="preserve"> FORMCHECKBOX </w:instrText>
            </w:r>
            <w:r w:rsidR="00AD12F7">
              <w:rPr>
                <w:rFonts w:ascii="Times New Roman" w:hAnsi="Times New Roman" w:cs="Times New Roman"/>
              </w:rPr>
            </w:r>
            <w:r w:rsidR="00AD12F7">
              <w:rPr>
                <w:rFonts w:ascii="Times New Roman" w:hAnsi="Times New Roman" w:cs="Times New Roman"/>
              </w:rPr>
              <w:fldChar w:fldCharType="separate"/>
            </w:r>
            <w:r w:rsidRPr="008C5F1C">
              <w:rPr>
                <w:rFonts w:ascii="Times New Roman" w:hAnsi="Times New Roman" w:cs="Times New Roman"/>
              </w:rPr>
              <w:fldChar w:fldCharType="end"/>
            </w:r>
            <w:proofErr w:type="spellStart"/>
            <w:r w:rsidRPr="008C5F1C">
              <w:rPr>
                <w:rFonts w:ascii="Times New Roman" w:hAnsi="Times New Roman" w:cs="Times New Roman"/>
              </w:rPr>
              <w:t>This</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is</w:t>
            </w:r>
            <w:proofErr w:type="spellEnd"/>
            <w:r w:rsidRPr="008C5F1C">
              <w:rPr>
                <w:rFonts w:ascii="Times New Roman" w:hAnsi="Times New Roman" w:cs="Times New Roman"/>
              </w:rPr>
              <w:t xml:space="preserve"> a </w:t>
            </w:r>
            <w:proofErr w:type="spellStart"/>
            <w:r w:rsidRPr="008C5F1C">
              <w:rPr>
                <w:rFonts w:ascii="Times New Roman" w:hAnsi="Times New Roman" w:cs="Times New Roman"/>
              </w:rPr>
              <w:t>priority</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dedicated</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to</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support</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to</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the</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most</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deprived</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under</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the</w:t>
            </w:r>
            <w:proofErr w:type="spellEnd"/>
            <w:r w:rsidRPr="008C5F1C">
              <w:rPr>
                <w:rFonts w:ascii="Times New Roman" w:hAnsi="Times New Roman" w:cs="Times New Roman"/>
              </w:rPr>
              <w:t xml:space="preserve"> specific </w:t>
            </w:r>
            <w:proofErr w:type="spellStart"/>
            <w:r w:rsidRPr="008C5F1C">
              <w:rPr>
                <w:rFonts w:ascii="Times New Roman" w:hAnsi="Times New Roman" w:cs="Times New Roman"/>
              </w:rPr>
              <w:t>objective</w:t>
            </w:r>
            <w:proofErr w:type="spellEnd"/>
            <w:r w:rsidRPr="008C5F1C">
              <w:rPr>
                <w:rFonts w:ascii="Times New Roman" w:hAnsi="Times New Roman" w:cs="Times New Roman"/>
              </w:rPr>
              <w:t xml:space="preserve"> set out in </w:t>
            </w:r>
            <w:proofErr w:type="spellStart"/>
            <w:r w:rsidRPr="008C5F1C">
              <w:rPr>
                <w:rFonts w:ascii="Times New Roman" w:hAnsi="Times New Roman" w:cs="Times New Roman"/>
              </w:rPr>
              <w:t>point</w:t>
            </w:r>
            <w:proofErr w:type="spellEnd"/>
            <w:r w:rsidRPr="008C5F1C">
              <w:rPr>
                <w:rFonts w:ascii="Times New Roman" w:hAnsi="Times New Roman" w:cs="Times New Roman"/>
              </w:rPr>
              <w:t xml:space="preserve"> (x) of </w:t>
            </w:r>
            <w:proofErr w:type="spellStart"/>
            <w:r w:rsidRPr="008C5F1C">
              <w:rPr>
                <w:rFonts w:ascii="Times New Roman" w:hAnsi="Times New Roman" w:cs="Times New Roman"/>
              </w:rPr>
              <w:t>Art</w:t>
            </w:r>
            <w:r w:rsidRPr="008C5F1C">
              <w:rPr>
                <w:rFonts w:ascii="Times New Roman" w:hAnsi="Times New Roman" w:cs="Times New Roman"/>
                <w:bCs/>
              </w:rPr>
              <w:t>i</w:t>
            </w:r>
            <w:r w:rsidRPr="008C5F1C">
              <w:rPr>
                <w:rFonts w:ascii="Times New Roman" w:hAnsi="Times New Roman" w:cs="Times New Roman"/>
              </w:rPr>
              <w:t>cle</w:t>
            </w:r>
            <w:proofErr w:type="spellEnd"/>
            <w:r w:rsidRPr="008C5F1C">
              <w:rPr>
                <w:rFonts w:ascii="Times New Roman" w:hAnsi="Times New Roman" w:cs="Times New Roman"/>
              </w:rPr>
              <w:t xml:space="preserve"> 4(1) of </w:t>
            </w:r>
            <w:proofErr w:type="spellStart"/>
            <w:r w:rsidRPr="008C5F1C">
              <w:rPr>
                <w:rFonts w:ascii="Times New Roman" w:hAnsi="Times New Roman" w:cs="Times New Roman"/>
              </w:rPr>
              <w:t>the</w:t>
            </w:r>
            <w:proofErr w:type="spellEnd"/>
            <w:r w:rsidRPr="008C5F1C">
              <w:rPr>
                <w:rFonts w:ascii="Times New Roman" w:hAnsi="Times New Roman" w:cs="Times New Roman"/>
              </w:rPr>
              <w:t xml:space="preserve"> ESF+ </w:t>
            </w:r>
            <w:proofErr w:type="spellStart"/>
            <w:r w:rsidRPr="008C5F1C">
              <w:rPr>
                <w:rFonts w:ascii="Times New Roman" w:hAnsi="Times New Roman" w:cs="Times New Roman"/>
              </w:rPr>
              <w:t>regulation</w:t>
            </w:r>
            <w:proofErr w:type="spellEnd"/>
            <w:r w:rsidRPr="008C5F1C">
              <w:rPr>
                <w:rFonts w:ascii="Times New Roman" w:hAnsi="Times New Roman" w:cs="Times New Roman"/>
                <w:b/>
                <w:vertAlign w:val="superscript"/>
              </w:rPr>
              <w:footnoteReference w:id="61"/>
            </w:r>
          </w:p>
        </w:tc>
      </w:tr>
    </w:tbl>
    <w:p w14:paraId="5045E19E" w14:textId="77777777" w:rsidR="00653571" w:rsidRPr="008C5F1C" w:rsidRDefault="00653571" w:rsidP="00653571">
      <w:pPr>
        <w:rPr>
          <w:rFonts w:ascii="Times New Roman" w:hAnsi="Times New Roman" w:cs="Times New Roman"/>
          <w:i/>
        </w:rPr>
      </w:pPr>
      <w:r w:rsidRPr="008C5F1C">
        <w:rPr>
          <w:rFonts w:ascii="Times New Roman" w:hAnsi="Times New Roman" w:cs="Times New Roman"/>
          <w:i/>
        </w:rPr>
        <w:t xml:space="preserve">* </w:t>
      </w:r>
      <w:proofErr w:type="spellStart"/>
      <w:r w:rsidRPr="008C5F1C">
        <w:rPr>
          <w:rFonts w:ascii="Times New Roman" w:hAnsi="Times New Roman" w:cs="Times New Roman"/>
          <w:i/>
        </w:rPr>
        <w:t>Ticking</w:t>
      </w:r>
      <w:proofErr w:type="spellEnd"/>
      <w:r w:rsidRPr="008C5F1C">
        <w:rPr>
          <w:rFonts w:ascii="Times New Roman" w:hAnsi="Times New Roman" w:cs="Times New Roman"/>
          <w:i/>
        </w:rPr>
        <w:t xml:space="preserve"> box </w:t>
      </w:r>
      <w:proofErr w:type="spellStart"/>
      <w:r w:rsidRPr="008C5F1C">
        <w:rPr>
          <w:rFonts w:ascii="Times New Roman" w:hAnsi="Times New Roman" w:cs="Times New Roman"/>
          <w:i/>
        </w:rPr>
        <w:t>applicable</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to</w:t>
      </w:r>
      <w:proofErr w:type="spellEnd"/>
      <w:r w:rsidRPr="008C5F1C">
        <w:rPr>
          <w:rFonts w:ascii="Times New Roman" w:hAnsi="Times New Roman" w:cs="Times New Roman"/>
          <w:i/>
        </w:rPr>
        <w:t xml:space="preserve"> ESF+ </w:t>
      </w:r>
      <w:proofErr w:type="spellStart"/>
      <w:r w:rsidRPr="008C5F1C">
        <w:rPr>
          <w:rFonts w:ascii="Times New Roman" w:hAnsi="Times New Roman" w:cs="Times New Roman"/>
          <w:i/>
        </w:rPr>
        <w:t>priorities</w:t>
      </w:r>
      <w:proofErr w:type="spellEnd"/>
      <w:r w:rsidRPr="008C5F1C">
        <w:rPr>
          <w:rFonts w:ascii="Times New Roman" w:hAnsi="Times New Roman" w:cs="Times New Roman"/>
          <w:i/>
        </w:rPr>
        <w:t xml:space="preserve">. In case of EMFF, </w:t>
      </w:r>
      <w:proofErr w:type="spellStart"/>
      <w:r w:rsidRPr="008C5F1C">
        <w:rPr>
          <w:rFonts w:ascii="Times New Roman" w:hAnsi="Times New Roman" w:cs="Times New Roman"/>
          <w:i/>
        </w:rPr>
        <w:t>title</w:t>
      </w:r>
      <w:proofErr w:type="spellEnd"/>
      <w:r w:rsidRPr="008C5F1C">
        <w:rPr>
          <w:rFonts w:ascii="Times New Roman" w:hAnsi="Times New Roman" w:cs="Times New Roman"/>
          <w:i/>
        </w:rPr>
        <w:t xml:space="preserve"> of </w:t>
      </w:r>
      <w:proofErr w:type="spellStart"/>
      <w:r w:rsidRPr="008C5F1C">
        <w:rPr>
          <w:rFonts w:ascii="Times New Roman" w:hAnsi="Times New Roman" w:cs="Times New Roman"/>
          <w:i/>
        </w:rPr>
        <w:t>the</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priority</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is</w:t>
      </w:r>
      <w:proofErr w:type="spellEnd"/>
      <w:r w:rsidRPr="008C5F1C">
        <w:rPr>
          <w:rFonts w:ascii="Times New Roman" w:hAnsi="Times New Roman" w:cs="Times New Roman"/>
          <w:i/>
        </w:rPr>
        <w:t xml:space="preserve"> pre-</w:t>
      </w:r>
      <w:proofErr w:type="spellStart"/>
      <w:r w:rsidRPr="008C5F1C">
        <w:rPr>
          <w:rFonts w:ascii="Times New Roman" w:hAnsi="Times New Roman" w:cs="Times New Roman"/>
          <w:i/>
        </w:rPr>
        <w:t>defined</w:t>
      </w:r>
      <w:proofErr w:type="spellEnd"/>
      <w:r w:rsidRPr="008C5F1C">
        <w:rPr>
          <w:rFonts w:ascii="Times New Roman" w:hAnsi="Times New Roman" w:cs="Times New Roman"/>
          <w:i/>
        </w:rPr>
        <w:t>.</w:t>
      </w:r>
    </w:p>
    <w:p w14:paraId="23ED4A9C" w14:textId="77777777" w:rsidR="00653571" w:rsidRPr="008C5F1C" w:rsidRDefault="00653571" w:rsidP="00653571">
      <w:pPr>
        <w:rPr>
          <w:rFonts w:ascii="Times New Roman" w:hAnsi="Times New Roman" w:cs="Times New Roman"/>
          <w:i/>
        </w:rPr>
      </w:pPr>
      <w:r w:rsidRPr="008C5F1C">
        <w:rPr>
          <w:rFonts w:ascii="Times New Roman" w:hAnsi="Times New Roman" w:cs="Times New Roman"/>
          <w:i/>
        </w:rPr>
        <w:t xml:space="preserve">** </w:t>
      </w:r>
      <w:proofErr w:type="spellStart"/>
      <w:r w:rsidRPr="008C5F1C">
        <w:rPr>
          <w:rFonts w:ascii="Times New Roman" w:hAnsi="Times New Roman" w:cs="Times New Roman"/>
          <w:i/>
        </w:rPr>
        <w:t>If</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marked</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go</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to</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section</w:t>
      </w:r>
      <w:proofErr w:type="spellEnd"/>
      <w:r w:rsidRPr="008C5F1C">
        <w:rPr>
          <w:rFonts w:ascii="Times New Roman" w:hAnsi="Times New Roman" w:cs="Times New Roman"/>
          <w:i/>
        </w:rPr>
        <w:t xml:space="preserve"> 2.A.2.a</w:t>
      </w:r>
    </w:p>
    <w:p w14:paraId="6153FED6" w14:textId="77777777" w:rsidR="00653571" w:rsidRPr="008C5F1C" w:rsidRDefault="00653571" w:rsidP="00653571">
      <w:pPr>
        <w:rPr>
          <w:rFonts w:ascii="Times New Roman" w:hAnsi="Times New Roman" w:cs="Times New Roman"/>
          <w:b/>
          <w:iCs/>
        </w:rPr>
      </w:pPr>
      <w:r w:rsidRPr="008C5F1C">
        <w:rPr>
          <w:rFonts w:ascii="Times New Roman" w:hAnsi="Times New Roman" w:cs="Times New Roman"/>
          <w:b/>
          <w:iCs/>
        </w:rPr>
        <w:t xml:space="preserve">2.A.2 Indicative </w:t>
      </w:r>
      <w:proofErr w:type="spellStart"/>
      <w:r w:rsidRPr="008C5F1C">
        <w:rPr>
          <w:rFonts w:ascii="Times New Roman" w:hAnsi="Times New Roman" w:cs="Times New Roman"/>
          <w:b/>
          <w:iCs/>
        </w:rPr>
        <w:t>breakdown</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the</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programmed</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resources</w:t>
      </w:r>
      <w:proofErr w:type="spellEnd"/>
      <w:r w:rsidRPr="008C5F1C">
        <w:rPr>
          <w:rFonts w:ascii="Times New Roman" w:hAnsi="Times New Roman" w:cs="Times New Roman"/>
          <w:b/>
          <w:iCs/>
        </w:rPr>
        <w:t xml:space="preserve"> (EU) </w:t>
      </w:r>
      <w:proofErr w:type="spellStart"/>
      <w:r w:rsidRPr="008C5F1C">
        <w:rPr>
          <w:rFonts w:ascii="Times New Roman" w:hAnsi="Times New Roman" w:cs="Times New Roman"/>
          <w:b/>
          <w:iCs/>
        </w:rPr>
        <w:t>by</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type</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intervention</w:t>
      </w:r>
      <w:proofErr w:type="spellEnd"/>
      <w:r w:rsidRPr="008C5F1C">
        <w:rPr>
          <w:rFonts w:ascii="Times New Roman" w:hAnsi="Times New Roman" w:cs="Times New Roman"/>
          <w:b/>
          <w:iCs/>
        </w:rPr>
        <w:t xml:space="preserve"> </w:t>
      </w:r>
      <w:r w:rsidRPr="008C5F1C">
        <w:rPr>
          <w:rFonts w:ascii="Times New Roman" w:hAnsi="Times New Roman" w:cs="Times New Roman"/>
          <w:iCs/>
        </w:rPr>
        <w:t>(</w:t>
      </w:r>
      <w:proofErr w:type="spellStart"/>
      <w:r w:rsidRPr="008C5F1C">
        <w:rPr>
          <w:rFonts w:ascii="Times New Roman" w:hAnsi="Times New Roman" w:cs="Times New Roman"/>
          <w:iCs/>
        </w:rPr>
        <w:t>not</w:t>
      </w:r>
      <w:proofErr w:type="spellEnd"/>
      <w:r w:rsidRPr="008C5F1C">
        <w:rPr>
          <w:rFonts w:ascii="Times New Roman" w:hAnsi="Times New Roman" w:cs="Times New Roman"/>
          <w:iCs/>
        </w:rPr>
        <w:t xml:space="preserve"> </w:t>
      </w:r>
      <w:proofErr w:type="spellStart"/>
      <w:r w:rsidRPr="008C5F1C">
        <w:rPr>
          <w:rFonts w:ascii="Times New Roman" w:hAnsi="Times New Roman" w:cs="Times New Roman"/>
          <w:iCs/>
        </w:rPr>
        <w:t>applicable</w:t>
      </w:r>
      <w:proofErr w:type="spellEnd"/>
      <w:r w:rsidRPr="008C5F1C">
        <w:rPr>
          <w:rFonts w:ascii="Times New Roman" w:hAnsi="Times New Roman" w:cs="Times New Roman"/>
          <w:iCs/>
        </w:rPr>
        <w:t xml:space="preserve"> </w:t>
      </w:r>
      <w:proofErr w:type="spellStart"/>
      <w:r w:rsidRPr="008C5F1C">
        <w:rPr>
          <w:rFonts w:ascii="Times New Roman" w:hAnsi="Times New Roman" w:cs="Times New Roman"/>
          <w:iCs/>
        </w:rPr>
        <w:t>to</w:t>
      </w:r>
      <w:proofErr w:type="spellEnd"/>
      <w:r w:rsidRPr="008C5F1C">
        <w:rPr>
          <w:rFonts w:ascii="Times New Roman" w:hAnsi="Times New Roman" w:cs="Times New Roman"/>
          <w:iCs/>
        </w:rPr>
        <w:t xml:space="preserve"> </w:t>
      </w:r>
      <w:proofErr w:type="spellStart"/>
      <w:r w:rsidRPr="008C5F1C">
        <w:rPr>
          <w:rFonts w:ascii="Times New Roman" w:hAnsi="Times New Roman" w:cs="Times New Roman"/>
          <w:iCs/>
        </w:rPr>
        <w:t>the</w:t>
      </w:r>
      <w:proofErr w:type="spellEnd"/>
      <w:r w:rsidRPr="008C5F1C">
        <w:rPr>
          <w:rFonts w:ascii="Times New Roman" w:hAnsi="Times New Roman" w:cs="Times New Roman"/>
          <w:iCs/>
        </w:rPr>
        <w:t xml:space="preserve"> EMFF) </w:t>
      </w:r>
      <w:r w:rsidRPr="008C5F1C">
        <w:rPr>
          <w:rFonts w:ascii="Times New Roman" w:hAnsi="Times New Roman" w:cs="Times New Roman"/>
          <w:i/>
        </w:rPr>
        <w:t>[</w:t>
      </w:r>
      <w:proofErr w:type="spellStart"/>
      <w:r w:rsidRPr="008C5F1C">
        <w:rPr>
          <w:rFonts w:ascii="Times New Roman" w:hAnsi="Times New Roman" w:cs="Times New Roman"/>
          <w:i/>
        </w:rPr>
        <w:t>This</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was</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point</w:t>
      </w:r>
      <w:proofErr w:type="spellEnd"/>
      <w:r w:rsidRPr="008C5F1C">
        <w:rPr>
          <w:rFonts w:ascii="Times New Roman" w:hAnsi="Times New Roman" w:cs="Times New Roman"/>
          <w:i/>
        </w:rPr>
        <w:t xml:space="preserve"> 2.1.1.3 in </w:t>
      </w:r>
      <w:proofErr w:type="spellStart"/>
      <w:r w:rsidRPr="008C5F1C">
        <w:rPr>
          <w:rFonts w:ascii="Times New Roman" w:hAnsi="Times New Roman" w:cs="Times New Roman"/>
          <w:i/>
        </w:rPr>
        <w:t>the</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Commission</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proposal</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and</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has</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been</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moved</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up</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following</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changes</w:t>
      </w:r>
      <w:proofErr w:type="spellEnd"/>
      <w:r w:rsidRPr="008C5F1C">
        <w:rPr>
          <w:rFonts w:ascii="Times New Roman" w:hAnsi="Times New Roman" w:cs="Times New Roman"/>
          <w:i/>
        </w:rPr>
        <w:t xml:space="preserve"> in </w:t>
      </w:r>
      <w:proofErr w:type="spellStart"/>
      <w:r w:rsidRPr="008C5F1C">
        <w:rPr>
          <w:rFonts w:ascii="Times New Roman" w:hAnsi="Times New Roman" w:cs="Times New Roman"/>
          <w:i/>
        </w:rPr>
        <w:t>Article</w:t>
      </w:r>
      <w:proofErr w:type="spellEnd"/>
      <w:r w:rsidRPr="008C5F1C">
        <w:rPr>
          <w:rFonts w:ascii="Times New Roman" w:hAnsi="Times New Roman" w:cs="Times New Roman"/>
          <w:i/>
        </w:rPr>
        <w:t xml:space="preserve"> 17(3)(c) CPR]</w:t>
      </w:r>
    </w:p>
    <w:p w14:paraId="6E645279" w14:textId="77777777" w:rsidR="00653571" w:rsidRPr="008C5F1C" w:rsidRDefault="00653571" w:rsidP="00653571">
      <w:pPr>
        <w:rPr>
          <w:rFonts w:ascii="Times New Roman" w:hAnsi="Times New Roman" w:cs="Times New Roman"/>
          <w:b/>
          <w:i/>
          <w:iCs/>
        </w:rPr>
      </w:pPr>
      <w:proofErr w:type="spellStart"/>
      <w:r w:rsidRPr="008C5F1C">
        <w:rPr>
          <w:rFonts w:ascii="Times New Roman" w:hAnsi="Times New Roman" w:cs="Times New Roman"/>
          <w:i/>
        </w:rPr>
        <w:t>Reference</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Article</w:t>
      </w:r>
      <w:proofErr w:type="spellEnd"/>
      <w:r w:rsidRPr="008C5F1C">
        <w:rPr>
          <w:rFonts w:ascii="Times New Roman" w:hAnsi="Times New Roman" w:cs="Times New Roman"/>
          <w:i/>
        </w:rPr>
        <w:t xml:space="preserve"> 17(3)(c) CPR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
        <w:gridCol w:w="847"/>
        <w:gridCol w:w="1418"/>
        <w:gridCol w:w="4111"/>
        <w:gridCol w:w="2177"/>
        <w:gridCol w:w="6"/>
      </w:tblGrid>
      <w:tr w:rsidR="00653571" w:rsidRPr="008C5F1C" w14:paraId="7D0511EF" w14:textId="77777777" w:rsidTr="003607C8">
        <w:tc>
          <w:tcPr>
            <w:tcW w:w="9521" w:type="dxa"/>
            <w:gridSpan w:val="6"/>
            <w:tcBorders>
              <w:top w:val="single" w:sz="4" w:space="0" w:color="auto"/>
              <w:left w:val="single" w:sz="4" w:space="0" w:color="auto"/>
              <w:bottom w:val="single" w:sz="4" w:space="0" w:color="auto"/>
              <w:right w:val="single" w:sz="4" w:space="0" w:color="auto"/>
            </w:tcBorders>
            <w:hideMark/>
          </w:tcPr>
          <w:p w14:paraId="19BCDA08"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Table 4: </w:t>
            </w:r>
            <w:proofErr w:type="spellStart"/>
            <w:r w:rsidRPr="008C5F1C">
              <w:rPr>
                <w:rFonts w:ascii="Times New Roman" w:hAnsi="Times New Roman" w:cs="Times New Roman"/>
                <w:b/>
                <w:iCs/>
              </w:rPr>
              <w:t>Dimension</w:t>
            </w:r>
            <w:proofErr w:type="spellEnd"/>
            <w:r w:rsidRPr="008C5F1C">
              <w:rPr>
                <w:rFonts w:ascii="Times New Roman" w:hAnsi="Times New Roman" w:cs="Times New Roman"/>
                <w:b/>
                <w:iCs/>
              </w:rPr>
              <w:t xml:space="preserve"> 1 – </w:t>
            </w:r>
            <w:proofErr w:type="spellStart"/>
            <w:r w:rsidRPr="008C5F1C">
              <w:rPr>
                <w:rFonts w:ascii="Times New Roman" w:hAnsi="Times New Roman" w:cs="Times New Roman"/>
                <w:b/>
                <w:iCs/>
              </w:rPr>
              <w:t>intervention</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field</w:t>
            </w:r>
            <w:proofErr w:type="spellEnd"/>
          </w:p>
        </w:tc>
      </w:tr>
      <w:tr w:rsidR="00653571" w:rsidRPr="008C5F1C" w14:paraId="6F137C88" w14:textId="77777777" w:rsidTr="003607C8">
        <w:trPr>
          <w:gridAfter w:val="1"/>
          <w:wAfter w:w="6" w:type="dxa"/>
        </w:trPr>
        <w:tc>
          <w:tcPr>
            <w:tcW w:w="962" w:type="dxa"/>
            <w:tcBorders>
              <w:top w:val="single" w:sz="4" w:space="0" w:color="auto"/>
              <w:left w:val="single" w:sz="4" w:space="0" w:color="auto"/>
              <w:bottom w:val="single" w:sz="4" w:space="0" w:color="auto"/>
              <w:right w:val="single" w:sz="4" w:space="0" w:color="auto"/>
            </w:tcBorders>
            <w:hideMark/>
          </w:tcPr>
          <w:p w14:paraId="468E0465"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Priority</w:t>
            </w:r>
            <w:proofErr w:type="spellEnd"/>
            <w:r w:rsidRPr="008C5F1C">
              <w:rPr>
                <w:rFonts w:ascii="Times New Roman" w:hAnsi="Times New Roman" w:cs="Times New Roman"/>
                <w:b/>
                <w:iCs/>
              </w:rPr>
              <w:t xml:space="preserve"> No</w:t>
            </w:r>
          </w:p>
        </w:tc>
        <w:tc>
          <w:tcPr>
            <w:tcW w:w="847" w:type="dxa"/>
            <w:tcBorders>
              <w:top w:val="single" w:sz="4" w:space="0" w:color="auto"/>
              <w:left w:val="single" w:sz="4" w:space="0" w:color="auto"/>
              <w:bottom w:val="single" w:sz="4" w:space="0" w:color="auto"/>
              <w:right w:val="single" w:sz="4" w:space="0" w:color="auto"/>
            </w:tcBorders>
            <w:hideMark/>
          </w:tcPr>
          <w:p w14:paraId="514B7939"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Fund</w:t>
            </w:r>
          </w:p>
        </w:tc>
        <w:tc>
          <w:tcPr>
            <w:tcW w:w="1418" w:type="dxa"/>
            <w:tcBorders>
              <w:top w:val="single" w:sz="4" w:space="0" w:color="auto"/>
              <w:left w:val="single" w:sz="4" w:space="0" w:color="auto"/>
              <w:bottom w:val="single" w:sz="4" w:space="0" w:color="auto"/>
              <w:right w:val="single" w:sz="4" w:space="0" w:color="auto"/>
            </w:tcBorders>
            <w:hideMark/>
          </w:tcPr>
          <w:p w14:paraId="57765413"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Category</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region</w:t>
            </w:r>
            <w:proofErr w:type="spellEnd"/>
            <w:r w:rsidRPr="008C5F1C">
              <w:rPr>
                <w:rFonts w:ascii="Times New Roman" w:hAnsi="Times New Roman" w:cs="Times New Roman"/>
                <w:b/>
                <w:iCs/>
                <w:vertAlign w:val="superscript"/>
              </w:rPr>
              <w:footnoteReference w:id="62"/>
            </w:r>
          </w:p>
        </w:tc>
        <w:tc>
          <w:tcPr>
            <w:tcW w:w="4111" w:type="dxa"/>
            <w:tcBorders>
              <w:top w:val="single" w:sz="4" w:space="0" w:color="auto"/>
              <w:left w:val="single" w:sz="4" w:space="0" w:color="auto"/>
              <w:bottom w:val="single" w:sz="4" w:space="0" w:color="auto"/>
              <w:right w:val="single" w:sz="4" w:space="0" w:color="auto"/>
            </w:tcBorders>
            <w:hideMark/>
          </w:tcPr>
          <w:p w14:paraId="71844AF8"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Code </w:t>
            </w:r>
          </w:p>
        </w:tc>
        <w:tc>
          <w:tcPr>
            <w:tcW w:w="2177" w:type="dxa"/>
            <w:tcBorders>
              <w:top w:val="single" w:sz="4" w:space="0" w:color="auto"/>
              <w:left w:val="single" w:sz="4" w:space="0" w:color="auto"/>
              <w:bottom w:val="single" w:sz="4" w:space="0" w:color="auto"/>
              <w:right w:val="single" w:sz="4" w:space="0" w:color="auto"/>
            </w:tcBorders>
            <w:hideMark/>
          </w:tcPr>
          <w:p w14:paraId="7B3D05C6"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Amount</w:t>
            </w:r>
            <w:proofErr w:type="spellEnd"/>
            <w:r w:rsidRPr="008C5F1C">
              <w:rPr>
                <w:rFonts w:ascii="Times New Roman" w:hAnsi="Times New Roman" w:cs="Times New Roman"/>
                <w:b/>
                <w:iCs/>
              </w:rPr>
              <w:t xml:space="preserve"> (EUR)</w:t>
            </w:r>
          </w:p>
        </w:tc>
      </w:tr>
      <w:tr w:rsidR="0088356E" w:rsidRPr="008C5F1C" w14:paraId="6B70F99A" w14:textId="77777777" w:rsidTr="00F43642">
        <w:trPr>
          <w:gridAfter w:val="1"/>
          <w:wAfter w:w="6" w:type="dxa"/>
          <w:trHeight w:val="333"/>
        </w:trPr>
        <w:tc>
          <w:tcPr>
            <w:tcW w:w="962" w:type="dxa"/>
            <w:vMerge w:val="restart"/>
            <w:tcBorders>
              <w:top w:val="single" w:sz="4" w:space="0" w:color="auto"/>
              <w:left w:val="single" w:sz="4" w:space="0" w:color="auto"/>
              <w:right w:val="single" w:sz="4" w:space="0" w:color="auto"/>
            </w:tcBorders>
          </w:tcPr>
          <w:p w14:paraId="599D5422" w14:textId="77777777" w:rsidR="0088356E" w:rsidRPr="008C5F1C" w:rsidRDefault="0088356E" w:rsidP="008D169D">
            <w:pPr>
              <w:rPr>
                <w:rFonts w:ascii="Times New Roman" w:hAnsi="Times New Roman" w:cs="Times New Roman"/>
                <w:b/>
                <w:bCs/>
                <w:iCs/>
              </w:rPr>
            </w:pPr>
            <w:r w:rsidRPr="008C5F1C">
              <w:rPr>
                <w:rFonts w:ascii="Times New Roman" w:hAnsi="Times New Roman" w:cs="Times New Roman"/>
                <w:b/>
                <w:bCs/>
                <w:iCs/>
              </w:rPr>
              <w:t>6</w:t>
            </w:r>
          </w:p>
        </w:tc>
        <w:tc>
          <w:tcPr>
            <w:tcW w:w="847" w:type="dxa"/>
            <w:vMerge w:val="restart"/>
            <w:tcBorders>
              <w:top w:val="single" w:sz="4" w:space="0" w:color="auto"/>
              <w:left w:val="single" w:sz="4" w:space="0" w:color="auto"/>
              <w:right w:val="single" w:sz="4" w:space="0" w:color="auto"/>
            </w:tcBorders>
          </w:tcPr>
          <w:p w14:paraId="03B17765" w14:textId="77777777" w:rsidR="0088356E" w:rsidRPr="008C5F1C" w:rsidRDefault="0088356E" w:rsidP="008D169D">
            <w:pPr>
              <w:rPr>
                <w:rFonts w:ascii="Times New Roman" w:hAnsi="Times New Roman" w:cs="Times New Roman"/>
                <w:b/>
                <w:iCs/>
              </w:rPr>
            </w:pPr>
            <w:r w:rsidRPr="008C5F1C">
              <w:rPr>
                <w:rFonts w:ascii="Times New Roman" w:hAnsi="Times New Roman" w:cs="Times New Roman"/>
                <w:b/>
                <w:iCs/>
              </w:rPr>
              <w:t>ERDF</w:t>
            </w:r>
          </w:p>
        </w:tc>
        <w:tc>
          <w:tcPr>
            <w:tcW w:w="1418" w:type="dxa"/>
            <w:vMerge w:val="restart"/>
            <w:tcBorders>
              <w:top w:val="single" w:sz="4" w:space="0" w:color="auto"/>
              <w:left w:val="single" w:sz="4" w:space="0" w:color="auto"/>
              <w:right w:val="single" w:sz="4" w:space="0" w:color="auto"/>
            </w:tcBorders>
          </w:tcPr>
          <w:p w14:paraId="4A3E0567" w14:textId="77777777" w:rsidR="0088356E" w:rsidRPr="008C5F1C" w:rsidRDefault="0088356E" w:rsidP="008D169D">
            <w:pPr>
              <w:rPr>
                <w:rFonts w:ascii="Times New Roman" w:hAnsi="Times New Roman" w:cs="Times New Roman"/>
                <w:b/>
                <w:iCs/>
              </w:rPr>
            </w:pPr>
            <w:proofErr w:type="spellStart"/>
            <w:r w:rsidRPr="008C5F1C">
              <w:rPr>
                <w:rFonts w:ascii="Times New Roman" w:hAnsi="Times New Roman" w:cs="Times New Roman"/>
                <w:b/>
                <w:iCs/>
              </w:rPr>
              <w:t>Less</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developed</w:t>
            </w:r>
            <w:proofErr w:type="spellEnd"/>
          </w:p>
        </w:tc>
        <w:tc>
          <w:tcPr>
            <w:tcW w:w="4111" w:type="dxa"/>
            <w:tcBorders>
              <w:top w:val="single" w:sz="4" w:space="0" w:color="auto"/>
              <w:left w:val="single" w:sz="4" w:space="0" w:color="auto"/>
              <w:right w:val="single" w:sz="4" w:space="0" w:color="auto"/>
            </w:tcBorders>
          </w:tcPr>
          <w:p w14:paraId="48622499" w14:textId="77777777" w:rsidR="0088356E" w:rsidRPr="001A64EA" w:rsidRDefault="0088356E" w:rsidP="001A64EA">
            <w:pPr>
              <w:spacing w:after="120" w:line="240" w:lineRule="auto"/>
              <w:rPr>
                <w:rFonts w:ascii="Times New Roman" w:hAnsi="Times New Roman" w:cs="Times New Roman"/>
                <w:b/>
                <w:iCs/>
              </w:rPr>
            </w:pPr>
            <w:r w:rsidRPr="001A64EA">
              <w:rPr>
                <w:rFonts w:ascii="Times New Roman" w:hAnsi="Times New Roman" w:cs="Times New Roman"/>
                <w:b/>
                <w:iCs/>
              </w:rPr>
              <w:t xml:space="preserve">128 </w:t>
            </w:r>
            <w:r w:rsidRPr="00533593">
              <w:rPr>
                <w:rFonts w:ascii="Times New Roman" w:hAnsi="Times New Roman" w:cs="Times New Roman"/>
                <w:noProof/>
                <w:sz w:val="20"/>
                <w:szCs w:val="20"/>
              </w:rPr>
              <w:t>Protejarea, dezvoltarea și promovarea activelor turistice publice și servicii turistice conexe</w:t>
            </w:r>
          </w:p>
        </w:tc>
        <w:tc>
          <w:tcPr>
            <w:tcW w:w="2177" w:type="dxa"/>
            <w:vMerge w:val="restart"/>
            <w:tcBorders>
              <w:top w:val="single" w:sz="4" w:space="0" w:color="auto"/>
              <w:left w:val="single" w:sz="4" w:space="0" w:color="auto"/>
              <w:right w:val="single" w:sz="4" w:space="0" w:color="auto"/>
            </w:tcBorders>
            <w:vAlign w:val="center"/>
          </w:tcPr>
          <w:p w14:paraId="7822D5CC" w14:textId="564B7EA3" w:rsidR="0088356E" w:rsidRPr="008C5F1C" w:rsidRDefault="0088356E" w:rsidP="008D169D">
            <w:pPr>
              <w:jc w:val="right"/>
              <w:rPr>
                <w:rFonts w:ascii="Times New Roman" w:hAnsi="Times New Roman" w:cs="Times New Roman"/>
                <w:b/>
                <w:iCs/>
              </w:rPr>
            </w:pPr>
            <w:r w:rsidRPr="008C5F1C">
              <w:rPr>
                <w:rFonts w:ascii="Times New Roman" w:hAnsi="Times New Roman" w:cs="Times New Roman"/>
                <w:b/>
                <w:iCs/>
              </w:rPr>
              <w:t>84.108.663</w:t>
            </w:r>
          </w:p>
        </w:tc>
      </w:tr>
      <w:tr w:rsidR="0088356E" w:rsidRPr="008C5F1C" w14:paraId="49F4D241" w14:textId="77777777" w:rsidTr="00376AC3">
        <w:trPr>
          <w:gridAfter w:val="1"/>
          <w:wAfter w:w="6" w:type="dxa"/>
          <w:trHeight w:val="263"/>
        </w:trPr>
        <w:tc>
          <w:tcPr>
            <w:tcW w:w="962" w:type="dxa"/>
            <w:vMerge/>
            <w:tcBorders>
              <w:left w:val="single" w:sz="4" w:space="0" w:color="auto"/>
              <w:right w:val="single" w:sz="4" w:space="0" w:color="auto"/>
            </w:tcBorders>
          </w:tcPr>
          <w:p w14:paraId="68248AF2" w14:textId="77777777" w:rsidR="0088356E" w:rsidRPr="008C5F1C" w:rsidRDefault="0088356E" w:rsidP="008D169D">
            <w:pPr>
              <w:rPr>
                <w:rFonts w:ascii="Times New Roman" w:hAnsi="Times New Roman" w:cs="Times New Roman"/>
                <w:b/>
                <w:bCs/>
                <w:iCs/>
              </w:rPr>
            </w:pPr>
          </w:p>
        </w:tc>
        <w:tc>
          <w:tcPr>
            <w:tcW w:w="847" w:type="dxa"/>
            <w:vMerge/>
            <w:tcBorders>
              <w:left w:val="single" w:sz="4" w:space="0" w:color="auto"/>
              <w:right w:val="single" w:sz="4" w:space="0" w:color="auto"/>
            </w:tcBorders>
          </w:tcPr>
          <w:p w14:paraId="5CF34572" w14:textId="4DFF8CAF" w:rsidR="0088356E" w:rsidRPr="008C5F1C" w:rsidRDefault="0088356E" w:rsidP="008D169D">
            <w:pPr>
              <w:rPr>
                <w:rFonts w:ascii="Times New Roman" w:hAnsi="Times New Roman" w:cs="Times New Roman"/>
                <w:b/>
                <w:iCs/>
              </w:rPr>
            </w:pPr>
          </w:p>
        </w:tc>
        <w:tc>
          <w:tcPr>
            <w:tcW w:w="1418" w:type="dxa"/>
            <w:vMerge/>
            <w:tcBorders>
              <w:left w:val="single" w:sz="4" w:space="0" w:color="auto"/>
              <w:right w:val="single" w:sz="4" w:space="0" w:color="auto"/>
            </w:tcBorders>
          </w:tcPr>
          <w:p w14:paraId="7BBC16F4" w14:textId="77777777" w:rsidR="0088356E" w:rsidRPr="008C5F1C" w:rsidRDefault="0088356E" w:rsidP="008D169D">
            <w:pPr>
              <w:rPr>
                <w:rFonts w:ascii="Times New Roman" w:hAnsi="Times New Roman" w:cs="Times New Roman"/>
                <w:b/>
                <w:iCs/>
              </w:rPr>
            </w:pPr>
          </w:p>
        </w:tc>
        <w:tc>
          <w:tcPr>
            <w:tcW w:w="4111" w:type="dxa"/>
            <w:tcBorders>
              <w:top w:val="single" w:sz="4" w:space="0" w:color="auto"/>
              <w:left w:val="single" w:sz="4" w:space="0" w:color="auto"/>
              <w:right w:val="single" w:sz="4" w:space="0" w:color="auto"/>
            </w:tcBorders>
          </w:tcPr>
          <w:p w14:paraId="79C98819" w14:textId="77777777" w:rsidR="0088356E" w:rsidRPr="001A64EA" w:rsidRDefault="0088356E" w:rsidP="001A64EA">
            <w:pPr>
              <w:spacing w:after="120" w:line="240" w:lineRule="auto"/>
              <w:rPr>
                <w:rFonts w:ascii="Times New Roman" w:hAnsi="Times New Roman" w:cs="Times New Roman"/>
                <w:b/>
                <w:iCs/>
              </w:rPr>
            </w:pPr>
            <w:r w:rsidRPr="001A64EA">
              <w:rPr>
                <w:rFonts w:ascii="Times New Roman" w:hAnsi="Times New Roman" w:cs="Times New Roman"/>
                <w:b/>
                <w:iCs/>
              </w:rPr>
              <w:t xml:space="preserve">129 </w:t>
            </w:r>
            <w:r w:rsidRPr="00533593">
              <w:rPr>
                <w:rFonts w:ascii="Times New Roman" w:hAnsi="Times New Roman" w:cs="Times New Roman"/>
                <w:noProof/>
                <w:sz w:val="20"/>
                <w:szCs w:val="20"/>
              </w:rPr>
              <w:t>Protejarea, dezvoltarea și promovarea patrimoniului cultural și a serviciilor culturale</w:t>
            </w:r>
          </w:p>
        </w:tc>
        <w:tc>
          <w:tcPr>
            <w:tcW w:w="2177" w:type="dxa"/>
            <w:vMerge/>
            <w:tcBorders>
              <w:left w:val="single" w:sz="4" w:space="0" w:color="auto"/>
              <w:right w:val="single" w:sz="4" w:space="0" w:color="auto"/>
            </w:tcBorders>
            <w:vAlign w:val="center"/>
          </w:tcPr>
          <w:p w14:paraId="437711DB" w14:textId="19BDDD1C" w:rsidR="0088356E" w:rsidRPr="008C5F1C" w:rsidRDefault="0088356E" w:rsidP="008D169D">
            <w:pPr>
              <w:jc w:val="right"/>
              <w:rPr>
                <w:rFonts w:ascii="Times New Roman" w:hAnsi="Times New Roman" w:cs="Times New Roman"/>
                <w:b/>
                <w:iCs/>
              </w:rPr>
            </w:pPr>
          </w:p>
        </w:tc>
      </w:tr>
      <w:tr w:rsidR="0088356E" w:rsidRPr="008C5F1C" w14:paraId="1CE77D8B" w14:textId="77777777" w:rsidTr="00F43642">
        <w:trPr>
          <w:gridAfter w:val="1"/>
          <w:wAfter w:w="6" w:type="dxa"/>
          <w:trHeight w:val="601"/>
        </w:trPr>
        <w:tc>
          <w:tcPr>
            <w:tcW w:w="962" w:type="dxa"/>
            <w:vMerge/>
            <w:tcBorders>
              <w:left w:val="single" w:sz="4" w:space="0" w:color="auto"/>
              <w:right w:val="single" w:sz="4" w:space="0" w:color="auto"/>
            </w:tcBorders>
          </w:tcPr>
          <w:p w14:paraId="5032DD55" w14:textId="77777777" w:rsidR="0088356E" w:rsidRPr="008C5F1C" w:rsidRDefault="0088356E" w:rsidP="008D169D">
            <w:pPr>
              <w:rPr>
                <w:rFonts w:ascii="Times New Roman" w:hAnsi="Times New Roman" w:cs="Times New Roman"/>
                <w:b/>
                <w:bCs/>
                <w:iCs/>
              </w:rPr>
            </w:pPr>
          </w:p>
        </w:tc>
        <w:tc>
          <w:tcPr>
            <w:tcW w:w="847" w:type="dxa"/>
            <w:vMerge/>
            <w:tcBorders>
              <w:left w:val="single" w:sz="4" w:space="0" w:color="auto"/>
              <w:right w:val="single" w:sz="4" w:space="0" w:color="auto"/>
            </w:tcBorders>
          </w:tcPr>
          <w:p w14:paraId="4A61D7ED" w14:textId="23D927E3" w:rsidR="0088356E" w:rsidRPr="008C5F1C" w:rsidRDefault="0088356E" w:rsidP="008D169D">
            <w:pPr>
              <w:rPr>
                <w:rFonts w:ascii="Times New Roman" w:hAnsi="Times New Roman" w:cs="Times New Roman"/>
                <w:b/>
                <w:iCs/>
              </w:rPr>
            </w:pPr>
          </w:p>
        </w:tc>
        <w:tc>
          <w:tcPr>
            <w:tcW w:w="1418" w:type="dxa"/>
            <w:vMerge/>
            <w:tcBorders>
              <w:left w:val="single" w:sz="4" w:space="0" w:color="auto"/>
              <w:right w:val="single" w:sz="4" w:space="0" w:color="auto"/>
            </w:tcBorders>
          </w:tcPr>
          <w:p w14:paraId="26A574F8" w14:textId="77777777" w:rsidR="0088356E" w:rsidRPr="008C5F1C" w:rsidRDefault="0088356E" w:rsidP="008D169D">
            <w:pPr>
              <w:rPr>
                <w:rFonts w:ascii="Times New Roman" w:hAnsi="Times New Roman" w:cs="Times New Roman"/>
                <w:b/>
                <w:iCs/>
              </w:rPr>
            </w:pPr>
          </w:p>
        </w:tc>
        <w:tc>
          <w:tcPr>
            <w:tcW w:w="4111" w:type="dxa"/>
            <w:tcBorders>
              <w:top w:val="single" w:sz="4" w:space="0" w:color="auto"/>
              <w:left w:val="single" w:sz="4" w:space="0" w:color="auto"/>
              <w:right w:val="single" w:sz="4" w:space="0" w:color="auto"/>
            </w:tcBorders>
          </w:tcPr>
          <w:p w14:paraId="348507B7" w14:textId="77777777" w:rsidR="0088356E" w:rsidRPr="001A64EA" w:rsidRDefault="0088356E" w:rsidP="001A64EA">
            <w:pPr>
              <w:spacing w:after="120" w:line="240" w:lineRule="auto"/>
              <w:rPr>
                <w:rFonts w:ascii="Times New Roman" w:hAnsi="Times New Roman" w:cs="Times New Roman"/>
                <w:b/>
                <w:iCs/>
              </w:rPr>
            </w:pPr>
            <w:r w:rsidRPr="001A64EA">
              <w:rPr>
                <w:rFonts w:ascii="Times New Roman" w:hAnsi="Times New Roman" w:cs="Times New Roman"/>
                <w:b/>
                <w:iCs/>
              </w:rPr>
              <w:t xml:space="preserve">130 </w:t>
            </w:r>
            <w:r w:rsidRPr="00533593">
              <w:rPr>
                <w:rFonts w:ascii="Times New Roman" w:hAnsi="Times New Roman" w:cs="Times New Roman"/>
                <w:noProof/>
                <w:sz w:val="20"/>
                <w:szCs w:val="20"/>
              </w:rPr>
              <w:t>Protejarea, dezvoltarea și promovarea patrimoniului natural și a ecoturismului</w:t>
            </w:r>
          </w:p>
        </w:tc>
        <w:tc>
          <w:tcPr>
            <w:tcW w:w="2177" w:type="dxa"/>
            <w:vMerge/>
            <w:tcBorders>
              <w:left w:val="single" w:sz="4" w:space="0" w:color="auto"/>
              <w:right w:val="single" w:sz="4" w:space="0" w:color="auto"/>
            </w:tcBorders>
            <w:vAlign w:val="center"/>
          </w:tcPr>
          <w:p w14:paraId="6E85C51B" w14:textId="2B6F92DB" w:rsidR="0088356E" w:rsidRPr="008C5F1C" w:rsidRDefault="0088356E" w:rsidP="008D169D">
            <w:pPr>
              <w:jc w:val="right"/>
              <w:rPr>
                <w:rFonts w:ascii="Times New Roman" w:hAnsi="Times New Roman" w:cs="Times New Roman"/>
                <w:b/>
                <w:iCs/>
              </w:rPr>
            </w:pPr>
          </w:p>
        </w:tc>
      </w:tr>
    </w:tbl>
    <w:p w14:paraId="77C80427" w14:textId="77777777" w:rsidR="00653571" w:rsidRPr="008C5F1C" w:rsidRDefault="00653571" w:rsidP="00653571">
      <w:pP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2682"/>
        <w:gridCol w:w="1531"/>
        <w:gridCol w:w="2175"/>
      </w:tblGrid>
      <w:tr w:rsidR="00653571" w:rsidRPr="008C5F1C" w14:paraId="6BE97989" w14:textId="77777777" w:rsidTr="0082064D">
        <w:tc>
          <w:tcPr>
            <w:tcW w:w="9371" w:type="dxa"/>
            <w:gridSpan w:val="5"/>
            <w:tcBorders>
              <w:top w:val="single" w:sz="4" w:space="0" w:color="auto"/>
              <w:left w:val="single" w:sz="4" w:space="0" w:color="auto"/>
              <w:bottom w:val="single" w:sz="4" w:space="0" w:color="auto"/>
              <w:right w:val="single" w:sz="4" w:space="0" w:color="auto"/>
            </w:tcBorders>
            <w:hideMark/>
          </w:tcPr>
          <w:p w14:paraId="4F543105"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Table 5: </w:t>
            </w:r>
            <w:proofErr w:type="spellStart"/>
            <w:r w:rsidRPr="008C5F1C">
              <w:rPr>
                <w:rFonts w:ascii="Times New Roman" w:hAnsi="Times New Roman" w:cs="Times New Roman"/>
                <w:b/>
                <w:iCs/>
              </w:rPr>
              <w:t>Dimension</w:t>
            </w:r>
            <w:proofErr w:type="spellEnd"/>
            <w:r w:rsidRPr="008C5F1C">
              <w:rPr>
                <w:rFonts w:ascii="Times New Roman" w:hAnsi="Times New Roman" w:cs="Times New Roman"/>
                <w:b/>
                <w:iCs/>
              </w:rPr>
              <w:t xml:space="preserve"> 2 – </w:t>
            </w:r>
            <w:proofErr w:type="spellStart"/>
            <w:r w:rsidRPr="008C5F1C">
              <w:rPr>
                <w:rFonts w:ascii="Times New Roman" w:hAnsi="Times New Roman" w:cs="Times New Roman"/>
                <w:b/>
                <w:iCs/>
              </w:rPr>
              <w:t>form</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support</w:t>
            </w:r>
            <w:proofErr w:type="spellEnd"/>
          </w:p>
        </w:tc>
      </w:tr>
      <w:tr w:rsidR="00653571" w:rsidRPr="008C5F1C" w14:paraId="4749B497" w14:textId="77777777" w:rsidTr="0082064D">
        <w:tc>
          <w:tcPr>
            <w:tcW w:w="1599" w:type="dxa"/>
            <w:tcBorders>
              <w:top w:val="single" w:sz="4" w:space="0" w:color="auto"/>
              <w:left w:val="single" w:sz="4" w:space="0" w:color="auto"/>
              <w:bottom w:val="single" w:sz="4" w:space="0" w:color="auto"/>
              <w:right w:val="single" w:sz="4" w:space="0" w:color="auto"/>
            </w:tcBorders>
            <w:hideMark/>
          </w:tcPr>
          <w:p w14:paraId="76E86C1C"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Priority</w:t>
            </w:r>
            <w:proofErr w:type="spellEnd"/>
            <w:r w:rsidRPr="008C5F1C">
              <w:rPr>
                <w:rFonts w:ascii="Times New Roman" w:hAnsi="Times New Roman" w:cs="Times New Roman"/>
                <w:b/>
                <w:iCs/>
              </w:rPr>
              <w:t xml:space="preserve"> No</w:t>
            </w:r>
          </w:p>
        </w:tc>
        <w:tc>
          <w:tcPr>
            <w:tcW w:w="1384" w:type="dxa"/>
            <w:tcBorders>
              <w:top w:val="single" w:sz="4" w:space="0" w:color="auto"/>
              <w:left w:val="single" w:sz="4" w:space="0" w:color="auto"/>
              <w:bottom w:val="single" w:sz="4" w:space="0" w:color="auto"/>
              <w:right w:val="single" w:sz="4" w:space="0" w:color="auto"/>
            </w:tcBorders>
            <w:hideMark/>
          </w:tcPr>
          <w:p w14:paraId="4D886B60"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Fund</w:t>
            </w:r>
          </w:p>
        </w:tc>
        <w:tc>
          <w:tcPr>
            <w:tcW w:w="2682" w:type="dxa"/>
            <w:tcBorders>
              <w:top w:val="single" w:sz="4" w:space="0" w:color="auto"/>
              <w:left w:val="single" w:sz="4" w:space="0" w:color="auto"/>
              <w:bottom w:val="single" w:sz="4" w:space="0" w:color="auto"/>
              <w:right w:val="single" w:sz="4" w:space="0" w:color="auto"/>
            </w:tcBorders>
            <w:hideMark/>
          </w:tcPr>
          <w:p w14:paraId="058C2FCC"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Category</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region</w:t>
            </w:r>
            <w:proofErr w:type="spellEnd"/>
            <w:r w:rsidRPr="008C5F1C">
              <w:rPr>
                <w:rFonts w:ascii="Times New Roman" w:hAnsi="Times New Roman" w:cs="Times New Roman"/>
                <w:b/>
                <w:iCs/>
                <w:vertAlign w:val="superscript"/>
              </w:rPr>
              <w:footnoteReference w:id="63"/>
            </w:r>
          </w:p>
        </w:tc>
        <w:tc>
          <w:tcPr>
            <w:tcW w:w="1531" w:type="dxa"/>
            <w:tcBorders>
              <w:top w:val="single" w:sz="4" w:space="0" w:color="auto"/>
              <w:left w:val="single" w:sz="4" w:space="0" w:color="auto"/>
              <w:bottom w:val="single" w:sz="4" w:space="0" w:color="auto"/>
              <w:right w:val="single" w:sz="4" w:space="0" w:color="auto"/>
            </w:tcBorders>
            <w:hideMark/>
          </w:tcPr>
          <w:p w14:paraId="6E126A7E"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Code </w:t>
            </w:r>
          </w:p>
        </w:tc>
        <w:tc>
          <w:tcPr>
            <w:tcW w:w="2175" w:type="dxa"/>
            <w:tcBorders>
              <w:top w:val="single" w:sz="4" w:space="0" w:color="auto"/>
              <w:left w:val="single" w:sz="4" w:space="0" w:color="auto"/>
              <w:bottom w:val="single" w:sz="4" w:space="0" w:color="auto"/>
              <w:right w:val="single" w:sz="4" w:space="0" w:color="auto"/>
            </w:tcBorders>
            <w:hideMark/>
          </w:tcPr>
          <w:p w14:paraId="538C4541"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Amount</w:t>
            </w:r>
            <w:proofErr w:type="spellEnd"/>
            <w:r w:rsidRPr="008C5F1C">
              <w:rPr>
                <w:rFonts w:ascii="Times New Roman" w:hAnsi="Times New Roman" w:cs="Times New Roman"/>
                <w:b/>
                <w:iCs/>
              </w:rPr>
              <w:t xml:space="preserve"> (EUR)</w:t>
            </w:r>
          </w:p>
        </w:tc>
      </w:tr>
      <w:tr w:rsidR="00653571" w:rsidRPr="008C5F1C" w14:paraId="43DB0EB0" w14:textId="77777777" w:rsidTr="0082064D">
        <w:tc>
          <w:tcPr>
            <w:tcW w:w="1599" w:type="dxa"/>
            <w:tcBorders>
              <w:top w:val="single" w:sz="4" w:space="0" w:color="auto"/>
              <w:left w:val="single" w:sz="4" w:space="0" w:color="auto"/>
              <w:bottom w:val="single" w:sz="4" w:space="0" w:color="auto"/>
              <w:right w:val="single" w:sz="4" w:space="0" w:color="auto"/>
            </w:tcBorders>
          </w:tcPr>
          <w:p w14:paraId="71A1E6DC" w14:textId="77777777" w:rsidR="00653571" w:rsidRPr="008C5F1C" w:rsidRDefault="00904C61" w:rsidP="00534127">
            <w:pPr>
              <w:rPr>
                <w:rFonts w:ascii="Times New Roman" w:hAnsi="Times New Roman" w:cs="Times New Roman"/>
                <w:b/>
                <w:bCs/>
                <w:iCs/>
              </w:rPr>
            </w:pPr>
            <w:r w:rsidRPr="008C5F1C">
              <w:rPr>
                <w:rFonts w:ascii="Times New Roman" w:hAnsi="Times New Roman" w:cs="Times New Roman"/>
                <w:b/>
                <w:bCs/>
                <w:iCs/>
              </w:rPr>
              <w:t>6</w:t>
            </w:r>
          </w:p>
        </w:tc>
        <w:tc>
          <w:tcPr>
            <w:tcW w:w="1384" w:type="dxa"/>
            <w:tcBorders>
              <w:top w:val="single" w:sz="4" w:space="0" w:color="auto"/>
              <w:left w:val="single" w:sz="4" w:space="0" w:color="auto"/>
              <w:bottom w:val="single" w:sz="4" w:space="0" w:color="auto"/>
              <w:right w:val="single" w:sz="4" w:space="0" w:color="auto"/>
            </w:tcBorders>
          </w:tcPr>
          <w:p w14:paraId="6B22763D"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ERDF</w:t>
            </w:r>
          </w:p>
        </w:tc>
        <w:tc>
          <w:tcPr>
            <w:tcW w:w="2682" w:type="dxa"/>
            <w:tcBorders>
              <w:top w:val="single" w:sz="4" w:space="0" w:color="auto"/>
              <w:left w:val="single" w:sz="4" w:space="0" w:color="auto"/>
              <w:bottom w:val="single" w:sz="4" w:space="0" w:color="auto"/>
              <w:right w:val="single" w:sz="4" w:space="0" w:color="auto"/>
            </w:tcBorders>
          </w:tcPr>
          <w:p w14:paraId="241EE6CA"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Less</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developed</w:t>
            </w:r>
            <w:proofErr w:type="spellEnd"/>
          </w:p>
        </w:tc>
        <w:tc>
          <w:tcPr>
            <w:tcW w:w="1531" w:type="dxa"/>
            <w:tcBorders>
              <w:top w:val="single" w:sz="4" w:space="0" w:color="auto"/>
              <w:left w:val="single" w:sz="4" w:space="0" w:color="auto"/>
              <w:bottom w:val="single" w:sz="4" w:space="0" w:color="auto"/>
              <w:right w:val="single" w:sz="4" w:space="0" w:color="auto"/>
            </w:tcBorders>
          </w:tcPr>
          <w:p w14:paraId="5088AB20" w14:textId="77777777" w:rsidR="00653571" w:rsidRPr="008C5F1C" w:rsidRDefault="0082064D" w:rsidP="00534127">
            <w:pPr>
              <w:rPr>
                <w:rFonts w:ascii="Times New Roman" w:hAnsi="Times New Roman" w:cs="Times New Roman"/>
                <w:b/>
                <w:iCs/>
              </w:rPr>
            </w:pPr>
            <w:r w:rsidRPr="008C5F1C">
              <w:rPr>
                <w:rFonts w:ascii="Times New Roman" w:hAnsi="Times New Roman" w:cs="Times New Roman"/>
                <w:b/>
                <w:iCs/>
              </w:rPr>
              <w:t>001 Grant</w:t>
            </w:r>
          </w:p>
        </w:tc>
        <w:tc>
          <w:tcPr>
            <w:tcW w:w="2175" w:type="dxa"/>
            <w:tcBorders>
              <w:top w:val="single" w:sz="4" w:space="0" w:color="auto"/>
              <w:left w:val="single" w:sz="4" w:space="0" w:color="auto"/>
              <w:bottom w:val="single" w:sz="4" w:space="0" w:color="auto"/>
              <w:right w:val="single" w:sz="4" w:space="0" w:color="auto"/>
            </w:tcBorders>
          </w:tcPr>
          <w:p w14:paraId="2619B900" w14:textId="26C0E4F1" w:rsidR="00653571" w:rsidRPr="008C5F1C" w:rsidRDefault="008D169D" w:rsidP="009F3E76">
            <w:pPr>
              <w:jc w:val="right"/>
              <w:rPr>
                <w:rFonts w:ascii="Times New Roman" w:hAnsi="Times New Roman" w:cs="Times New Roman"/>
                <w:b/>
                <w:iCs/>
              </w:rPr>
            </w:pPr>
            <w:r w:rsidRPr="008C5F1C">
              <w:rPr>
                <w:rFonts w:ascii="Times New Roman" w:hAnsi="Times New Roman" w:cs="Times New Roman"/>
                <w:b/>
                <w:iCs/>
              </w:rPr>
              <w:t>84.108.663</w:t>
            </w:r>
          </w:p>
        </w:tc>
      </w:tr>
      <w:tr w:rsidR="000601B7" w:rsidRPr="008C5F1C" w14:paraId="45ACC91C" w14:textId="77777777" w:rsidTr="0082064D">
        <w:tc>
          <w:tcPr>
            <w:tcW w:w="1599" w:type="dxa"/>
            <w:tcBorders>
              <w:top w:val="single" w:sz="4" w:space="0" w:color="auto"/>
              <w:left w:val="single" w:sz="4" w:space="0" w:color="auto"/>
              <w:bottom w:val="single" w:sz="4" w:space="0" w:color="auto"/>
              <w:right w:val="single" w:sz="4" w:space="0" w:color="auto"/>
            </w:tcBorders>
          </w:tcPr>
          <w:p w14:paraId="3A0F9894" w14:textId="10AC14D6" w:rsidR="000601B7" w:rsidRPr="008C5F1C" w:rsidRDefault="000601B7" w:rsidP="00534127">
            <w:pPr>
              <w:rPr>
                <w:rFonts w:ascii="Times New Roman" w:hAnsi="Times New Roman" w:cs="Times New Roman"/>
                <w:b/>
                <w:bCs/>
                <w:iCs/>
              </w:rPr>
            </w:pPr>
            <w:r w:rsidRPr="008C5F1C">
              <w:rPr>
                <w:rFonts w:ascii="Times New Roman" w:hAnsi="Times New Roman" w:cs="Times New Roman"/>
                <w:b/>
                <w:bCs/>
                <w:iCs/>
              </w:rPr>
              <w:t>6</w:t>
            </w:r>
          </w:p>
        </w:tc>
        <w:tc>
          <w:tcPr>
            <w:tcW w:w="1384" w:type="dxa"/>
            <w:tcBorders>
              <w:top w:val="single" w:sz="4" w:space="0" w:color="auto"/>
              <w:left w:val="single" w:sz="4" w:space="0" w:color="auto"/>
              <w:bottom w:val="single" w:sz="4" w:space="0" w:color="auto"/>
              <w:right w:val="single" w:sz="4" w:space="0" w:color="auto"/>
            </w:tcBorders>
          </w:tcPr>
          <w:p w14:paraId="035D2E86" w14:textId="27394104" w:rsidR="000601B7" w:rsidRPr="008C5F1C" w:rsidRDefault="008D169D" w:rsidP="00534127">
            <w:pPr>
              <w:rPr>
                <w:rFonts w:ascii="Times New Roman" w:hAnsi="Times New Roman" w:cs="Times New Roman"/>
                <w:b/>
                <w:iCs/>
              </w:rPr>
            </w:pPr>
            <w:r w:rsidRPr="008C5F1C">
              <w:rPr>
                <w:rFonts w:ascii="Times New Roman" w:hAnsi="Times New Roman" w:cs="Times New Roman"/>
                <w:b/>
                <w:iCs/>
              </w:rPr>
              <w:t>CN</w:t>
            </w:r>
          </w:p>
        </w:tc>
        <w:tc>
          <w:tcPr>
            <w:tcW w:w="2682" w:type="dxa"/>
            <w:tcBorders>
              <w:top w:val="single" w:sz="4" w:space="0" w:color="auto"/>
              <w:left w:val="single" w:sz="4" w:space="0" w:color="auto"/>
              <w:bottom w:val="single" w:sz="4" w:space="0" w:color="auto"/>
              <w:right w:val="single" w:sz="4" w:space="0" w:color="auto"/>
            </w:tcBorders>
          </w:tcPr>
          <w:p w14:paraId="28CE8C78" w14:textId="2C2D3DFE" w:rsidR="000601B7" w:rsidRPr="008C5F1C" w:rsidRDefault="000601B7" w:rsidP="00534127">
            <w:pPr>
              <w:rPr>
                <w:rFonts w:ascii="Times New Roman" w:hAnsi="Times New Roman" w:cs="Times New Roman"/>
                <w:b/>
                <w:iCs/>
              </w:rPr>
            </w:pPr>
            <w:proofErr w:type="spellStart"/>
            <w:r w:rsidRPr="008C5F1C">
              <w:rPr>
                <w:rFonts w:ascii="Times New Roman" w:hAnsi="Times New Roman" w:cs="Times New Roman"/>
                <w:b/>
                <w:iCs/>
              </w:rPr>
              <w:t>Less</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developed</w:t>
            </w:r>
            <w:proofErr w:type="spellEnd"/>
          </w:p>
        </w:tc>
        <w:tc>
          <w:tcPr>
            <w:tcW w:w="1531" w:type="dxa"/>
            <w:tcBorders>
              <w:top w:val="single" w:sz="4" w:space="0" w:color="auto"/>
              <w:left w:val="single" w:sz="4" w:space="0" w:color="auto"/>
              <w:bottom w:val="single" w:sz="4" w:space="0" w:color="auto"/>
              <w:right w:val="single" w:sz="4" w:space="0" w:color="auto"/>
            </w:tcBorders>
          </w:tcPr>
          <w:p w14:paraId="16EF9D81" w14:textId="5153CA5D" w:rsidR="000601B7" w:rsidRPr="008C5F1C" w:rsidRDefault="000601B7" w:rsidP="00534127">
            <w:pPr>
              <w:rPr>
                <w:rFonts w:ascii="Times New Roman" w:hAnsi="Times New Roman" w:cs="Times New Roman"/>
                <w:b/>
                <w:iCs/>
              </w:rPr>
            </w:pPr>
            <w:r w:rsidRPr="008C5F1C">
              <w:rPr>
                <w:rFonts w:ascii="Times New Roman" w:hAnsi="Times New Roman" w:cs="Times New Roman"/>
                <w:b/>
                <w:iCs/>
              </w:rPr>
              <w:t>001 Grant</w:t>
            </w:r>
          </w:p>
        </w:tc>
        <w:tc>
          <w:tcPr>
            <w:tcW w:w="2175" w:type="dxa"/>
            <w:tcBorders>
              <w:top w:val="single" w:sz="4" w:space="0" w:color="auto"/>
              <w:left w:val="single" w:sz="4" w:space="0" w:color="auto"/>
              <w:bottom w:val="single" w:sz="4" w:space="0" w:color="auto"/>
              <w:right w:val="single" w:sz="4" w:space="0" w:color="auto"/>
            </w:tcBorders>
          </w:tcPr>
          <w:p w14:paraId="017A2367" w14:textId="76852E36" w:rsidR="000601B7" w:rsidRPr="008C5F1C" w:rsidRDefault="008D169D" w:rsidP="009F3E76">
            <w:pPr>
              <w:jc w:val="right"/>
              <w:rPr>
                <w:rFonts w:ascii="Times New Roman" w:hAnsi="Times New Roman" w:cs="Times New Roman"/>
                <w:b/>
                <w:iCs/>
              </w:rPr>
            </w:pPr>
            <w:r w:rsidRPr="008C5F1C">
              <w:rPr>
                <w:rFonts w:ascii="Times New Roman" w:hAnsi="Times New Roman" w:cs="Times New Roman"/>
                <w:b/>
                <w:iCs/>
              </w:rPr>
              <w:t>14.842.705</w:t>
            </w:r>
          </w:p>
        </w:tc>
      </w:tr>
    </w:tbl>
    <w:p w14:paraId="45CF6009" w14:textId="77777777" w:rsidR="00653571" w:rsidRPr="008C5F1C" w:rsidRDefault="00653571" w:rsidP="00653571">
      <w:pPr>
        <w:rPr>
          <w:rFonts w:ascii="Times New Roman" w:hAnsi="Times New Roman" w:cs="Times New Roman"/>
          <w:b/>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3077"/>
        <w:gridCol w:w="1053"/>
        <w:gridCol w:w="591"/>
        <w:gridCol w:w="1053"/>
        <w:gridCol w:w="531"/>
      </w:tblGrid>
      <w:tr w:rsidR="00653571" w:rsidRPr="008C5F1C" w14:paraId="15A8DD66" w14:textId="77777777" w:rsidTr="00534127">
        <w:tc>
          <w:tcPr>
            <w:tcW w:w="9288" w:type="dxa"/>
            <w:gridSpan w:val="7"/>
            <w:tcBorders>
              <w:top w:val="single" w:sz="4" w:space="0" w:color="auto"/>
              <w:left w:val="single" w:sz="4" w:space="0" w:color="auto"/>
              <w:bottom w:val="single" w:sz="4" w:space="0" w:color="auto"/>
              <w:right w:val="single" w:sz="4" w:space="0" w:color="auto"/>
            </w:tcBorders>
            <w:hideMark/>
          </w:tcPr>
          <w:p w14:paraId="3FA41AE7"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Table 6: </w:t>
            </w:r>
            <w:proofErr w:type="spellStart"/>
            <w:r w:rsidRPr="008C5F1C">
              <w:rPr>
                <w:rFonts w:ascii="Times New Roman" w:hAnsi="Times New Roman" w:cs="Times New Roman"/>
                <w:b/>
                <w:iCs/>
              </w:rPr>
              <w:t>Dimension</w:t>
            </w:r>
            <w:proofErr w:type="spellEnd"/>
            <w:r w:rsidRPr="008C5F1C">
              <w:rPr>
                <w:rFonts w:ascii="Times New Roman" w:hAnsi="Times New Roman" w:cs="Times New Roman"/>
                <w:b/>
                <w:iCs/>
              </w:rPr>
              <w:t xml:space="preserve"> 3 – </w:t>
            </w:r>
            <w:proofErr w:type="spellStart"/>
            <w:r w:rsidRPr="008C5F1C">
              <w:rPr>
                <w:rFonts w:ascii="Times New Roman" w:hAnsi="Times New Roman" w:cs="Times New Roman"/>
                <w:b/>
                <w:iCs/>
              </w:rPr>
              <w:t>territorial</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delivery</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mechanism</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and</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territorial</w:t>
            </w:r>
            <w:proofErr w:type="spellEnd"/>
            <w:r w:rsidRPr="008C5F1C">
              <w:rPr>
                <w:rFonts w:ascii="Times New Roman" w:hAnsi="Times New Roman" w:cs="Times New Roman"/>
                <w:b/>
                <w:iCs/>
              </w:rPr>
              <w:t xml:space="preserve"> focus</w:t>
            </w:r>
          </w:p>
        </w:tc>
      </w:tr>
      <w:tr w:rsidR="00653571" w:rsidRPr="008C5F1C" w14:paraId="3CA9A2B5" w14:textId="77777777" w:rsidTr="00534127">
        <w:tc>
          <w:tcPr>
            <w:tcW w:w="1599" w:type="dxa"/>
            <w:tcBorders>
              <w:top w:val="single" w:sz="4" w:space="0" w:color="auto"/>
              <w:left w:val="single" w:sz="4" w:space="0" w:color="auto"/>
              <w:bottom w:val="single" w:sz="4" w:space="0" w:color="auto"/>
              <w:right w:val="single" w:sz="4" w:space="0" w:color="auto"/>
            </w:tcBorders>
            <w:hideMark/>
          </w:tcPr>
          <w:p w14:paraId="0A423E7E"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lastRenderedPageBreak/>
              <w:t>Priority</w:t>
            </w:r>
            <w:proofErr w:type="spellEnd"/>
            <w:r w:rsidRPr="008C5F1C">
              <w:rPr>
                <w:rFonts w:ascii="Times New Roman" w:hAnsi="Times New Roman" w:cs="Times New Roman"/>
                <w:b/>
                <w:iCs/>
              </w:rPr>
              <w:t xml:space="preserve"> No</w:t>
            </w:r>
          </w:p>
        </w:tc>
        <w:tc>
          <w:tcPr>
            <w:tcW w:w="1384" w:type="dxa"/>
            <w:tcBorders>
              <w:top w:val="single" w:sz="4" w:space="0" w:color="auto"/>
              <w:left w:val="single" w:sz="4" w:space="0" w:color="auto"/>
              <w:bottom w:val="single" w:sz="4" w:space="0" w:color="auto"/>
              <w:right w:val="single" w:sz="4" w:space="0" w:color="auto"/>
            </w:tcBorders>
            <w:hideMark/>
          </w:tcPr>
          <w:p w14:paraId="2A64103D"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Fund</w:t>
            </w:r>
          </w:p>
        </w:tc>
        <w:tc>
          <w:tcPr>
            <w:tcW w:w="3077" w:type="dxa"/>
            <w:tcBorders>
              <w:top w:val="single" w:sz="4" w:space="0" w:color="auto"/>
              <w:left w:val="single" w:sz="4" w:space="0" w:color="auto"/>
              <w:bottom w:val="single" w:sz="4" w:space="0" w:color="auto"/>
              <w:right w:val="single" w:sz="4" w:space="0" w:color="auto"/>
            </w:tcBorders>
            <w:hideMark/>
          </w:tcPr>
          <w:p w14:paraId="5BCFAAEE"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Category</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region</w:t>
            </w:r>
            <w:proofErr w:type="spellEnd"/>
            <w:r w:rsidRPr="008C5F1C">
              <w:rPr>
                <w:rFonts w:ascii="Times New Roman" w:hAnsi="Times New Roman" w:cs="Times New Roman"/>
                <w:b/>
                <w:iCs/>
                <w:vertAlign w:val="superscript"/>
              </w:rPr>
              <w:footnoteReference w:id="64"/>
            </w:r>
          </w:p>
        </w:tc>
        <w:tc>
          <w:tcPr>
            <w:tcW w:w="1053" w:type="dxa"/>
            <w:tcBorders>
              <w:top w:val="single" w:sz="4" w:space="0" w:color="auto"/>
              <w:left w:val="single" w:sz="4" w:space="0" w:color="auto"/>
              <w:bottom w:val="single" w:sz="4" w:space="0" w:color="auto"/>
              <w:right w:val="single" w:sz="4" w:space="0" w:color="auto"/>
            </w:tcBorders>
            <w:hideMark/>
          </w:tcPr>
          <w:p w14:paraId="48DD6432"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Code </w:t>
            </w:r>
          </w:p>
        </w:tc>
        <w:tc>
          <w:tcPr>
            <w:tcW w:w="2175" w:type="dxa"/>
            <w:gridSpan w:val="3"/>
            <w:tcBorders>
              <w:top w:val="single" w:sz="4" w:space="0" w:color="auto"/>
              <w:left w:val="single" w:sz="4" w:space="0" w:color="auto"/>
              <w:bottom w:val="single" w:sz="4" w:space="0" w:color="auto"/>
              <w:right w:val="single" w:sz="4" w:space="0" w:color="auto"/>
            </w:tcBorders>
            <w:hideMark/>
          </w:tcPr>
          <w:p w14:paraId="7059B60A"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Amount</w:t>
            </w:r>
            <w:proofErr w:type="spellEnd"/>
            <w:r w:rsidRPr="008C5F1C">
              <w:rPr>
                <w:rFonts w:ascii="Times New Roman" w:hAnsi="Times New Roman" w:cs="Times New Roman"/>
                <w:b/>
                <w:iCs/>
              </w:rPr>
              <w:t xml:space="preserve"> (EUR)</w:t>
            </w:r>
          </w:p>
        </w:tc>
      </w:tr>
      <w:tr w:rsidR="00653571" w:rsidRPr="008C5F1C" w14:paraId="6B8A11F6" w14:textId="77777777" w:rsidTr="00534127">
        <w:tc>
          <w:tcPr>
            <w:tcW w:w="1599" w:type="dxa"/>
            <w:tcBorders>
              <w:top w:val="single" w:sz="4" w:space="0" w:color="auto"/>
              <w:left w:val="single" w:sz="4" w:space="0" w:color="auto"/>
              <w:bottom w:val="single" w:sz="4" w:space="0" w:color="auto"/>
              <w:right w:val="single" w:sz="4" w:space="0" w:color="auto"/>
            </w:tcBorders>
          </w:tcPr>
          <w:p w14:paraId="52D3C402" w14:textId="77777777" w:rsidR="00653571" w:rsidRPr="008C5F1C" w:rsidRDefault="00653571" w:rsidP="00534127">
            <w:pPr>
              <w:rPr>
                <w:rFonts w:ascii="Times New Roman" w:hAnsi="Times New Roman" w:cs="Times New Roman"/>
                <w:b/>
                <w:iCs/>
              </w:rPr>
            </w:pPr>
          </w:p>
        </w:tc>
        <w:tc>
          <w:tcPr>
            <w:tcW w:w="1384" w:type="dxa"/>
            <w:tcBorders>
              <w:top w:val="single" w:sz="4" w:space="0" w:color="auto"/>
              <w:left w:val="single" w:sz="4" w:space="0" w:color="auto"/>
              <w:bottom w:val="single" w:sz="4" w:space="0" w:color="auto"/>
              <w:right w:val="single" w:sz="4" w:space="0" w:color="auto"/>
            </w:tcBorders>
          </w:tcPr>
          <w:p w14:paraId="21135ACB" w14:textId="77777777" w:rsidR="00653571" w:rsidRPr="008C5F1C" w:rsidRDefault="00653571" w:rsidP="00534127">
            <w:pPr>
              <w:rPr>
                <w:rFonts w:ascii="Times New Roman" w:hAnsi="Times New Roman" w:cs="Times New Roman"/>
                <w:b/>
                <w:iCs/>
              </w:rPr>
            </w:pPr>
          </w:p>
        </w:tc>
        <w:tc>
          <w:tcPr>
            <w:tcW w:w="3077" w:type="dxa"/>
            <w:tcBorders>
              <w:top w:val="single" w:sz="4" w:space="0" w:color="auto"/>
              <w:left w:val="single" w:sz="4" w:space="0" w:color="auto"/>
              <w:bottom w:val="single" w:sz="4" w:space="0" w:color="auto"/>
              <w:right w:val="single" w:sz="4" w:space="0" w:color="auto"/>
            </w:tcBorders>
          </w:tcPr>
          <w:p w14:paraId="7E8EDDF5" w14:textId="77777777" w:rsidR="00653571" w:rsidRPr="008C5F1C" w:rsidRDefault="00653571" w:rsidP="00534127">
            <w:pPr>
              <w:rPr>
                <w:rFonts w:ascii="Times New Roman" w:hAnsi="Times New Roman" w:cs="Times New Roman"/>
                <w:b/>
                <w:iCs/>
              </w:rPr>
            </w:pPr>
          </w:p>
        </w:tc>
        <w:tc>
          <w:tcPr>
            <w:tcW w:w="1644" w:type="dxa"/>
            <w:gridSpan w:val="2"/>
            <w:tcBorders>
              <w:top w:val="single" w:sz="4" w:space="0" w:color="auto"/>
              <w:left w:val="single" w:sz="4" w:space="0" w:color="auto"/>
              <w:bottom w:val="single" w:sz="4" w:space="0" w:color="auto"/>
              <w:right w:val="single" w:sz="4" w:space="0" w:color="auto"/>
            </w:tcBorders>
          </w:tcPr>
          <w:p w14:paraId="49E5F365" w14:textId="77777777" w:rsidR="00653571" w:rsidRPr="008C5F1C" w:rsidRDefault="00653571" w:rsidP="00534127">
            <w:pPr>
              <w:rPr>
                <w:rFonts w:ascii="Times New Roman" w:hAnsi="Times New Roman" w:cs="Times New Roman"/>
                <w:b/>
                <w:iCs/>
              </w:rPr>
            </w:pPr>
          </w:p>
        </w:tc>
        <w:tc>
          <w:tcPr>
            <w:tcW w:w="1053" w:type="dxa"/>
            <w:tcBorders>
              <w:top w:val="single" w:sz="4" w:space="0" w:color="auto"/>
              <w:left w:val="single" w:sz="4" w:space="0" w:color="auto"/>
              <w:bottom w:val="single" w:sz="4" w:space="0" w:color="auto"/>
              <w:right w:val="single" w:sz="4" w:space="0" w:color="auto"/>
            </w:tcBorders>
          </w:tcPr>
          <w:p w14:paraId="15B7390B" w14:textId="77777777" w:rsidR="00653571" w:rsidRPr="008C5F1C" w:rsidRDefault="00653571" w:rsidP="00534127">
            <w:pPr>
              <w:rPr>
                <w:rFonts w:ascii="Times New Roman" w:hAnsi="Times New Roman" w:cs="Times New Roman"/>
                <w:b/>
                <w:iCs/>
              </w:rPr>
            </w:pPr>
          </w:p>
        </w:tc>
        <w:tc>
          <w:tcPr>
            <w:tcW w:w="531" w:type="dxa"/>
            <w:tcBorders>
              <w:top w:val="single" w:sz="4" w:space="0" w:color="auto"/>
              <w:left w:val="single" w:sz="4" w:space="0" w:color="auto"/>
              <w:bottom w:val="single" w:sz="4" w:space="0" w:color="auto"/>
              <w:right w:val="single" w:sz="4" w:space="0" w:color="auto"/>
            </w:tcBorders>
          </w:tcPr>
          <w:p w14:paraId="31141C2F" w14:textId="77777777" w:rsidR="00653571" w:rsidRPr="008C5F1C" w:rsidRDefault="00653571" w:rsidP="00534127">
            <w:pPr>
              <w:rPr>
                <w:rFonts w:ascii="Times New Roman" w:hAnsi="Times New Roman" w:cs="Times New Roman"/>
                <w:b/>
                <w:iCs/>
              </w:rPr>
            </w:pPr>
          </w:p>
        </w:tc>
      </w:tr>
    </w:tbl>
    <w:p w14:paraId="2ADFF0DF" w14:textId="77777777" w:rsidR="00653571" w:rsidRPr="008C5F1C" w:rsidRDefault="00653571" w:rsidP="00653571">
      <w:pPr>
        <w:rPr>
          <w:rFonts w:ascii="Times New Roman" w:hAnsi="Times New Roman" w:cs="Times New Roman"/>
          <w:b/>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2115"/>
        <w:gridCol w:w="1053"/>
        <w:gridCol w:w="2175"/>
      </w:tblGrid>
      <w:tr w:rsidR="00653571" w:rsidRPr="008C5F1C" w14:paraId="6420C302" w14:textId="77777777" w:rsidTr="00534127">
        <w:tc>
          <w:tcPr>
            <w:tcW w:w="8326" w:type="dxa"/>
            <w:gridSpan w:val="5"/>
            <w:tcBorders>
              <w:top w:val="single" w:sz="4" w:space="0" w:color="auto"/>
              <w:left w:val="single" w:sz="4" w:space="0" w:color="auto"/>
              <w:bottom w:val="single" w:sz="4" w:space="0" w:color="auto"/>
              <w:right w:val="single" w:sz="4" w:space="0" w:color="auto"/>
            </w:tcBorders>
            <w:hideMark/>
          </w:tcPr>
          <w:p w14:paraId="6C286111"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Table 7: </w:t>
            </w:r>
            <w:proofErr w:type="spellStart"/>
            <w:r w:rsidRPr="008C5F1C">
              <w:rPr>
                <w:rFonts w:ascii="Times New Roman" w:hAnsi="Times New Roman" w:cs="Times New Roman"/>
                <w:b/>
                <w:iCs/>
              </w:rPr>
              <w:t>Dimension</w:t>
            </w:r>
            <w:proofErr w:type="spellEnd"/>
            <w:r w:rsidRPr="008C5F1C">
              <w:rPr>
                <w:rFonts w:ascii="Times New Roman" w:hAnsi="Times New Roman" w:cs="Times New Roman"/>
                <w:b/>
                <w:iCs/>
              </w:rPr>
              <w:t xml:space="preserve"> 6 – ESF+ </w:t>
            </w:r>
            <w:proofErr w:type="spellStart"/>
            <w:r w:rsidRPr="008C5F1C">
              <w:rPr>
                <w:rFonts w:ascii="Times New Roman" w:hAnsi="Times New Roman" w:cs="Times New Roman"/>
                <w:b/>
                <w:iCs/>
              </w:rPr>
              <w:t>secondary</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themes</w:t>
            </w:r>
            <w:proofErr w:type="spellEnd"/>
          </w:p>
        </w:tc>
      </w:tr>
      <w:tr w:rsidR="00653571" w:rsidRPr="008C5F1C" w14:paraId="34F33B67" w14:textId="77777777" w:rsidTr="00534127">
        <w:tc>
          <w:tcPr>
            <w:tcW w:w="1599" w:type="dxa"/>
            <w:tcBorders>
              <w:top w:val="single" w:sz="4" w:space="0" w:color="auto"/>
              <w:left w:val="single" w:sz="4" w:space="0" w:color="auto"/>
              <w:bottom w:val="single" w:sz="4" w:space="0" w:color="auto"/>
              <w:right w:val="single" w:sz="4" w:space="0" w:color="auto"/>
            </w:tcBorders>
            <w:hideMark/>
          </w:tcPr>
          <w:p w14:paraId="57E60B0D"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Priority</w:t>
            </w:r>
            <w:proofErr w:type="spellEnd"/>
            <w:r w:rsidRPr="008C5F1C">
              <w:rPr>
                <w:rFonts w:ascii="Times New Roman" w:hAnsi="Times New Roman" w:cs="Times New Roman"/>
                <w:b/>
                <w:iCs/>
              </w:rPr>
              <w:t xml:space="preserve"> No</w:t>
            </w:r>
          </w:p>
        </w:tc>
        <w:tc>
          <w:tcPr>
            <w:tcW w:w="1384" w:type="dxa"/>
            <w:tcBorders>
              <w:top w:val="single" w:sz="4" w:space="0" w:color="auto"/>
              <w:left w:val="single" w:sz="4" w:space="0" w:color="auto"/>
              <w:bottom w:val="single" w:sz="4" w:space="0" w:color="auto"/>
              <w:right w:val="single" w:sz="4" w:space="0" w:color="auto"/>
            </w:tcBorders>
            <w:hideMark/>
          </w:tcPr>
          <w:p w14:paraId="2F42DE12"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Fund</w:t>
            </w:r>
          </w:p>
        </w:tc>
        <w:tc>
          <w:tcPr>
            <w:tcW w:w="2115" w:type="dxa"/>
            <w:tcBorders>
              <w:top w:val="single" w:sz="4" w:space="0" w:color="auto"/>
              <w:left w:val="single" w:sz="4" w:space="0" w:color="auto"/>
              <w:bottom w:val="single" w:sz="4" w:space="0" w:color="auto"/>
              <w:right w:val="single" w:sz="4" w:space="0" w:color="auto"/>
            </w:tcBorders>
            <w:hideMark/>
          </w:tcPr>
          <w:p w14:paraId="334E250B"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Category</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region</w:t>
            </w:r>
            <w:proofErr w:type="spellEnd"/>
          </w:p>
        </w:tc>
        <w:tc>
          <w:tcPr>
            <w:tcW w:w="1053" w:type="dxa"/>
            <w:tcBorders>
              <w:top w:val="single" w:sz="4" w:space="0" w:color="auto"/>
              <w:left w:val="single" w:sz="4" w:space="0" w:color="auto"/>
              <w:bottom w:val="single" w:sz="4" w:space="0" w:color="auto"/>
              <w:right w:val="single" w:sz="4" w:space="0" w:color="auto"/>
            </w:tcBorders>
            <w:hideMark/>
          </w:tcPr>
          <w:p w14:paraId="57EFDBEE"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Code </w:t>
            </w:r>
          </w:p>
        </w:tc>
        <w:tc>
          <w:tcPr>
            <w:tcW w:w="2175" w:type="dxa"/>
            <w:tcBorders>
              <w:top w:val="single" w:sz="4" w:space="0" w:color="auto"/>
              <w:left w:val="single" w:sz="4" w:space="0" w:color="auto"/>
              <w:bottom w:val="single" w:sz="4" w:space="0" w:color="auto"/>
              <w:right w:val="single" w:sz="4" w:space="0" w:color="auto"/>
            </w:tcBorders>
            <w:hideMark/>
          </w:tcPr>
          <w:p w14:paraId="27D5177F"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Amount</w:t>
            </w:r>
            <w:proofErr w:type="spellEnd"/>
            <w:r w:rsidRPr="008C5F1C">
              <w:rPr>
                <w:rFonts w:ascii="Times New Roman" w:hAnsi="Times New Roman" w:cs="Times New Roman"/>
                <w:b/>
                <w:iCs/>
              </w:rPr>
              <w:t xml:space="preserve"> (EUR)</w:t>
            </w:r>
          </w:p>
        </w:tc>
      </w:tr>
      <w:tr w:rsidR="00653571" w:rsidRPr="008C5F1C" w14:paraId="464D596A" w14:textId="77777777" w:rsidTr="00534127">
        <w:tc>
          <w:tcPr>
            <w:tcW w:w="1599" w:type="dxa"/>
            <w:tcBorders>
              <w:top w:val="single" w:sz="4" w:space="0" w:color="auto"/>
              <w:left w:val="single" w:sz="4" w:space="0" w:color="auto"/>
              <w:bottom w:val="single" w:sz="4" w:space="0" w:color="auto"/>
              <w:right w:val="single" w:sz="4" w:space="0" w:color="auto"/>
            </w:tcBorders>
          </w:tcPr>
          <w:p w14:paraId="723AB735" w14:textId="77777777" w:rsidR="00653571" w:rsidRPr="008C5F1C" w:rsidRDefault="00653571" w:rsidP="00534127">
            <w:pPr>
              <w:rPr>
                <w:rFonts w:ascii="Times New Roman" w:hAnsi="Times New Roman" w:cs="Times New Roman"/>
                <w:b/>
                <w:iCs/>
              </w:rPr>
            </w:pPr>
          </w:p>
        </w:tc>
        <w:tc>
          <w:tcPr>
            <w:tcW w:w="1384" w:type="dxa"/>
            <w:tcBorders>
              <w:top w:val="single" w:sz="4" w:space="0" w:color="auto"/>
              <w:left w:val="single" w:sz="4" w:space="0" w:color="auto"/>
              <w:bottom w:val="single" w:sz="4" w:space="0" w:color="auto"/>
              <w:right w:val="single" w:sz="4" w:space="0" w:color="auto"/>
            </w:tcBorders>
          </w:tcPr>
          <w:p w14:paraId="51934F75" w14:textId="77777777" w:rsidR="00653571" w:rsidRPr="008C5F1C" w:rsidRDefault="00653571" w:rsidP="00534127">
            <w:pPr>
              <w:rPr>
                <w:rFonts w:ascii="Times New Roman" w:hAnsi="Times New Roman" w:cs="Times New Roman"/>
                <w:b/>
                <w:iCs/>
              </w:rPr>
            </w:pPr>
          </w:p>
        </w:tc>
        <w:tc>
          <w:tcPr>
            <w:tcW w:w="2115" w:type="dxa"/>
            <w:tcBorders>
              <w:top w:val="single" w:sz="4" w:space="0" w:color="auto"/>
              <w:left w:val="single" w:sz="4" w:space="0" w:color="auto"/>
              <w:bottom w:val="single" w:sz="4" w:space="0" w:color="auto"/>
              <w:right w:val="single" w:sz="4" w:space="0" w:color="auto"/>
            </w:tcBorders>
          </w:tcPr>
          <w:p w14:paraId="1B5C283A" w14:textId="77777777" w:rsidR="00653571" w:rsidRPr="008C5F1C" w:rsidRDefault="00653571" w:rsidP="00534127">
            <w:pPr>
              <w:rPr>
                <w:rFonts w:ascii="Times New Roman" w:hAnsi="Times New Roman" w:cs="Times New Roman"/>
                <w:b/>
                <w:iCs/>
              </w:rPr>
            </w:pPr>
          </w:p>
        </w:tc>
        <w:tc>
          <w:tcPr>
            <w:tcW w:w="1053" w:type="dxa"/>
            <w:tcBorders>
              <w:top w:val="single" w:sz="4" w:space="0" w:color="auto"/>
              <w:left w:val="single" w:sz="4" w:space="0" w:color="auto"/>
              <w:bottom w:val="single" w:sz="4" w:space="0" w:color="auto"/>
              <w:right w:val="single" w:sz="4" w:space="0" w:color="auto"/>
            </w:tcBorders>
          </w:tcPr>
          <w:p w14:paraId="3980020D" w14:textId="77777777" w:rsidR="00653571" w:rsidRPr="008C5F1C" w:rsidRDefault="00653571" w:rsidP="00534127">
            <w:pPr>
              <w:rPr>
                <w:rFonts w:ascii="Times New Roman" w:hAnsi="Times New Roman" w:cs="Times New Roman"/>
                <w:b/>
                <w:iCs/>
              </w:rPr>
            </w:pPr>
          </w:p>
        </w:tc>
        <w:tc>
          <w:tcPr>
            <w:tcW w:w="2175" w:type="dxa"/>
            <w:tcBorders>
              <w:top w:val="single" w:sz="4" w:space="0" w:color="auto"/>
              <w:left w:val="single" w:sz="4" w:space="0" w:color="auto"/>
              <w:bottom w:val="single" w:sz="4" w:space="0" w:color="auto"/>
              <w:right w:val="single" w:sz="4" w:space="0" w:color="auto"/>
            </w:tcBorders>
          </w:tcPr>
          <w:p w14:paraId="7EDB8369" w14:textId="77777777" w:rsidR="00653571" w:rsidRPr="008C5F1C" w:rsidRDefault="00653571" w:rsidP="00534127">
            <w:pPr>
              <w:rPr>
                <w:rFonts w:ascii="Times New Roman" w:hAnsi="Times New Roman" w:cs="Times New Roman"/>
                <w:b/>
                <w:iCs/>
              </w:rPr>
            </w:pPr>
          </w:p>
        </w:tc>
      </w:tr>
    </w:tbl>
    <w:p w14:paraId="206C2488" w14:textId="77777777" w:rsidR="00653571" w:rsidRPr="008C5F1C" w:rsidRDefault="00653571" w:rsidP="00653571">
      <w:pPr>
        <w:tabs>
          <w:tab w:val="left" w:pos="3150"/>
        </w:tabs>
        <w:rPr>
          <w:rFonts w:ascii="Times New Roman" w:hAnsi="Times New Roman" w:cs="Times New Roman"/>
        </w:rPr>
      </w:pPr>
    </w:p>
    <w:p w14:paraId="6FC233E5" w14:textId="77777777" w:rsidR="00653571" w:rsidRPr="008C5F1C" w:rsidRDefault="00653571" w:rsidP="00653571">
      <w:pPr>
        <w:pStyle w:val="Heading3"/>
        <w:numPr>
          <w:ilvl w:val="0"/>
          <w:numId w:val="0"/>
        </w:numPr>
        <w:shd w:val="clear" w:color="auto" w:fill="B4C6E7" w:themeFill="accent1" w:themeFillTint="66"/>
        <w:rPr>
          <w:rFonts w:cs="Times New Roman"/>
          <w:noProof/>
          <w:lang w:val="ro-RO"/>
        </w:rPr>
      </w:pPr>
      <w:bookmarkStart w:id="126" w:name="_Toc39840945"/>
      <w:r w:rsidRPr="008C5F1C">
        <w:rPr>
          <w:rFonts w:cs="Times New Roman"/>
          <w:noProof/>
          <w:lang w:val="ro-RO"/>
        </w:rPr>
        <w:t xml:space="preserve">2.A.3 </w:t>
      </w:r>
      <w:r w:rsidR="007A5276" w:rsidRPr="008C5F1C">
        <w:rPr>
          <w:rFonts w:cs="Times New Roman"/>
          <w:noProof/>
          <w:lang w:val="ro-RO"/>
        </w:rPr>
        <w:t xml:space="preserve">OS </w:t>
      </w:r>
      <w:r w:rsidRPr="008C5F1C">
        <w:rPr>
          <w:rFonts w:cs="Times New Roman"/>
          <w:noProof/>
          <w:lang w:val="ro-RO"/>
        </w:rPr>
        <w:t>e (i) Favorizarea dezvolt</w:t>
      </w:r>
      <w:r w:rsidR="00BA7827" w:rsidRPr="008C5F1C">
        <w:rPr>
          <w:rFonts w:cs="Times New Roman"/>
          <w:noProof/>
          <w:lang w:val="ro-RO"/>
        </w:rPr>
        <w:t>ă</w:t>
      </w:r>
      <w:r w:rsidRPr="008C5F1C">
        <w:rPr>
          <w:rFonts w:cs="Times New Roman"/>
          <w:noProof/>
          <w:lang w:val="ro-RO"/>
        </w:rPr>
        <w:t xml:space="preserve">rii integrate sociale, economice </w:t>
      </w:r>
      <w:r w:rsidR="00106240" w:rsidRPr="008C5F1C">
        <w:rPr>
          <w:rFonts w:cs="Times New Roman"/>
          <w:noProof/>
          <w:lang w:val="ro-RO"/>
        </w:rPr>
        <w:t>ș</w:t>
      </w:r>
      <w:r w:rsidRPr="008C5F1C">
        <w:rPr>
          <w:rFonts w:cs="Times New Roman"/>
          <w:noProof/>
          <w:lang w:val="ro-RO"/>
        </w:rPr>
        <w:t xml:space="preserve">i de mediu la nivel local </w:t>
      </w:r>
      <w:r w:rsidR="00106240" w:rsidRPr="008C5F1C">
        <w:rPr>
          <w:rFonts w:cs="Times New Roman"/>
          <w:noProof/>
          <w:lang w:val="ro-RO"/>
        </w:rPr>
        <w:t>ș</w:t>
      </w:r>
      <w:r w:rsidRPr="008C5F1C">
        <w:rPr>
          <w:rFonts w:cs="Times New Roman"/>
          <w:noProof/>
          <w:lang w:val="ro-RO"/>
        </w:rPr>
        <w:t xml:space="preserve">i a patrimoniului cultural, turismului </w:t>
      </w:r>
      <w:r w:rsidR="00106240" w:rsidRPr="008C5F1C">
        <w:rPr>
          <w:rFonts w:cs="Times New Roman"/>
          <w:noProof/>
          <w:lang w:val="ro-RO"/>
        </w:rPr>
        <w:t>ș</w:t>
      </w:r>
      <w:r w:rsidRPr="008C5F1C">
        <w:rPr>
          <w:rFonts w:cs="Times New Roman"/>
          <w:noProof/>
          <w:lang w:val="ro-RO"/>
        </w:rPr>
        <w:t>i securit</w:t>
      </w:r>
      <w:r w:rsidR="00BA7827" w:rsidRPr="008C5F1C">
        <w:rPr>
          <w:rFonts w:cs="Times New Roman"/>
          <w:noProof/>
          <w:lang w:val="ro-RO"/>
        </w:rPr>
        <w:t>ă</w:t>
      </w:r>
      <w:r w:rsidR="00E22FF2" w:rsidRPr="008C5F1C">
        <w:rPr>
          <w:rFonts w:cs="Times New Roman"/>
          <w:noProof/>
          <w:lang w:val="ro-RO"/>
        </w:rPr>
        <w:t>ț</w:t>
      </w:r>
      <w:r w:rsidRPr="008C5F1C">
        <w:rPr>
          <w:rFonts w:cs="Times New Roman"/>
          <w:noProof/>
          <w:lang w:val="ro-RO"/>
        </w:rPr>
        <w:t>ii în zonele urbane</w:t>
      </w:r>
      <w:bookmarkEnd w:id="126"/>
    </w:p>
    <w:p w14:paraId="084DC4C4" w14:textId="77777777" w:rsidR="00653571" w:rsidRPr="008C5F1C" w:rsidRDefault="00653571" w:rsidP="00653571">
      <w:pPr>
        <w:pStyle w:val="Heading4"/>
        <w:numPr>
          <w:ilvl w:val="0"/>
          <w:numId w:val="0"/>
        </w:numPr>
        <w:ind w:left="851" w:hanging="851"/>
        <w:rPr>
          <w:rFonts w:cs="Times New Roman"/>
          <w:b/>
          <w:bCs/>
          <w:lang w:val="ro-RO"/>
        </w:rPr>
      </w:pPr>
      <w:r w:rsidRPr="008C5F1C">
        <w:rPr>
          <w:rFonts w:cs="Times New Roman"/>
          <w:b/>
          <w:bCs/>
          <w:lang w:val="ro-RO"/>
        </w:rPr>
        <w:t xml:space="preserve">2.A.3.1 </w:t>
      </w:r>
      <w:proofErr w:type="spellStart"/>
      <w:r w:rsidRPr="008C5F1C">
        <w:rPr>
          <w:rFonts w:cs="Times New Roman"/>
          <w:b/>
          <w:bCs/>
          <w:lang w:val="ro-RO"/>
        </w:rPr>
        <w:t>Interventions</w:t>
      </w:r>
      <w:proofErr w:type="spellEnd"/>
      <w:r w:rsidRPr="008C5F1C">
        <w:rPr>
          <w:rFonts w:cs="Times New Roman"/>
          <w:b/>
          <w:bCs/>
          <w:lang w:val="ro-RO"/>
        </w:rPr>
        <w:t xml:space="preserve"> of </w:t>
      </w:r>
      <w:proofErr w:type="spellStart"/>
      <w:r w:rsidRPr="008C5F1C">
        <w:rPr>
          <w:rFonts w:cs="Times New Roman"/>
          <w:b/>
          <w:bCs/>
          <w:lang w:val="ro-RO"/>
        </w:rPr>
        <w:t>the</w:t>
      </w:r>
      <w:proofErr w:type="spellEnd"/>
      <w:r w:rsidRPr="008C5F1C">
        <w:rPr>
          <w:rFonts w:cs="Times New Roman"/>
          <w:b/>
          <w:bCs/>
          <w:lang w:val="ro-RO"/>
        </w:rPr>
        <w:t xml:space="preserve"> </w:t>
      </w:r>
      <w:proofErr w:type="spellStart"/>
      <w:r w:rsidRPr="008C5F1C">
        <w:rPr>
          <w:rFonts w:cs="Times New Roman"/>
          <w:b/>
          <w:bCs/>
          <w:lang w:val="ro-RO"/>
        </w:rPr>
        <w:t>Funds</w:t>
      </w:r>
      <w:proofErr w:type="spellEnd"/>
    </w:p>
    <w:p w14:paraId="2A824E53" w14:textId="77777777" w:rsidR="00653571" w:rsidRPr="008C5F1C" w:rsidRDefault="00653571" w:rsidP="00653571">
      <w:pPr>
        <w:spacing w:before="120" w:after="120" w:line="360" w:lineRule="auto"/>
        <w:rPr>
          <w:rFonts w:ascii="Times New Roman" w:eastAsia="Times New Roman" w:hAnsi="Times New Roman" w:cs="Times New Roman"/>
          <w:i/>
          <w:noProof/>
          <w:sz w:val="24"/>
          <w:szCs w:val="24"/>
        </w:rPr>
      </w:pPr>
      <w:r w:rsidRPr="008C5F1C">
        <w:rPr>
          <w:rFonts w:ascii="Times New Roman" w:eastAsia="Times New Roman" w:hAnsi="Times New Roman" w:cs="Times New Roman"/>
          <w:i/>
          <w:noProof/>
          <w:sz w:val="24"/>
          <w:szCs w:val="24"/>
        </w:rPr>
        <w:t>Reference: Article 17(3)(d)(i),(iii),(iv),(v),(vi);</w:t>
      </w:r>
    </w:p>
    <w:p w14:paraId="640385B1" w14:textId="77777777" w:rsidR="00653571" w:rsidRPr="008C5F1C" w:rsidRDefault="00653571" w:rsidP="00653571">
      <w:pPr>
        <w:bidi/>
        <w:spacing w:before="120" w:after="120" w:line="360" w:lineRule="auto"/>
        <w:jc w:val="right"/>
        <w:rPr>
          <w:rFonts w:ascii="Times New Roman" w:eastAsia="Times New Roman" w:hAnsi="Times New Roman" w:cs="Times New Roman"/>
          <w:b/>
          <w:bCs/>
          <w:i/>
          <w:iCs/>
          <w:noProof/>
          <w:sz w:val="24"/>
          <w:szCs w:val="24"/>
          <w:u w:val="single"/>
        </w:rPr>
      </w:pPr>
      <w:r w:rsidRPr="008C5F1C">
        <w:rPr>
          <w:rFonts w:ascii="Times New Roman" w:eastAsia="Times New Roman" w:hAnsi="Times New Roman" w:cs="Times New Roman"/>
          <w:i/>
          <w:noProof/>
          <w:sz w:val="24"/>
          <w:szCs w:val="24"/>
        </w:rPr>
        <w:t>The related types of actions – Article 17(3)(d)(i) CPR; Article 6(2) ESF+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653571" w:rsidRPr="008C5F1C" w14:paraId="6C0CE23A" w14:textId="77777777" w:rsidTr="00B53DC2">
        <w:trPr>
          <w:trHeight w:val="414"/>
        </w:trPr>
        <w:tc>
          <w:tcPr>
            <w:tcW w:w="9288" w:type="dxa"/>
            <w:tcBorders>
              <w:top w:val="single" w:sz="4" w:space="0" w:color="auto"/>
              <w:left w:val="single" w:sz="4" w:space="0" w:color="auto"/>
              <w:bottom w:val="single" w:sz="4" w:space="0" w:color="auto"/>
              <w:right w:val="single" w:sz="4" w:space="0" w:color="auto"/>
            </w:tcBorders>
            <w:hideMark/>
          </w:tcPr>
          <w:p w14:paraId="762CB256" w14:textId="77777777" w:rsidR="00C01464" w:rsidRPr="008C5F1C" w:rsidRDefault="00C01464" w:rsidP="00C01464">
            <w:pPr>
              <w:pStyle w:val="Default"/>
              <w:spacing w:after="120"/>
              <w:jc w:val="both"/>
              <w:rPr>
                <w:rFonts w:ascii="Times New Roman" w:hAnsi="Times New Roman" w:cs="Times New Roman"/>
                <w:bCs/>
                <w:color w:val="auto"/>
                <w:sz w:val="22"/>
                <w:szCs w:val="22"/>
                <w:lang w:val="ro-RO"/>
              </w:rPr>
            </w:pPr>
            <w:r w:rsidRPr="008C5F1C">
              <w:rPr>
                <w:rFonts w:ascii="Times New Roman" w:hAnsi="Times New Roman" w:cs="Times New Roman"/>
                <w:bCs/>
                <w:color w:val="auto"/>
                <w:sz w:val="22"/>
                <w:szCs w:val="22"/>
                <w:lang w:val="ro-RO"/>
              </w:rPr>
              <w:t xml:space="preserve">În linie cu bune practici internaționale , abordarea integrată privind dezvoltarea zonelor urbane din Regiunea N-V are în vedere: </w:t>
            </w:r>
          </w:p>
          <w:p w14:paraId="2BC281AF" w14:textId="77777777" w:rsidR="00C01464" w:rsidRPr="008C5F1C" w:rsidRDefault="00C01464" w:rsidP="00C01464">
            <w:pPr>
              <w:pStyle w:val="Default"/>
              <w:spacing w:after="120"/>
              <w:jc w:val="both"/>
              <w:rPr>
                <w:rFonts w:ascii="Times New Roman" w:hAnsi="Times New Roman" w:cs="Times New Roman"/>
                <w:bCs/>
                <w:color w:val="auto"/>
                <w:sz w:val="22"/>
                <w:szCs w:val="22"/>
                <w:lang w:val="ro-RO"/>
              </w:rPr>
            </w:pPr>
            <w:r w:rsidRPr="008C5F1C">
              <w:rPr>
                <w:rFonts w:ascii="Times New Roman" w:hAnsi="Times New Roman" w:cs="Times New Roman"/>
                <w:bCs/>
                <w:color w:val="auto"/>
                <w:sz w:val="22"/>
                <w:szCs w:val="22"/>
                <w:lang w:val="ro-RO"/>
              </w:rPr>
              <w:t>-</w:t>
            </w:r>
            <w:r w:rsidRPr="008C5F1C">
              <w:rPr>
                <w:rFonts w:ascii="Times New Roman" w:hAnsi="Times New Roman" w:cs="Times New Roman"/>
                <w:bCs/>
                <w:color w:val="auto"/>
                <w:sz w:val="22"/>
                <w:szCs w:val="22"/>
                <w:lang w:val="ro-RO"/>
              </w:rPr>
              <w:tab/>
              <w:t>Dezvoltarea urbană sustenabilă – abordarea integrată a obiectivelor economice, sociale și de mediu, prin investiții coerente, fundamentate în baza dovezilor și făcând parte dintr-o strategie de dezvoltare</w:t>
            </w:r>
          </w:p>
          <w:p w14:paraId="5FF5D48A" w14:textId="77777777" w:rsidR="00C01464" w:rsidRPr="008C5F1C" w:rsidRDefault="00C01464" w:rsidP="00C01464">
            <w:pPr>
              <w:pStyle w:val="Default"/>
              <w:spacing w:after="120"/>
              <w:jc w:val="both"/>
              <w:rPr>
                <w:rFonts w:ascii="Times New Roman" w:hAnsi="Times New Roman" w:cs="Times New Roman"/>
                <w:bCs/>
                <w:color w:val="auto"/>
                <w:sz w:val="22"/>
                <w:szCs w:val="22"/>
                <w:lang w:val="ro-RO"/>
              </w:rPr>
            </w:pPr>
            <w:r w:rsidRPr="008C5F1C">
              <w:rPr>
                <w:rFonts w:ascii="Times New Roman" w:hAnsi="Times New Roman" w:cs="Times New Roman"/>
                <w:bCs/>
                <w:color w:val="auto"/>
                <w:sz w:val="22"/>
                <w:szCs w:val="22"/>
                <w:lang w:val="ro-RO"/>
              </w:rPr>
              <w:t>-</w:t>
            </w:r>
            <w:r w:rsidRPr="008C5F1C">
              <w:rPr>
                <w:rFonts w:ascii="Times New Roman" w:hAnsi="Times New Roman" w:cs="Times New Roman"/>
                <w:bCs/>
                <w:color w:val="auto"/>
                <w:sz w:val="22"/>
                <w:szCs w:val="22"/>
                <w:lang w:val="ro-RO"/>
              </w:rPr>
              <w:tab/>
              <w:t>Integrarea sectorială – abordarea coerentă și corelată a diferiților factori care determină dezvoltarea: infrastructură și conectivitate, mediu înconjurător, servicii publice, locuri de muncă, educație, cultură etc. Este de așteptat ca, în funcție de nevoile și obiectivele locale, precum și în funcție de experiența și capacitatea actorilor locali, unele orașe să definească sectoare prioritare/ pivot, în jurul cărora să structureze intervențiile (de ex. crearea de locuri de muncă în zonele urbane afectate de declin economic, acces la servicii publice de calitate, în zone urbane mai dezvoltate etc.)</w:t>
            </w:r>
          </w:p>
          <w:p w14:paraId="74E79449" w14:textId="77777777" w:rsidR="00C01464" w:rsidRPr="008C5F1C" w:rsidRDefault="00C01464" w:rsidP="00C01464">
            <w:pPr>
              <w:pStyle w:val="Default"/>
              <w:spacing w:after="120"/>
              <w:jc w:val="both"/>
              <w:rPr>
                <w:rFonts w:ascii="Times New Roman" w:hAnsi="Times New Roman" w:cs="Times New Roman"/>
                <w:bCs/>
                <w:color w:val="auto"/>
                <w:sz w:val="22"/>
                <w:szCs w:val="22"/>
                <w:lang w:val="ro-RO"/>
              </w:rPr>
            </w:pPr>
            <w:r w:rsidRPr="008C5F1C">
              <w:rPr>
                <w:rFonts w:ascii="Times New Roman" w:hAnsi="Times New Roman" w:cs="Times New Roman"/>
                <w:bCs/>
                <w:color w:val="auto"/>
                <w:sz w:val="22"/>
                <w:szCs w:val="22"/>
                <w:lang w:val="ro-RO"/>
              </w:rPr>
              <w:t>-</w:t>
            </w:r>
            <w:r w:rsidRPr="008C5F1C">
              <w:rPr>
                <w:rFonts w:ascii="Times New Roman" w:hAnsi="Times New Roman" w:cs="Times New Roman"/>
                <w:bCs/>
                <w:color w:val="auto"/>
                <w:sz w:val="22"/>
                <w:szCs w:val="22"/>
                <w:lang w:val="ro-RO"/>
              </w:rPr>
              <w:tab/>
              <w:t xml:space="preserve">Integrarea spațială și teritorială – abordarea coerentă a dezvoltării la nivel spațial și derularea intervenției acolo unde beneficiile pot fi maximizate – la nivel local (cartier/ spațiu sau spații multiple, întregul teritoriu al unei localități), metropolitan sau al ariei funcționale. În acest sens, este de așteptat ca orașele mici să se concentreze pe acțiuni locale, iar orașele de mai mari dimensiuni să combine sau chiar să prefere intervenții care depășesc granițele administrative, asumându-și rolul de centre polarizatoare. </w:t>
            </w:r>
          </w:p>
          <w:p w14:paraId="7330B2C5" w14:textId="7F620328" w:rsidR="00C01464" w:rsidRPr="008C5F1C" w:rsidRDefault="00C01464" w:rsidP="00C01464">
            <w:pPr>
              <w:pStyle w:val="Default"/>
              <w:spacing w:after="120"/>
              <w:jc w:val="both"/>
              <w:rPr>
                <w:rFonts w:ascii="Times New Roman" w:hAnsi="Times New Roman" w:cs="Times New Roman"/>
                <w:bCs/>
                <w:color w:val="auto"/>
                <w:sz w:val="22"/>
                <w:szCs w:val="22"/>
                <w:lang w:val="ro-RO"/>
              </w:rPr>
            </w:pPr>
            <w:r w:rsidRPr="008C5F1C">
              <w:rPr>
                <w:rFonts w:ascii="Times New Roman" w:hAnsi="Times New Roman" w:cs="Times New Roman"/>
                <w:bCs/>
                <w:color w:val="auto"/>
                <w:sz w:val="22"/>
                <w:szCs w:val="22"/>
                <w:lang w:val="ro-RO"/>
              </w:rPr>
              <w:t>Aceste trei dimensiuni vor fi în mod necesar acoperite prin SIDU și SDL. Alături de acestea, următoarele elemente completează abordarea integrată a dezvoltării urbane în Regiunea N-V:</w:t>
            </w:r>
          </w:p>
          <w:p w14:paraId="2E473251" w14:textId="77777777" w:rsidR="00C01464" w:rsidRPr="008C5F1C" w:rsidRDefault="00C01464" w:rsidP="00C01464">
            <w:pPr>
              <w:pStyle w:val="Default"/>
              <w:spacing w:after="120"/>
              <w:jc w:val="both"/>
              <w:rPr>
                <w:rFonts w:ascii="Times New Roman" w:hAnsi="Times New Roman" w:cs="Times New Roman"/>
                <w:bCs/>
                <w:color w:val="auto"/>
                <w:sz w:val="22"/>
                <w:szCs w:val="22"/>
                <w:lang w:val="ro-RO"/>
              </w:rPr>
            </w:pPr>
            <w:r w:rsidRPr="008C5F1C">
              <w:rPr>
                <w:rFonts w:ascii="Times New Roman" w:hAnsi="Times New Roman" w:cs="Times New Roman"/>
                <w:bCs/>
                <w:color w:val="auto"/>
                <w:sz w:val="22"/>
                <w:szCs w:val="22"/>
                <w:lang w:val="ro-RO"/>
              </w:rPr>
              <w:t>-</w:t>
            </w:r>
            <w:r w:rsidRPr="008C5F1C">
              <w:rPr>
                <w:rFonts w:ascii="Times New Roman" w:hAnsi="Times New Roman" w:cs="Times New Roman"/>
                <w:bCs/>
                <w:color w:val="auto"/>
                <w:sz w:val="22"/>
                <w:szCs w:val="22"/>
                <w:lang w:val="ro-RO"/>
              </w:rPr>
              <w:tab/>
              <w:t xml:space="preserve">Guvernanță </w:t>
            </w:r>
            <w:proofErr w:type="spellStart"/>
            <w:r w:rsidRPr="008C5F1C">
              <w:rPr>
                <w:rFonts w:ascii="Times New Roman" w:hAnsi="Times New Roman" w:cs="Times New Roman"/>
                <w:bCs/>
                <w:color w:val="auto"/>
                <w:sz w:val="22"/>
                <w:szCs w:val="22"/>
                <w:lang w:val="ro-RO"/>
              </w:rPr>
              <w:t>multi</w:t>
            </w:r>
            <w:proofErr w:type="spellEnd"/>
            <w:r w:rsidRPr="008C5F1C">
              <w:rPr>
                <w:rFonts w:ascii="Times New Roman" w:hAnsi="Times New Roman" w:cs="Times New Roman"/>
                <w:bCs/>
                <w:color w:val="auto"/>
                <w:sz w:val="22"/>
                <w:szCs w:val="22"/>
                <w:lang w:val="ro-RO"/>
              </w:rPr>
              <w:t xml:space="preserve">-nivel – abordarea coordonată și complementară a intervențiilor din diferite surse și pe diferite planuri (local, metropolitan, județean, regional, național). Complementaritatea intervențiilor va fi asigurată, în primul rând, în timpul programării (în cazul programelor operaționale regionale/naționale) și, în al rând, prin asigurarea unor mecanisme de validare la nivel local, județean și regional. Aceste mecanisme (în cadrul consiliilor locale și județene, a asociațiilor metropolitane sau la nivelul Consiliului de Dezvoltare Regională)  au fost folosite și și-au dovedit utilitatea și în perioada 2014-2020. </w:t>
            </w:r>
          </w:p>
          <w:p w14:paraId="7C6225EA" w14:textId="77777777" w:rsidR="00C01464" w:rsidRPr="008C5F1C" w:rsidRDefault="00C01464" w:rsidP="00C01464">
            <w:pPr>
              <w:pStyle w:val="Default"/>
              <w:spacing w:after="120"/>
              <w:jc w:val="both"/>
              <w:rPr>
                <w:rFonts w:ascii="Times New Roman" w:hAnsi="Times New Roman" w:cs="Times New Roman"/>
                <w:bCs/>
                <w:color w:val="auto"/>
                <w:sz w:val="22"/>
                <w:szCs w:val="22"/>
                <w:lang w:val="ro-RO"/>
              </w:rPr>
            </w:pPr>
            <w:r w:rsidRPr="008C5F1C">
              <w:rPr>
                <w:rFonts w:ascii="Times New Roman" w:hAnsi="Times New Roman" w:cs="Times New Roman"/>
                <w:bCs/>
                <w:color w:val="auto"/>
                <w:sz w:val="22"/>
                <w:szCs w:val="22"/>
                <w:lang w:val="ro-RO"/>
              </w:rPr>
              <w:t xml:space="preserve">Este de așteptat ca o parte din provocările întâmpinate în perioada 2014-2020 în ceea ce privește constituirea și funcționarea parteneriatelor la nivel metropolitan / inter-jurisdicțional să se regăsească și </w:t>
            </w:r>
            <w:r w:rsidRPr="008C5F1C">
              <w:rPr>
                <w:rFonts w:ascii="Times New Roman" w:hAnsi="Times New Roman" w:cs="Times New Roman"/>
                <w:bCs/>
                <w:color w:val="auto"/>
                <w:sz w:val="22"/>
                <w:szCs w:val="22"/>
                <w:lang w:val="ro-RO"/>
              </w:rPr>
              <w:lastRenderedPageBreak/>
              <w:t xml:space="preserve">în perioada următoare, dar, în baza experienței și a avantajelor dovedite ale cooperării, amploarea lor să fie mult redusă. </w:t>
            </w:r>
          </w:p>
          <w:p w14:paraId="54AB233B" w14:textId="06D9F2F6" w:rsidR="00C01464" w:rsidRPr="008C5F1C" w:rsidRDefault="00C01464" w:rsidP="00534127">
            <w:pPr>
              <w:pStyle w:val="Default"/>
              <w:spacing w:after="120"/>
              <w:jc w:val="both"/>
              <w:rPr>
                <w:rFonts w:ascii="Times New Roman" w:hAnsi="Times New Roman" w:cs="Times New Roman"/>
                <w:bCs/>
                <w:color w:val="auto"/>
                <w:sz w:val="22"/>
                <w:szCs w:val="22"/>
                <w:lang w:val="ro-RO"/>
              </w:rPr>
            </w:pPr>
            <w:r w:rsidRPr="008C5F1C">
              <w:rPr>
                <w:rFonts w:ascii="Times New Roman" w:hAnsi="Times New Roman" w:cs="Times New Roman"/>
                <w:bCs/>
                <w:color w:val="auto"/>
                <w:sz w:val="22"/>
                <w:szCs w:val="22"/>
                <w:lang w:val="ro-RO"/>
              </w:rPr>
              <w:t>-</w:t>
            </w:r>
            <w:r w:rsidRPr="008C5F1C">
              <w:rPr>
                <w:rFonts w:ascii="Times New Roman" w:hAnsi="Times New Roman" w:cs="Times New Roman"/>
                <w:bCs/>
                <w:color w:val="auto"/>
                <w:sz w:val="22"/>
                <w:szCs w:val="22"/>
                <w:lang w:val="ro-RO"/>
              </w:rPr>
              <w:tab/>
              <w:t xml:space="preserve">Implicarea părților interesate în implementare – abordarea partenerială este fundamentală pentru o dezvoltare sustenabilă, adaptată nevoilor societății și asumată de către membrii acesteia. Pentru aceasta, la nivel regional s-a derulat un amplu proces de identificare și mobilizare a părților interesate, în contextul elaborării și implementării POR N-V. Același proces se va impune și la nivel local, accesarea fondurilor fiind condiționată de asumarea implicării comunității   </w:t>
            </w:r>
          </w:p>
          <w:p w14:paraId="44737C47" w14:textId="77777777" w:rsidR="00653571" w:rsidRPr="008C5F1C" w:rsidRDefault="00653571" w:rsidP="00534127">
            <w:pPr>
              <w:pStyle w:val="Default"/>
              <w:spacing w:after="120"/>
              <w:jc w:val="both"/>
              <w:rPr>
                <w:rFonts w:ascii="Times New Roman" w:hAnsi="Times New Roman" w:cs="Times New Roman"/>
                <w:bCs/>
                <w:color w:val="auto"/>
                <w:sz w:val="22"/>
                <w:szCs w:val="22"/>
                <w:lang w:val="ro-RO"/>
              </w:rPr>
            </w:pPr>
            <w:r w:rsidRPr="008C5F1C">
              <w:rPr>
                <w:rFonts w:ascii="Times New Roman" w:hAnsi="Times New Roman" w:cs="Times New Roman"/>
                <w:bCs/>
                <w:color w:val="auto"/>
                <w:sz w:val="22"/>
                <w:szCs w:val="22"/>
                <w:lang w:val="ro-RO"/>
              </w:rPr>
              <w:t>Zonele urbane din Regiunea de Dezvoltare Nord-Vest beneficiaz</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de numeroase elemente naturale sau antropice cu valoare atractiv</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deosebit</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Un num</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r însemnat de resurse </w:t>
            </w:r>
            <w:r w:rsidR="00B57942" w:rsidRPr="008C5F1C">
              <w:rPr>
                <w:rFonts w:ascii="Times New Roman" w:hAnsi="Times New Roman" w:cs="Times New Roman"/>
                <w:bCs/>
                <w:color w:val="auto"/>
                <w:sz w:val="22"/>
                <w:szCs w:val="22"/>
                <w:lang w:val="ro-RO"/>
              </w:rPr>
              <w:t xml:space="preserve">turistice </w:t>
            </w:r>
            <w:r w:rsidR="00106240" w:rsidRPr="008C5F1C">
              <w:rPr>
                <w:rFonts w:ascii="Times New Roman" w:hAnsi="Times New Roman" w:cs="Times New Roman"/>
                <w:bCs/>
                <w:color w:val="auto"/>
                <w:sz w:val="22"/>
                <w:szCs w:val="22"/>
                <w:lang w:val="ro-RO"/>
              </w:rPr>
              <w:t>ș</w:t>
            </w:r>
            <w:r w:rsidR="00B57942" w:rsidRPr="008C5F1C">
              <w:rPr>
                <w:rFonts w:ascii="Times New Roman" w:hAnsi="Times New Roman" w:cs="Times New Roman"/>
                <w:bCs/>
                <w:color w:val="auto"/>
                <w:sz w:val="22"/>
                <w:szCs w:val="22"/>
                <w:lang w:val="ro-RO"/>
              </w:rPr>
              <w:t xml:space="preserve">i culturale </w:t>
            </w:r>
            <w:r w:rsidRPr="008C5F1C">
              <w:rPr>
                <w:rFonts w:ascii="Times New Roman" w:hAnsi="Times New Roman" w:cs="Times New Roman"/>
                <w:bCs/>
                <w:color w:val="auto"/>
                <w:sz w:val="22"/>
                <w:szCs w:val="22"/>
                <w:lang w:val="ro-RO"/>
              </w:rPr>
              <w:t>au poten</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ial ridicat în a fi (mai bine) valorificate, îns</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r</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mân în umbr</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din cauza dificult</w:t>
            </w:r>
            <w:r w:rsidR="00BA7827" w:rsidRPr="008C5F1C">
              <w:rPr>
                <w:rFonts w:ascii="Times New Roman" w:hAnsi="Times New Roman" w:cs="Times New Roman"/>
                <w:bCs/>
                <w:color w:val="auto"/>
                <w:sz w:val="22"/>
                <w:szCs w:val="22"/>
                <w:lang w:val="ro-RO"/>
              </w:rPr>
              <w:t>ă</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ilor de acces (în lips</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sau nemodernizate) </w:t>
            </w:r>
            <w:r w:rsidR="00106240" w:rsidRPr="008C5F1C">
              <w:rPr>
                <w:rFonts w:ascii="Times New Roman" w:hAnsi="Times New Roman" w:cs="Times New Roman"/>
                <w:bCs/>
                <w:color w:val="auto"/>
                <w:sz w:val="22"/>
                <w:szCs w:val="22"/>
                <w:lang w:val="ro-RO"/>
              </w:rPr>
              <w:t>ș</w:t>
            </w:r>
            <w:r w:rsidRPr="008C5F1C">
              <w:rPr>
                <w:rFonts w:ascii="Times New Roman" w:hAnsi="Times New Roman" w:cs="Times New Roman"/>
                <w:bCs/>
                <w:color w:val="auto"/>
                <w:sz w:val="22"/>
                <w:szCs w:val="22"/>
                <w:lang w:val="ro-RO"/>
              </w:rPr>
              <w:t>i a lipsei unor amenaj</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ri minime care s</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permit</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vizitarea lor în condi</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ii optime. În ciuda poten</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ialului ridicat, activitatea turistic</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este concentrat</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în câteva centre, restul obiectivelor r</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mânând în mare m</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sur</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nevalorificate.</w:t>
            </w:r>
          </w:p>
          <w:p w14:paraId="1D739493" w14:textId="77777777" w:rsidR="00653571" w:rsidRPr="008C5F1C" w:rsidRDefault="00653571" w:rsidP="00534127">
            <w:pPr>
              <w:pStyle w:val="Default"/>
              <w:spacing w:after="120"/>
              <w:jc w:val="both"/>
              <w:rPr>
                <w:rFonts w:ascii="Times New Roman" w:hAnsi="Times New Roman" w:cs="Times New Roman"/>
                <w:bCs/>
                <w:color w:val="auto"/>
                <w:sz w:val="22"/>
                <w:szCs w:val="22"/>
                <w:lang w:val="ro-RO"/>
              </w:rPr>
            </w:pPr>
            <w:r w:rsidRPr="008C5F1C">
              <w:rPr>
                <w:rFonts w:ascii="Times New Roman" w:hAnsi="Times New Roman" w:cs="Times New Roman"/>
                <w:bCs/>
                <w:color w:val="auto"/>
                <w:sz w:val="22"/>
                <w:szCs w:val="22"/>
                <w:lang w:val="ro-RO"/>
              </w:rPr>
              <w:t>În particular, sectorul balnear este considerat unul dintre domeniile cu cel mai ridicat poten</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ial, atât din perspectiva exploat</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rii resurselor, cât </w:t>
            </w:r>
            <w:r w:rsidR="00106240" w:rsidRPr="008C5F1C">
              <w:rPr>
                <w:rFonts w:ascii="Times New Roman" w:hAnsi="Times New Roman" w:cs="Times New Roman"/>
                <w:bCs/>
                <w:color w:val="auto"/>
                <w:sz w:val="22"/>
                <w:szCs w:val="22"/>
                <w:lang w:val="ro-RO"/>
              </w:rPr>
              <w:t>ș</w:t>
            </w:r>
            <w:r w:rsidRPr="008C5F1C">
              <w:rPr>
                <w:rFonts w:ascii="Times New Roman" w:hAnsi="Times New Roman" w:cs="Times New Roman"/>
                <w:bCs/>
                <w:color w:val="auto"/>
                <w:sz w:val="22"/>
                <w:szCs w:val="22"/>
                <w:lang w:val="ro-RO"/>
              </w:rPr>
              <w:t>i a tendin</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elor favorizante manifestate la nivel mondial, privind turismul de „</w:t>
            </w:r>
            <w:proofErr w:type="spellStart"/>
            <w:r w:rsidRPr="008C5F1C">
              <w:rPr>
                <w:rFonts w:ascii="Times New Roman" w:hAnsi="Times New Roman" w:cs="Times New Roman"/>
                <w:bCs/>
                <w:color w:val="auto"/>
                <w:sz w:val="22"/>
                <w:szCs w:val="22"/>
                <w:lang w:val="ro-RO"/>
              </w:rPr>
              <w:t>wellness</w:t>
            </w:r>
            <w:proofErr w:type="spellEnd"/>
            <w:r w:rsidRPr="008C5F1C">
              <w:rPr>
                <w:rFonts w:ascii="Times New Roman" w:hAnsi="Times New Roman" w:cs="Times New Roman"/>
                <w:bCs/>
                <w:color w:val="auto"/>
                <w:sz w:val="22"/>
                <w:szCs w:val="22"/>
                <w:lang w:val="ro-RO"/>
              </w:rPr>
              <w:t>”.</w:t>
            </w:r>
          </w:p>
          <w:p w14:paraId="76178AA4" w14:textId="77777777" w:rsidR="00B57942" w:rsidRPr="008C5F1C" w:rsidRDefault="00B57942" w:rsidP="00534127">
            <w:pPr>
              <w:pStyle w:val="Default"/>
              <w:spacing w:after="120"/>
              <w:jc w:val="both"/>
              <w:rPr>
                <w:rFonts w:ascii="Times New Roman" w:hAnsi="Times New Roman" w:cs="Times New Roman"/>
                <w:bCs/>
                <w:color w:val="auto"/>
                <w:sz w:val="22"/>
                <w:szCs w:val="22"/>
                <w:lang w:val="ro-RO"/>
              </w:rPr>
            </w:pPr>
            <w:r w:rsidRPr="008C5F1C">
              <w:rPr>
                <w:rFonts w:ascii="Times New Roman" w:hAnsi="Times New Roman" w:cs="Times New Roman"/>
                <w:bCs/>
                <w:color w:val="auto"/>
                <w:sz w:val="22"/>
                <w:szCs w:val="22"/>
                <w:lang w:val="ro-RO"/>
              </w:rPr>
              <w:t>Infrastructura public</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de turism</w:t>
            </w:r>
            <w:r w:rsidR="00372FD8" w:rsidRPr="008C5F1C">
              <w:rPr>
                <w:rFonts w:ascii="Times New Roman" w:hAnsi="Times New Roman" w:cs="Times New Roman"/>
                <w:bCs/>
                <w:color w:val="auto"/>
                <w:sz w:val="22"/>
                <w:szCs w:val="22"/>
                <w:lang w:val="ro-RO"/>
              </w:rPr>
              <w:t xml:space="preserve"> este în continuare</w:t>
            </w:r>
            <w:r w:rsidR="001A6774" w:rsidRPr="008C5F1C">
              <w:rPr>
                <w:rFonts w:ascii="Times New Roman" w:hAnsi="Times New Roman" w:cs="Times New Roman"/>
                <w:bCs/>
                <w:color w:val="auto"/>
                <w:sz w:val="22"/>
                <w:szCs w:val="22"/>
                <w:lang w:val="ro-RO"/>
              </w:rPr>
              <w:t xml:space="preserve"> </w:t>
            </w:r>
            <w:r w:rsidRPr="008C5F1C">
              <w:rPr>
                <w:rFonts w:ascii="Times New Roman" w:hAnsi="Times New Roman" w:cs="Times New Roman"/>
                <w:bCs/>
                <w:color w:val="auto"/>
                <w:sz w:val="22"/>
                <w:szCs w:val="22"/>
                <w:lang w:val="ro-RO"/>
              </w:rPr>
              <w:t xml:space="preserve"> precar</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w:t>
            </w:r>
            <w:r w:rsidR="001A6774" w:rsidRPr="008C5F1C">
              <w:rPr>
                <w:rFonts w:ascii="Times New Roman" w:hAnsi="Times New Roman" w:cs="Times New Roman"/>
                <w:color w:val="auto"/>
                <w:lang w:val="ro-RO"/>
              </w:rPr>
              <w:t xml:space="preserve"> </w:t>
            </w:r>
            <w:r w:rsidR="001A6774" w:rsidRPr="008C5F1C">
              <w:rPr>
                <w:rFonts w:ascii="Times New Roman" w:hAnsi="Times New Roman" w:cs="Times New Roman"/>
                <w:bCs/>
                <w:color w:val="auto"/>
                <w:sz w:val="22"/>
                <w:szCs w:val="22"/>
                <w:lang w:val="ro-RO"/>
              </w:rPr>
              <w:t>În ciuda investi</w:t>
            </w:r>
            <w:r w:rsidR="00E22FF2" w:rsidRPr="008C5F1C">
              <w:rPr>
                <w:rFonts w:ascii="Times New Roman" w:hAnsi="Times New Roman" w:cs="Times New Roman"/>
                <w:bCs/>
                <w:color w:val="auto"/>
                <w:sz w:val="22"/>
                <w:szCs w:val="22"/>
                <w:lang w:val="ro-RO"/>
              </w:rPr>
              <w:t>ț</w:t>
            </w:r>
            <w:r w:rsidR="001A6774" w:rsidRPr="008C5F1C">
              <w:rPr>
                <w:rFonts w:ascii="Times New Roman" w:hAnsi="Times New Roman" w:cs="Times New Roman"/>
                <w:bCs/>
                <w:color w:val="auto"/>
                <w:sz w:val="22"/>
                <w:szCs w:val="22"/>
                <w:lang w:val="ro-RO"/>
              </w:rPr>
              <w:t>iilor realizate în perioadele anterioare de programare, nevoile privind modernizarea capacit</w:t>
            </w:r>
            <w:r w:rsidR="00BA7827" w:rsidRPr="008C5F1C">
              <w:rPr>
                <w:rFonts w:ascii="Times New Roman" w:hAnsi="Times New Roman" w:cs="Times New Roman"/>
                <w:bCs/>
                <w:color w:val="auto"/>
                <w:sz w:val="22"/>
                <w:szCs w:val="22"/>
                <w:lang w:val="ro-RO"/>
              </w:rPr>
              <w:t>ă</w:t>
            </w:r>
            <w:r w:rsidR="00E22FF2" w:rsidRPr="008C5F1C">
              <w:rPr>
                <w:rFonts w:ascii="Times New Roman" w:hAnsi="Times New Roman" w:cs="Times New Roman"/>
                <w:bCs/>
                <w:color w:val="auto"/>
                <w:sz w:val="22"/>
                <w:szCs w:val="22"/>
                <w:lang w:val="ro-RO"/>
              </w:rPr>
              <w:t>ț</w:t>
            </w:r>
            <w:r w:rsidR="001A6774" w:rsidRPr="008C5F1C">
              <w:rPr>
                <w:rFonts w:ascii="Times New Roman" w:hAnsi="Times New Roman" w:cs="Times New Roman"/>
                <w:bCs/>
                <w:color w:val="auto"/>
                <w:sz w:val="22"/>
                <w:szCs w:val="22"/>
                <w:lang w:val="ro-RO"/>
              </w:rPr>
              <w:t xml:space="preserve">ilor de primire </w:t>
            </w:r>
            <w:r w:rsidR="00106240" w:rsidRPr="008C5F1C">
              <w:rPr>
                <w:rFonts w:ascii="Times New Roman" w:hAnsi="Times New Roman" w:cs="Times New Roman"/>
                <w:bCs/>
                <w:color w:val="auto"/>
                <w:sz w:val="22"/>
                <w:szCs w:val="22"/>
                <w:lang w:val="ro-RO"/>
              </w:rPr>
              <w:t>ș</w:t>
            </w:r>
            <w:r w:rsidR="001A6774" w:rsidRPr="008C5F1C">
              <w:rPr>
                <w:rFonts w:ascii="Times New Roman" w:hAnsi="Times New Roman" w:cs="Times New Roman"/>
                <w:bCs/>
                <w:color w:val="auto"/>
                <w:sz w:val="22"/>
                <w:szCs w:val="22"/>
                <w:lang w:val="ro-RO"/>
              </w:rPr>
              <w:t>i a bazelor de agrement r</w:t>
            </w:r>
            <w:r w:rsidR="00BA7827" w:rsidRPr="008C5F1C">
              <w:rPr>
                <w:rFonts w:ascii="Times New Roman" w:hAnsi="Times New Roman" w:cs="Times New Roman"/>
                <w:bCs/>
                <w:color w:val="auto"/>
                <w:sz w:val="22"/>
                <w:szCs w:val="22"/>
                <w:lang w:val="ro-RO"/>
              </w:rPr>
              <w:t>ă</w:t>
            </w:r>
            <w:r w:rsidR="001A6774" w:rsidRPr="008C5F1C">
              <w:rPr>
                <w:rFonts w:ascii="Times New Roman" w:hAnsi="Times New Roman" w:cs="Times New Roman"/>
                <w:bCs/>
                <w:color w:val="auto"/>
                <w:sz w:val="22"/>
                <w:szCs w:val="22"/>
                <w:lang w:val="ro-RO"/>
              </w:rPr>
              <w:t>mân ridicate. Infrastructura edilitar</w:t>
            </w:r>
            <w:r w:rsidR="00BA7827" w:rsidRPr="008C5F1C">
              <w:rPr>
                <w:rFonts w:ascii="Times New Roman" w:hAnsi="Times New Roman" w:cs="Times New Roman"/>
                <w:bCs/>
                <w:color w:val="auto"/>
                <w:sz w:val="22"/>
                <w:szCs w:val="22"/>
                <w:lang w:val="ro-RO"/>
              </w:rPr>
              <w:t>ă</w:t>
            </w:r>
            <w:r w:rsidR="001A6774" w:rsidRPr="008C5F1C">
              <w:rPr>
                <w:rFonts w:ascii="Times New Roman" w:hAnsi="Times New Roman" w:cs="Times New Roman"/>
                <w:bCs/>
                <w:color w:val="auto"/>
                <w:sz w:val="22"/>
                <w:szCs w:val="22"/>
                <w:lang w:val="ro-RO"/>
              </w:rPr>
              <w:t xml:space="preserve"> a sta</w:t>
            </w:r>
            <w:r w:rsidR="00E22FF2" w:rsidRPr="008C5F1C">
              <w:rPr>
                <w:rFonts w:ascii="Times New Roman" w:hAnsi="Times New Roman" w:cs="Times New Roman"/>
                <w:bCs/>
                <w:color w:val="auto"/>
                <w:sz w:val="22"/>
                <w:szCs w:val="22"/>
                <w:lang w:val="ro-RO"/>
              </w:rPr>
              <w:t>ț</w:t>
            </w:r>
            <w:r w:rsidR="001A6774" w:rsidRPr="008C5F1C">
              <w:rPr>
                <w:rFonts w:ascii="Times New Roman" w:hAnsi="Times New Roman" w:cs="Times New Roman"/>
                <w:bCs/>
                <w:color w:val="auto"/>
                <w:sz w:val="22"/>
                <w:szCs w:val="22"/>
                <w:lang w:val="ro-RO"/>
              </w:rPr>
              <w:t>iunilor este într-o stare avansat</w:t>
            </w:r>
            <w:r w:rsidR="00BA7827" w:rsidRPr="008C5F1C">
              <w:rPr>
                <w:rFonts w:ascii="Times New Roman" w:hAnsi="Times New Roman" w:cs="Times New Roman"/>
                <w:bCs/>
                <w:color w:val="auto"/>
                <w:sz w:val="22"/>
                <w:szCs w:val="22"/>
                <w:lang w:val="ro-RO"/>
              </w:rPr>
              <w:t>ă</w:t>
            </w:r>
            <w:r w:rsidR="001A6774" w:rsidRPr="008C5F1C">
              <w:rPr>
                <w:rFonts w:ascii="Times New Roman" w:hAnsi="Times New Roman" w:cs="Times New Roman"/>
                <w:bCs/>
                <w:color w:val="auto"/>
                <w:sz w:val="22"/>
                <w:szCs w:val="22"/>
                <w:lang w:val="ro-RO"/>
              </w:rPr>
              <w:t xml:space="preserve"> de degradare: c</w:t>
            </w:r>
            <w:r w:rsidR="00BA7827" w:rsidRPr="008C5F1C">
              <w:rPr>
                <w:rFonts w:ascii="Times New Roman" w:hAnsi="Times New Roman" w:cs="Times New Roman"/>
                <w:bCs/>
                <w:color w:val="auto"/>
                <w:sz w:val="22"/>
                <w:szCs w:val="22"/>
                <w:lang w:val="ro-RO"/>
              </w:rPr>
              <w:t>ă</w:t>
            </w:r>
            <w:r w:rsidR="001A6774" w:rsidRPr="008C5F1C">
              <w:rPr>
                <w:rFonts w:ascii="Times New Roman" w:hAnsi="Times New Roman" w:cs="Times New Roman"/>
                <w:bCs/>
                <w:color w:val="auto"/>
                <w:sz w:val="22"/>
                <w:szCs w:val="22"/>
                <w:lang w:val="ro-RO"/>
              </w:rPr>
              <w:t>ile de circula</w:t>
            </w:r>
            <w:r w:rsidR="00E22FF2" w:rsidRPr="008C5F1C">
              <w:rPr>
                <w:rFonts w:ascii="Times New Roman" w:hAnsi="Times New Roman" w:cs="Times New Roman"/>
                <w:bCs/>
                <w:color w:val="auto"/>
                <w:sz w:val="22"/>
                <w:szCs w:val="22"/>
                <w:lang w:val="ro-RO"/>
              </w:rPr>
              <w:t>ț</w:t>
            </w:r>
            <w:r w:rsidR="001A6774" w:rsidRPr="008C5F1C">
              <w:rPr>
                <w:rFonts w:ascii="Times New Roman" w:hAnsi="Times New Roman" w:cs="Times New Roman"/>
                <w:bCs/>
                <w:color w:val="auto"/>
                <w:sz w:val="22"/>
                <w:szCs w:val="22"/>
                <w:lang w:val="ro-RO"/>
              </w:rPr>
              <w:t>ie, parc</w:t>
            </w:r>
            <w:r w:rsidR="00BA7827" w:rsidRPr="008C5F1C">
              <w:rPr>
                <w:rFonts w:ascii="Times New Roman" w:hAnsi="Times New Roman" w:cs="Times New Roman"/>
                <w:bCs/>
                <w:color w:val="auto"/>
                <w:sz w:val="22"/>
                <w:szCs w:val="22"/>
                <w:lang w:val="ro-RO"/>
              </w:rPr>
              <w:t>ă</w:t>
            </w:r>
            <w:r w:rsidR="001A6774" w:rsidRPr="008C5F1C">
              <w:rPr>
                <w:rFonts w:ascii="Times New Roman" w:hAnsi="Times New Roman" w:cs="Times New Roman"/>
                <w:bCs/>
                <w:color w:val="auto"/>
                <w:sz w:val="22"/>
                <w:szCs w:val="22"/>
                <w:lang w:val="ro-RO"/>
              </w:rPr>
              <w:t>rile, spa</w:t>
            </w:r>
            <w:r w:rsidR="00E22FF2" w:rsidRPr="008C5F1C">
              <w:rPr>
                <w:rFonts w:ascii="Times New Roman" w:hAnsi="Times New Roman" w:cs="Times New Roman"/>
                <w:bCs/>
                <w:color w:val="auto"/>
                <w:sz w:val="22"/>
                <w:szCs w:val="22"/>
                <w:lang w:val="ro-RO"/>
              </w:rPr>
              <w:t>ț</w:t>
            </w:r>
            <w:r w:rsidR="001A6774" w:rsidRPr="008C5F1C">
              <w:rPr>
                <w:rFonts w:ascii="Times New Roman" w:hAnsi="Times New Roman" w:cs="Times New Roman"/>
                <w:bCs/>
                <w:color w:val="auto"/>
                <w:sz w:val="22"/>
                <w:szCs w:val="22"/>
                <w:lang w:val="ro-RO"/>
              </w:rPr>
              <w:t xml:space="preserve">iile verzi </w:t>
            </w:r>
            <w:r w:rsidR="00106240" w:rsidRPr="008C5F1C">
              <w:rPr>
                <w:rFonts w:ascii="Times New Roman" w:hAnsi="Times New Roman" w:cs="Times New Roman"/>
                <w:bCs/>
                <w:color w:val="auto"/>
                <w:sz w:val="22"/>
                <w:szCs w:val="22"/>
                <w:lang w:val="ro-RO"/>
              </w:rPr>
              <w:t>ș</w:t>
            </w:r>
            <w:r w:rsidR="001A6774" w:rsidRPr="008C5F1C">
              <w:rPr>
                <w:rFonts w:ascii="Times New Roman" w:hAnsi="Times New Roman" w:cs="Times New Roman"/>
                <w:bCs/>
                <w:color w:val="auto"/>
                <w:sz w:val="22"/>
                <w:szCs w:val="22"/>
                <w:lang w:val="ro-RO"/>
              </w:rPr>
              <w:t>i recreative, fa</w:t>
            </w:r>
            <w:r w:rsidR="00E22FF2" w:rsidRPr="008C5F1C">
              <w:rPr>
                <w:rFonts w:ascii="Times New Roman" w:hAnsi="Times New Roman" w:cs="Times New Roman"/>
                <w:bCs/>
                <w:color w:val="auto"/>
                <w:sz w:val="22"/>
                <w:szCs w:val="22"/>
                <w:lang w:val="ro-RO"/>
              </w:rPr>
              <w:t>ț</w:t>
            </w:r>
            <w:r w:rsidR="001A6774" w:rsidRPr="008C5F1C">
              <w:rPr>
                <w:rFonts w:ascii="Times New Roman" w:hAnsi="Times New Roman" w:cs="Times New Roman"/>
                <w:bCs/>
                <w:color w:val="auto"/>
                <w:sz w:val="22"/>
                <w:szCs w:val="22"/>
                <w:lang w:val="ro-RO"/>
              </w:rPr>
              <w:t>adele cl</w:t>
            </w:r>
            <w:r w:rsidR="00BA7827" w:rsidRPr="008C5F1C">
              <w:rPr>
                <w:rFonts w:ascii="Times New Roman" w:hAnsi="Times New Roman" w:cs="Times New Roman"/>
                <w:bCs/>
                <w:color w:val="auto"/>
                <w:sz w:val="22"/>
                <w:szCs w:val="22"/>
                <w:lang w:val="ro-RO"/>
              </w:rPr>
              <w:t>ă</w:t>
            </w:r>
            <w:r w:rsidR="001A6774" w:rsidRPr="008C5F1C">
              <w:rPr>
                <w:rFonts w:ascii="Times New Roman" w:hAnsi="Times New Roman" w:cs="Times New Roman"/>
                <w:bCs/>
                <w:color w:val="auto"/>
                <w:sz w:val="22"/>
                <w:szCs w:val="22"/>
                <w:lang w:val="ro-RO"/>
              </w:rPr>
              <w:t>dirilor.</w:t>
            </w:r>
          </w:p>
          <w:p w14:paraId="002E9B1C" w14:textId="2919BB83" w:rsidR="00653571" w:rsidRPr="008C5F1C" w:rsidRDefault="00653571" w:rsidP="00452D49">
            <w:pPr>
              <w:pStyle w:val="Default"/>
              <w:spacing w:after="120"/>
              <w:jc w:val="both"/>
              <w:rPr>
                <w:rFonts w:ascii="Times New Roman" w:hAnsi="Times New Roman" w:cs="Times New Roman"/>
                <w:bCs/>
                <w:color w:val="auto"/>
                <w:sz w:val="22"/>
                <w:szCs w:val="22"/>
                <w:lang w:val="ro-RO"/>
              </w:rPr>
            </w:pPr>
            <w:r w:rsidRPr="008C5F1C">
              <w:rPr>
                <w:rFonts w:ascii="Times New Roman" w:hAnsi="Times New Roman" w:cs="Times New Roman"/>
                <w:bCs/>
                <w:color w:val="auto"/>
                <w:sz w:val="22"/>
                <w:szCs w:val="22"/>
                <w:lang w:val="ro-RO"/>
              </w:rPr>
              <w:t>Lista de resurse (vestigii istorice, edificii religioase, obiective turistice culturale, patrimoni</w:t>
            </w:r>
            <w:r w:rsidR="001A6071" w:rsidRPr="008C5F1C">
              <w:rPr>
                <w:rFonts w:ascii="Times New Roman" w:hAnsi="Times New Roman" w:cs="Times New Roman"/>
                <w:bCs/>
                <w:color w:val="auto"/>
                <w:sz w:val="22"/>
                <w:szCs w:val="22"/>
                <w:lang w:val="ro-RO"/>
              </w:rPr>
              <w:t>u</w:t>
            </w:r>
            <w:r w:rsidRPr="008C5F1C">
              <w:rPr>
                <w:rFonts w:ascii="Times New Roman" w:hAnsi="Times New Roman" w:cs="Times New Roman"/>
                <w:bCs/>
                <w:color w:val="auto"/>
                <w:sz w:val="22"/>
                <w:szCs w:val="22"/>
                <w:lang w:val="ro-RO"/>
              </w:rPr>
              <w:t>l turistic etnografic, monumente, amenaj</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ri </w:t>
            </w:r>
            <w:r w:rsidR="00106240" w:rsidRPr="008C5F1C">
              <w:rPr>
                <w:rFonts w:ascii="Times New Roman" w:hAnsi="Times New Roman" w:cs="Times New Roman"/>
                <w:bCs/>
                <w:color w:val="auto"/>
                <w:sz w:val="22"/>
                <w:szCs w:val="22"/>
                <w:lang w:val="ro-RO"/>
              </w:rPr>
              <w:t>ș</w:t>
            </w:r>
            <w:r w:rsidRPr="008C5F1C">
              <w:rPr>
                <w:rFonts w:ascii="Times New Roman" w:hAnsi="Times New Roman" w:cs="Times New Roman"/>
                <w:bCs/>
                <w:color w:val="auto"/>
                <w:sz w:val="22"/>
                <w:szCs w:val="22"/>
                <w:lang w:val="ro-RO"/>
              </w:rPr>
              <w:t>i activit</w:t>
            </w:r>
            <w:r w:rsidR="00BA7827" w:rsidRPr="008C5F1C">
              <w:rPr>
                <w:rFonts w:ascii="Times New Roman" w:hAnsi="Times New Roman" w:cs="Times New Roman"/>
                <w:bCs/>
                <w:color w:val="auto"/>
                <w:sz w:val="22"/>
                <w:szCs w:val="22"/>
                <w:lang w:val="ro-RO"/>
              </w:rPr>
              <w:t>ă</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i cu func</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ie turistic</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este completat</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de lista monumentelor istorice, recunoscute ca fiind de interes</w:t>
            </w:r>
            <w:r w:rsidR="00516238" w:rsidRPr="008C5F1C">
              <w:rPr>
                <w:rFonts w:ascii="Times New Roman" w:hAnsi="Times New Roman" w:cs="Times New Roman"/>
                <w:bCs/>
                <w:color w:val="auto"/>
                <w:sz w:val="22"/>
                <w:szCs w:val="22"/>
                <w:lang w:val="ro-RO"/>
              </w:rPr>
              <w:t xml:space="preserve"> local,</w:t>
            </w:r>
            <w:r w:rsidRPr="008C5F1C">
              <w:rPr>
                <w:rFonts w:ascii="Times New Roman" w:hAnsi="Times New Roman" w:cs="Times New Roman"/>
                <w:bCs/>
                <w:color w:val="auto"/>
                <w:sz w:val="22"/>
                <w:szCs w:val="22"/>
                <w:lang w:val="ro-RO"/>
              </w:rPr>
              <w:t xml:space="preserve"> na</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 xml:space="preserve">ional sau universal. </w:t>
            </w:r>
          </w:p>
          <w:p w14:paraId="17013972" w14:textId="77777777" w:rsidR="00653571" w:rsidRPr="008C5F1C" w:rsidRDefault="00653571" w:rsidP="00534127">
            <w:pPr>
              <w:pStyle w:val="Default"/>
              <w:spacing w:after="120"/>
              <w:jc w:val="both"/>
              <w:rPr>
                <w:rFonts w:ascii="Times New Roman" w:hAnsi="Times New Roman" w:cs="Times New Roman"/>
                <w:bCs/>
                <w:color w:val="auto"/>
                <w:sz w:val="22"/>
                <w:szCs w:val="22"/>
                <w:lang w:val="ro-RO"/>
              </w:rPr>
            </w:pPr>
            <w:r w:rsidRPr="008C5F1C">
              <w:rPr>
                <w:rFonts w:ascii="Times New Roman" w:hAnsi="Times New Roman" w:cs="Times New Roman"/>
                <w:bCs/>
                <w:color w:val="auto"/>
                <w:sz w:val="22"/>
                <w:szCs w:val="22"/>
                <w:lang w:val="ro-RO"/>
              </w:rPr>
              <w:t>Patrimoniul cultural se confrunt</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îns</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cu provoc</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ri importante în ceea ce prive</w:t>
            </w:r>
            <w:r w:rsidR="00106240" w:rsidRPr="008C5F1C">
              <w:rPr>
                <w:rFonts w:ascii="Times New Roman" w:hAnsi="Times New Roman" w:cs="Times New Roman"/>
                <w:bCs/>
                <w:color w:val="auto"/>
                <w:sz w:val="22"/>
                <w:szCs w:val="22"/>
                <w:lang w:val="ro-RO"/>
              </w:rPr>
              <w:t>ș</w:t>
            </w:r>
            <w:r w:rsidRPr="008C5F1C">
              <w:rPr>
                <w:rFonts w:ascii="Times New Roman" w:hAnsi="Times New Roman" w:cs="Times New Roman"/>
                <w:bCs/>
                <w:color w:val="auto"/>
                <w:sz w:val="22"/>
                <w:szCs w:val="22"/>
                <w:lang w:val="ro-RO"/>
              </w:rPr>
              <w:t>te condi</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iile fizice care se deterioreaz</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treptat. Starea majorit</w:t>
            </w:r>
            <w:r w:rsidR="00BA7827" w:rsidRPr="008C5F1C">
              <w:rPr>
                <w:rFonts w:ascii="Times New Roman" w:hAnsi="Times New Roman" w:cs="Times New Roman"/>
                <w:bCs/>
                <w:color w:val="auto"/>
                <w:sz w:val="22"/>
                <w:szCs w:val="22"/>
                <w:lang w:val="ro-RO"/>
              </w:rPr>
              <w:t>ă</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ii monumentelor este precar</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iar calitatea  siturilor de patrimoniu cultural sau a activit</w:t>
            </w:r>
            <w:r w:rsidR="00BA7827" w:rsidRPr="008C5F1C">
              <w:rPr>
                <w:rFonts w:ascii="Times New Roman" w:hAnsi="Times New Roman" w:cs="Times New Roman"/>
                <w:bCs/>
                <w:color w:val="auto"/>
                <w:sz w:val="22"/>
                <w:szCs w:val="22"/>
                <w:lang w:val="ro-RO"/>
              </w:rPr>
              <w:t>ă</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ilor legate de acesta este considerat</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slab</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de c</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tre vizitatori. O bun</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parte dintre acestea necesit</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conservare, protejare sau investi</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 xml:space="preserve">ii pentru dezvoltarea </w:t>
            </w:r>
            <w:r w:rsidR="00106240" w:rsidRPr="008C5F1C">
              <w:rPr>
                <w:rFonts w:ascii="Times New Roman" w:hAnsi="Times New Roman" w:cs="Times New Roman"/>
                <w:bCs/>
                <w:color w:val="auto"/>
                <w:sz w:val="22"/>
                <w:szCs w:val="22"/>
                <w:lang w:val="ro-RO"/>
              </w:rPr>
              <w:t>ș</w:t>
            </w:r>
            <w:r w:rsidRPr="008C5F1C">
              <w:rPr>
                <w:rFonts w:ascii="Times New Roman" w:hAnsi="Times New Roman" w:cs="Times New Roman"/>
                <w:bCs/>
                <w:color w:val="auto"/>
                <w:sz w:val="22"/>
                <w:szCs w:val="22"/>
                <w:lang w:val="ro-RO"/>
              </w:rPr>
              <w:t>i valorificarea lor prin includerea în circuite turistice. O prioritate în acest sens ar trebui s</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o constituie monumentele de interes na</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 xml:space="preserve">ional sau universal (de tip A) </w:t>
            </w:r>
            <w:r w:rsidR="00106240" w:rsidRPr="008C5F1C">
              <w:rPr>
                <w:rFonts w:ascii="Times New Roman" w:hAnsi="Times New Roman" w:cs="Times New Roman"/>
                <w:bCs/>
                <w:color w:val="auto"/>
                <w:sz w:val="22"/>
                <w:szCs w:val="22"/>
                <w:lang w:val="ro-RO"/>
              </w:rPr>
              <w:t>ș</w:t>
            </w:r>
            <w:r w:rsidRPr="008C5F1C">
              <w:rPr>
                <w:rFonts w:ascii="Times New Roman" w:hAnsi="Times New Roman" w:cs="Times New Roman"/>
                <w:bCs/>
                <w:color w:val="auto"/>
                <w:sz w:val="22"/>
                <w:szCs w:val="22"/>
                <w:lang w:val="ro-RO"/>
              </w:rPr>
              <w:t xml:space="preserve">i cele incluse în lista patrimoniului mondial UNESCO. </w:t>
            </w:r>
          </w:p>
          <w:p w14:paraId="25058DB4" w14:textId="77777777" w:rsidR="00653571" w:rsidRPr="008C5F1C" w:rsidRDefault="00653571" w:rsidP="00534127">
            <w:pPr>
              <w:pStyle w:val="Default"/>
              <w:spacing w:after="120"/>
              <w:jc w:val="both"/>
              <w:rPr>
                <w:rFonts w:ascii="Times New Roman" w:hAnsi="Times New Roman" w:cs="Times New Roman"/>
                <w:bCs/>
                <w:color w:val="auto"/>
                <w:sz w:val="22"/>
                <w:szCs w:val="22"/>
                <w:lang w:val="ro-RO"/>
              </w:rPr>
            </w:pPr>
            <w:r w:rsidRPr="008C5F1C">
              <w:rPr>
                <w:rFonts w:ascii="Times New Roman" w:hAnsi="Times New Roman" w:cs="Times New Roman"/>
                <w:bCs/>
                <w:color w:val="auto"/>
                <w:sz w:val="22"/>
                <w:szCs w:val="22"/>
                <w:lang w:val="ro-RO"/>
              </w:rPr>
              <w:t>Investi</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iile prev</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zute în cadrul acestui obiectiv specific continu</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interven</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iile finan</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 xml:space="preserve">ate în perioadele anterioare de programare </w:t>
            </w:r>
            <w:r w:rsidR="00106240" w:rsidRPr="008C5F1C">
              <w:rPr>
                <w:rFonts w:ascii="Times New Roman" w:hAnsi="Times New Roman" w:cs="Times New Roman"/>
                <w:bCs/>
                <w:color w:val="auto"/>
                <w:sz w:val="22"/>
                <w:szCs w:val="22"/>
                <w:lang w:val="ro-RO"/>
              </w:rPr>
              <w:t>ș</w:t>
            </w:r>
            <w:r w:rsidRPr="008C5F1C">
              <w:rPr>
                <w:rFonts w:ascii="Times New Roman" w:hAnsi="Times New Roman" w:cs="Times New Roman"/>
                <w:bCs/>
                <w:color w:val="auto"/>
                <w:sz w:val="22"/>
                <w:szCs w:val="22"/>
                <w:lang w:val="ro-RO"/>
              </w:rPr>
              <w:t>i vizeaz</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urm</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toarele </w:t>
            </w:r>
            <w:r w:rsidR="00B53DC2" w:rsidRPr="008C5F1C">
              <w:rPr>
                <w:rFonts w:ascii="Times New Roman" w:hAnsi="Times New Roman" w:cs="Times New Roman"/>
                <w:bCs/>
                <w:color w:val="auto"/>
                <w:sz w:val="22"/>
                <w:szCs w:val="22"/>
                <w:lang w:val="ro-RO"/>
              </w:rPr>
              <w:t xml:space="preserve">tipuri de </w:t>
            </w:r>
            <w:r w:rsidR="00ED402B" w:rsidRPr="008C5F1C">
              <w:rPr>
                <w:rFonts w:ascii="Times New Roman" w:hAnsi="Times New Roman" w:cs="Times New Roman"/>
                <w:bCs/>
                <w:color w:val="auto"/>
                <w:sz w:val="22"/>
                <w:szCs w:val="22"/>
                <w:lang w:val="ro-RO"/>
              </w:rPr>
              <w:t>ac</w:t>
            </w:r>
            <w:r w:rsidR="00E22FF2" w:rsidRPr="008C5F1C">
              <w:rPr>
                <w:rFonts w:ascii="Times New Roman" w:hAnsi="Times New Roman" w:cs="Times New Roman"/>
                <w:bCs/>
                <w:color w:val="auto"/>
                <w:sz w:val="22"/>
                <w:szCs w:val="22"/>
                <w:lang w:val="ro-RO"/>
              </w:rPr>
              <w:t>ț</w:t>
            </w:r>
            <w:r w:rsidR="00ED402B" w:rsidRPr="008C5F1C">
              <w:rPr>
                <w:rFonts w:ascii="Times New Roman" w:hAnsi="Times New Roman" w:cs="Times New Roman"/>
                <w:bCs/>
                <w:color w:val="auto"/>
                <w:sz w:val="22"/>
                <w:szCs w:val="22"/>
                <w:lang w:val="ro-RO"/>
              </w:rPr>
              <w:t>iuni</w:t>
            </w:r>
            <w:r w:rsidRPr="008C5F1C">
              <w:rPr>
                <w:rFonts w:ascii="Times New Roman" w:hAnsi="Times New Roman" w:cs="Times New Roman"/>
                <w:bCs/>
                <w:color w:val="auto"/>
                <w:sz w:val="22"/>
                <w:szCs w:val="22"/>
                <w:lang w:val="ro-RO"/>
              </w:rPr>
              <w:t>:</w:t>
            </w:r>
          </w:p>
          <w:p w14:paraId="6119F894" w14:textId="0E6D2B0A" w:rsidR="00653571" w:rsidRPr="008C5F1C" w:rsidRDefault="00653571" w:rsidP="00B53DC2">
            <w:pPr>
              <w:spacing w:after="120" w:line="240" w:lineRule="auto"/>
              <w:rPr>
                <w:rFonts w:ascii="Times New Roman" w:hAnsi="Times New Roman" w:cs="Times New Roman"/>
              </w:rPr>
            </w:pPr>
            <w:r w:rsidRPr="008C5F1C">
              <w:rPr>
                <w:rFonts w:ascii="Times New Roman" w:hAnsi="Times New Roman" w:cs="Times New Roman"/>
                <w:b/>
                <w:bCs/>
              </w:rPr>
              <w:t>a) Conservarea, protec</w:t>
            </w:r>
            <w:r w:rsidR="00E22FF2" w:rsidRPr="008C5F1C">
              <w:rPr>
                <w:rFonts w:ascii="Times New Roman" w:hAnsi="Times New Roman" w:cs="Times New Roman"/>
                <w:b/>
                <w:bCs/>
              </w:rPr>
              <w:t>ț</w:t>
            </w:r>
            <w:r w:rsidRPr="008C5F1C">
              <w:rPr>
                <w:rFonts w:ascii="Times New Roman" w:hAnsi="Times New Roman" w:cs="Times New Roman"/>
                <w:b/>
                <w:bCs/>
              </w:rPr>
              <w:t xml:space="preserve">ia </w:t>
            </w:r>
            <w:r w:rsidR="00106240" w:rsidRPr="008C5F1C">
              <w:rPr>
                <w:rFonts w:ascii="Times New Roman" w:hAnsi="Times New Roman" w:cs="Times New Roman"/>
                <w:b/>
                <w:bCs/>
              </w:rPr>
              <w:t>ș</w:t>
            </w:r>
            <w:r w:rsidRPr="008C5F1C">
              <w:rPr>
                <w:rFonts w:ascii="Times New Roman" w:hAnsi="Times New Roman" w:cs="Times New Roman"/>
                <w:b/>
                <w:bCs/>
              </w:rPr>
              <w:t>i valorificarea durabil</w:t>
            </w:r>
            <w:r w:rsidR="00BA7827" w:rsidRPr="008C5F1C">
              <w:rPr>
                <w:rFonts w:ascii="Times New Roman" w:hAnsi="Times New Roman" w:cs="Times New Roman"/>
                <w:b/>
                <w:bCs/>
              </w:rPr>
              <w:t>ă</w:t>
            </w:r>
            <w:r w:rsidRPr="008C5F1C">
              <w:rPr>
                <w:rFonts w:ascii="Times New Roman" w:hAnsi="Times New Roman" w:cs="Times New Roman"/>
                <w:b/>
                <w:bCs/>
              </w:rPr>
              <w:t xml:space="preserve"> a patrimoniului cultural</w:t>
            </w:r>
            <w:r w:rsidR="00CD6BC3" w:rsidRPr="008C5F1C">
              <w:rPr>
                <w:rFonts w:ascii="Times New Roman" w:hAnsi="Times New Roman" w:cs="Times New Roman"/>
                <w:b/>
                <w:bCs/>
              </w:rPr>
              <w:t>, istoric</w:t>
            </w:r>
            <w:r w:rsidRPr="008C5F1C">
              <w:rPr>
                <w:rFonts w:ascii="Times New Roman" w:hAnsi="Times New Roman" w:cs="Times New Roman"/>
                <w:b/>
                <w:bCs/>
              </w:rPr>
              <w:t xml:space="preserve"> </w:t>
            </w:r>
            <w:r w:rsidR="00106240" w:rsidRPr="008C5F1C">
              <w:rPr>
                <w:rFonts w:ascii="Times New Roman" w:hAnsi="Times New Roman" w:cs="Times New Roman"/>
                <w:b/>
                <w:bCs/>
              </w:rPr>
              <w:t>ș</w:t>
            </w:r>
            <w:r w:rsidRPr="008C5F1C">
              <w:rPr>
                <w:rFonts w:ascii="Times New Roman" w:hAnsi="Times New Roman" w:cs="Times New Roman"/>
                <w:b/>
                <w:bCs/>
              </w:rPr>
              <w:t xml:space="preserve">i natural </w:t>
            </w:r>
            <w:r w:rsidR="00106240" w:rsidRPr="008C5F1C">
              <w:rPr>
                <w:rFonts w:ascii="Times New Roman" w:hAnsi="Times New Roman" w:cs="Times New Roman"/>
                <w:b/>
                <w:bCs/>
              </w:rPr>
              <w:t>ș</w:t>
            </w:r>
            <w:r w:rsidRPr="008C5F1C">
              <w:rPr>
                <w:rFonts w:ascii="Times New Roman" w:hAnsi="Times New Roman" w:cs="Times New Roman"/>
                <w:b/>
                <w:bCs/>
              </w:rPr>
              <w:t>i dezvoltarea serviciilor culturale</w:t>
            </w:r>
            <w:r w:rsidR="00CE49F3" w:rsidRPr="008C5F1C">
              <w:rPr>
                <w:rFonts w:ascii="Times New Roman" w:hAnsi="Times New Roman" w:cs="Times New Roman"/>
                <w:b/>
                <w:bCs/>
              </w:rPr>
              <w:t>;</w:t>
            </w:r>
          </w:p>
          <w:p w14:paraId="3C622F0A" w14:textId="25A85BEE" w:rsidR="00653571" w:rsidRPr="008C5F1C" w:rsidRDefault="00653571" w:rsidP="00534127">
            <w:pPr>
              <w:spacing w:after="120" w:line="240" w:lineRule="auto"/>
              <w:jc w:val="both"/>
              <w:rPr>
                <w:rFonts w:ascii="Times New Roman" w:hAnsi="Times New Roman" w:cs="Times New Roman"/>
                <w:b/>
                <w:bCs/>
              </w:rPr>
            </w:pPr>
            <w:r w:rsidRPr="008C5F1C">
              <w:rPr>
                <w:rFonts w:ascii="Times New Roman" w:hAnsi="Times New Roman" w:cs="Times New Roman"/>
                <w:b/>
                <w:bCs/>
              </w:rPr>
              <w:t>b) Îmbun</w:t>
            </w:r>
            <w:r w:rsidR="00BA7827" w:rsidRPr="008C5F1C">
              <w:rPr>
                <w:rFonts w:ascii="Times New Roman" w:hAnsi="Times New Roman" w:cs="Times New Roman"/>
                <w:b/>
                <w:bCs/>
              </w:rPr>
              <w:t>ă</w:t>
            </w:r>
            <w:r w:rsidRPr="008C5F1C">
              <w:rPr>
                <w:rFonts w:ascii="Times New Roman" w:hAnsi="Times New Roman" w:cs="Times New Roman"/>
                <w:b/>
                <w:bCs/>
              </w:rPr>
              <w:t>t</w:t>
            </w:r>
            <w:r w:rsidR="00BA7827" w:rsidRPr="008C5F1C">
              <w:rPr>
                <w:rFonts w:ascii="Times New Roman" w:hAnsi="Times New Roman" w:cs="Times New Roman"/>
                <w:b/>
                <w:bCs/>
              </w:rPr>
              <w:t>ă</w:t>
            </w:r>
            <w:r w:rsidR="00E22FF2" w:rsidRPr="008C5F1C">
              <w:rPr>
                <w:rFonts w:ascii="Times New Roman" w:hAnsi="Times New Roman" w:cs="Times New Roman"/>
                <w:b/>
                <w:bCs/>
              </w:rPr>
              <w:t>ț</w:t>
            </w:r>
            <w:r w:rsidRPr="008C5F1C">
              <w:rPr>
                <w:rFonts w:ascii="Times New Roman" w:hAnsi="Times New Roman" w:cs="Times New Roman"/>
                <w:b/>
                <w:bCs/>
              </w:rPr>
              <w:t>irea  infrastructurii de turism, în special în zone care dispun de un poten</w:t>
            </w:r>
            <w:r w:rsidR="00E22FF2" w:rsidRPr="008C5F1C">
              <w:rPr>
                <w:rFonts w:ascii="Times New Roman" w:hAnsi="Times New Roman" w:cs="Times New Roman"/>
                <w:b/>
                <w:bCs/>
              </w:rPr>
              <w:t>ț</w:t>
            </w:r>
            <w:r w:rsidRPr="008C5F1C">
              <w:rPr>
                <w:rFonts w:ascii="Times New Roman" w:hAnsi="Times New Roman" w:cs="Times New Roman"/>
                <w:b/>
                <w:bCs/>
              </w:rPr>
              <w:t xml:space="preserve">ial turistic valoros, inclusiv </w:t>
            </w:r>
            <w:r w:rsidR="00CD6BC3" w:rsidRPr="008C5F1C">
              <w:rPr>
                <w:rFonts w:ascii="Times New Roman" w:hAnsi="Times New Roman" w:cs="Times New Roman"/>
                <w:b/>
                <w:bCs/>
              </w:rPr>
              <w:t xml:space="preserve">centre de </w:t>
            </w:r>
            <w:r w:rsidRPr="008C5F1C">
              <w:rPr>
                <w:rFonts w:ascii="Times New Roman" w:hAnsi="Times New Roman" w:cs="Times New Roman"/>
                <w:b/>
                <w:bCs/>
              </w:rPr>
              <w:t>informare</w:t>
            </w:r>
            <w:r w:rsidR="00CD6BC3" w:rsidRPr="008C5F1C">
              <w:rPr>
                <w:rFonts w:ascii="Times New Roman" w:hAnsi="Times New Roman" w:cs="Times New Roman"/>
                <w:b/>
                <w:bCs/>
              </w:rPr>
              <w:t xml:space="preserve"> turistica</w:t>
            </w:r>
            <w:r w:rsidR="005D3BAB" w:rsidRPr="008C5F1C">
              <w:rPr>
                <w:rFonts w:ascii="Times New Roman" w:hAnsi="Times New Roman" w:cs="Times New Roman"/>
                <w:b/>
                <w:bCs/>
              </w:rPr>
              <w:t xml:space="preserve"> </w:t>
            </w:r>
            <w:r w:rsidR="00106240" w:rsidRPr="008C5F1C">
              <w:rPr>
                <w:rFonts w:ascii="Times New Roman" w:hAnsi="Times New Roman" w:cs="Times New Roman"/>
                <w:b/>
                <w:bCs/>
              </w:rPr>
              <w:t>ș</w:t>
            </w:r>
            <w:r w:rsidR="005D3BAB" w:rsidRPr="008C5F1C">
              <w:rPr>
                <w:rFonts w:ascii="Times New Roman" w:hAnsi="Times New Roman" w:cs="Times New Roman"/>
                <w:b/>
                <w:bCs/>
              </w:rPr>
              <w:t xml:space="preserve">i </w:t>
            </w:r>
            <w:r w:rsidRPr="008C5F1C">
              <w:rPr>
                <w:rFonts w:ascii="Times New Roman" w:hAnsi="Times New Roman" w:cs="Times New Roman"/>
                <w:b/>
                <w:bCs/>
              </w:rPr>
              <w:t xml:space="preserve">tabere de elevi </w:t>
            </w:r>
            <w:r w:rsidR="00106240" w:rsidRPr="008C5F1C">
              <w:rPr>
                <w:rFonts w:ascii="Times New Roman" w:hAnsi="Times New Roman" w:cs="Times New Roman"/>
                <w:b/>
                <w:bCs/>
              </w:rPr>
              <w:t>ș</w:t>
            </w:r>
            <w:r w:rsidRPr="008C5F1C">
              <w:rPr>
                <w:rFonts w:ascii="Times New Roman" w:hAnsi="Times New Roman" w:cs="Times New Roman"/>
                <w:b/>
                <w:bCs/>
              </w:rPr>
              <w:t>i pre</w:t>
            </w:r>
            <w:r w:rsidR="00106240" w:rsidRPr="008C5F1C">
              <w:rPr>
                <w:rFonts w:ascii="Times New Roman" w:hAnsi="Times New Roman" w:cs="Times New Roman"/>
                <w:b/>
                <w:bCs/>
              </w:rPr>
              <w:t>ș</w:t>
            </w:r>
            <w:r w:rsidRPr="008C5F1C">
              <w:rPr>
                <w:rFonts w:ascii="Times New Roman" w:hAnsi="Times New Roman" w:cs="Times New Roman"/>
                <w:b/>
                <w:bCs/>
              </w:rPr>
              <w:t>colari</w:t>
            </w:r>
            <w:r w:rsidR="00B24811" w:rsidRPr="008C5F1C">
              <w:rPr>
                <w:rFonts w:ascii="Times New Roman" w:hAnsi="Times New Roman" w:cs="Times New Roman"/>
                <w:b/>
                <w:bCs/>
              </w:rPr>
              <w:t xml:space="preserve"> / centre multidisciplinare de tineret</w:t>
            </w:r>
            <w:r w:rsidR="00C50C26" w:rsidRPr="008C5F1C">
              <w:rPr>
                <w:rFonts w:ascii="Times New Roman" w:hAnsi="Times New Roman" w:cs="Times New Roman"/>
                <w:b/>
                <w:bCs/>
              </w:rPr>
              <w:t>;</w:t>
            </w:r>
          </w:p>
          <w:p w14:paraId="1DB37457" w14:textId="23EEEAF2" w:rsidR="00B24811" w:rsidRPr="008C5F1C" w:rsidRDefault="00653571" w:rsidP="00534127">
            <w:pPr>
              <w:spacing w:after="120" w:line="240" w:lineRule="auto"/>
              <w:rPr>
                <w:rFonts w:ascii="Times New Roman" w:hAnsi="Times New Roman" w:cs="Times New Roman"/>
                <w:b/>
                <w:bCs/>
              </w:rPr>
            </w:pPr>
            <w:r w:rsidRPr="008C5F1C">
              <w:rPr>
                <w:rFonts w:ascii="Times New Roman" w:hAnsi="Times New Roman" w:cs="Times New Roman"/>
                <w:b/>
                <w:bCs/>
              </w:rPr>
              <w:t xml:space="preserve">c) Dezvoltarea infrastructurii pentru turismul balnear </w:t>
            </w:r>
            <w:r w:rsidR="00106240" w:rsidRPr="008C5F1C">
              <w:rPr>
                <w:rFonts w:ascii="Times New Roman" w:hAnsi="Times New Roman" w:cs="Times New Roman"/>
                <w:b/>
                <w:bCs/>
              </w:rPr>
              <w:t>ș</w:t>
            </w:r>
            <w:r w:rsidRPr="008C5F1C">
              <w:rPr>
                <w:rFonts w:ascii="Times New Roman" w:hAnsi="Times New Roman" w:cs="Times New Roman"/>
                <w:b/>
                <w:bCs/>
              </w:rPr>
              <w:t xml:space="preserve">i </w:t>
            </w:r>
            <w:proofErr w:type="spellStart"/>
            <w:r w:rsidRPr="008C5F1C">
              <w:rPr>
                <w:rFonts w:ascii="Times New Roman" w:hAnsi="Times New Roman" w:cs="Times New Roman"/>
                <w:b/>
                <w:bCs/>
              </w:rPr>
              <w:t>balneo</w:t>
            </w:r>
            <w:proofErr w:type="spellEnd"/>
            <w:r w:rsidRPr="008C5F1C">
              <w:rPr>
                <w:rFonts w:ascii="Times New Roman" w:hAnsi="Times New Roman" w:cs="Times New Roman"/>
                <w:b/>
                <w:bCs/>
              </w:rPr>
              <w:t>-climateric</w:t>
            </w:r>
            <w:r w:rsidR="00C50C26" w:rsidRPr="008C5F1C">
              <w:rPr>
                <w:rFonts w:ascii="Times New Roman" w:hAnsi="Times New Roman" w:cs="Times New Roman"/>
                <w:b/>
                <w:bCs/>
              </w:rPr>
              <w:t>;</w:t>
            </w:r>
            <w:r w:rsidRPr="008C5F1C">
              <w:rPr>
                <w:rFonts w:ascii="Times New Roman" w:hAnsi="Times New Roman" w:cs="Times New Roman"/>
                <w:b/>
                <w:bCs/>
              </w:rPr>
              <w:t xml:space="preserve"> </w:t>
            </w:r>
          </w:p>
          <w:p w14:paraId="0883020E" w14:textId="73E13149" w:rsidR="00B24811" w:rsidRPr="008C5F1C" w:rsidRDefault="005D3BAB" w:rsidP="00534127">
            <w:pPr>
              <w:spacing w:after="120" w:line="240" w:lineRule="auto"/>
              <w:rPr>
                <w:rFonts w:ascii="Times New Roman" w:hAnsi="Times New Roman" w:cs="Times New Roman"/>
                <w:b/>
                <w:bCs/>
              </w:rPr>
            </w:pPr>
            <w:r w:rsidRPr="008C5F1C">
              <w:rPr>
                <w:rFonts w:ascii="Times New Roman" w:hAnsi="Times New Roman" w:cs="Times New Roman"/>
                <w:b/>
                <w:bCs/>
              </w:rPr>
              <w:t>d</w:t>
            </w:r>
            <w:r w:rsidR="00B24811" w:rsidRPr="008C5F1C">
              <w:rPr>
                <w:rFonts w:ascii="Times New Roman" w:hAnsi="Times New Roman" w:cs="Times New Roman"/>
                <w:b/>
                <w:bCs/>
              </w:rPr>
              <w:t xml:space="preserve">) </w:t>
            </w:r>
            <w:r w:rsidRPr="008C5F1C">
              <w:rPr>
                <w:rFonts w:ascii="Times New Roman" w:hAnsi="Times New Roman" w:cs="Times New Roman"/>
                <w:b/>
                <w:bCs/>
              </w:rPr>
              <w:t>Î</w:t>
            </w:r>
            <w:r w:rsidR="00B24811" w:rsidRPr="008C5F1C">
              <w:rPr>
                <w:rFonts w:ascii="Times New Roman" w:hAnsi="Times New Roman" w:cs="Times New Roman"/>
                <w:b/>
                <w:bCs/>
              </w:rPr>
              <w:t>mbun</w:t>
            </w:r>
            <w:r w:rsidR="00BA7827" w:rsidRPr="008C5F1C">
              <w:rPr>
                <w:rFonts w:ascii="Times New Roman" w:hAnsi="Times New Roman" w:cs="Times New Roman"/>
                <w:b/>
                <w:bCs/>
              </w:rPr>
              <w:t>ă</w:t>
            </w:r>
            <w:r w:rsidR="00B24811" w:rsidRPr="008C5F1C">
              <w:rPr>
                <w:rFonts w:ascii="Times New Roman" w:hAnsi="Times New Roman" w:cs="Times New Roman"/>
                <w:b/>
                <w:bCs/>
              </w:rPr>
              <w:t>t</w:t>
            </w:r>
            <w:r w:rsidR="00BA7827" w:rsidRPr="008C5F1C">
              <w:rPr>
                <w:rFonts w:ascii="Times New Roman" w:hAnsi="Times New Roman" w:cs="Times New Roman"/>
                <w:b/>
                <w:bCs/>
              </w:rPr>
              <w:t>ă</w:t>
            </w:r>
            <w:r w:rsidR="00E22FF2" w:rsidRPr="008C5F1C">
              <w:rPr>
                <w:rFonts w:ascii="Times New Roman" w:hAnsi="Times New Roman" w:cs="Times New Roman"/>
                <w:b/>
                <w:bCs/>
              </w:rPr>
              <w:t>ț</w:t>
            </w:r>
            <w:r w:rsidR="00B24811" w:rsidRPr="008C5F1C">
              <w:rPr>
                <w:rFonts w:ascii="Times New Roman" w:hAnsi="Times New Roman" w:cs="Times New Roman"/>
                <w:b/>
                <w:bCs/>
              </w:rPr>
              <w:t xml:space="preserve">irea accesului </w:t>
            </w:r>
            <w:r w:rsidRPr="008C5F1C">
              <w:rPr>
                <w:rFonts w:ascii="Times New Roman" w:hAnsi="Times New Roman" w:cs="Times New Roman"/>
                <w:b/>
                <w:bCs/>
              </w:rPr>
              <w:t>c</w:t>
            </w:r>
            <w:r w:rsidR="00BA7827" w:rsidRPr="008C5F1C">
              <w:rPr>
                <w:rFonts w:ascii="Times New Roman" w:hAnsi="Times New Roman" w:cs="Times New Roman"/>
                <w:b/>
                <w:bCs/>
              </w:rPr>
              <w:t>ă</w:t>
            </w:r>
            <w:r w:rsidRPr="008C5F1C">
              <w:rPr>
                <w:rFonts w:ascii="Times New Roman" w:hAnsi="Times New Roman" w:cs="Times New Roman"/>
                <w:b/>
                <w:bCs/>
              </w:rPr>
              <w:t>tre</w:t>
            </w:r>
            <w:r w:rsidR="00B24811" w:rsidRPr="008C5F1C">
              <w:rPr>
                <w:rFonts w:ascii="Times New Roman" w:hAnsi="Times New Roman" w:cs="Times New Roman"/>
                <w:b/>
                <w:bCs/>
              </w:rPr>
              <w:t xml:space="preserve"> resursele </w:t>
            </w:r>
            <w:r w:rsidR="00106240" w:rsidRPr="008C5F1C">
              <w:rPr>
                <w:rFonts w:ascii="Times New Roman" w:hAnsi="Times New Roman" w:cs="Times New Roman"/>
                <w:b/>
                <w:bCs/>
              </w:rPr>
              <w:t>ș</w:t>
            </w:r>
            <w:r w:rsidR="00B24811" w:rsidRPr="008C5F1C">
              <w:rPr>
                <w:rFonts w:ascii="Times New Roman" w:hAnsi="Times New Roman" w:cs="Times New Roman"/>
                <w:b/>
                <w:bCs/>
              </w:rPr>
              <w:t>i obiectivele turistice</w:t>
            </w:r>
            <w:r w:rsidR="00CD6BC3" w:rsidRPr="008C5F1C">
              <w:rPr>
                <w:rFonts w:ascii="Times New Roman" w:hAnsi="Times New Roman" w:cs="Times New Roman"/>
                <w:b/>
                <w:bCs/>
              </w:rPr>
              <w:t xml:space="preserve"> sau de patrimoniu</w:t>
            </w:r>
            <w:r w:rsidR="00B24811" w:rsidRPr="008C5F1C">
              <w:rPr>
                <w:rFonts w:ascii="Times New Roman" w:hAnsi="Times New Roman" w:cs="Times New Roman"/>
                <w:b/>
                <w:bCs/>
              </w:rPr>
              <w:t xml:space="preserve"> (ca </w:t>
            </w:r>
            <w:r w:rsidR="00ED402B" w:rsidRPr="008C5F1C">
              <w:rPr>
                <w:rFonts w:ascii="Times New Roman" w:hAnsi="Times New Roman" w:cs="Times New Roman"/>
                <w:b/>
                <w:bCs/>
              </w:rPr>
              <w:t>ac</w:t>
            </w:r>
            <w:r w:rsidR="00E22FF2" w:rsidRPr="008C5F1C">
              <w:rPr>
                <w:rFonts w:ascii="Times New Roman" w:hAnsi="Times New Roman" w:cs="Times New Roman"/>
                <w:b/>
                <w:bCs/>
              </w:rPr>
              <w:t>ț</w:t>
            </w:r>
            <w:r w:rsidR="00ED402B" w:rsidRPr="008C5F1C">
              <w:rPr>
                <w:rFonts w:ascii="Times New Roman" w:hAnsi="Times New Roman" w:cs="Times New Roman"/>
                <w:b/>
                <w:bCs/>
              </w:rPr>
              <w:t>iune</w:t>
            </w:r>
            <w:r w:rsidR="00B24811" w:rsidRPr="008C5F1C">
              <w:rPr>
                <w:rFonts w:ascii="Times New Roman" w:hAnsi="Times New Roman" w:cs="Times New Roman"/>
                <w:b/>
                <w:bCs/>
              </w:rPr>
              <w:t xml:space="preserve"> complementar</w:t>
            </w:r>
            <w:r w:rsidR="00BA7827" w:rsidRPr="008C5F1C">
              <w:rPr>
                <w:rFonts w:ascii="Times New Roman" w:hAnsi="Times New Roman" w:cs="Times New Roman"/>
                <w:b/>
                <w:bCs/>
              </w:rPr>
              <w:t>ă</w:t>
            </w:r>
            <w:r w:rsidR="00B24811" w:rsidRPr="008C5F1C">
              <w:rPr>
                <w:rFonts w:ascii="Times New Roman" w:hAnsi="Times New Roman" w:cs="Times New Roman"/>
                <w:b/>
                <w:bCs/>
              </w:rPr>
              <w:t xml:space="preserve"> celorlalte)</w:t>
            </w:r>
            <w:r w:rsidR="00C50C26" w:rsidRPr="008C5F1C">
              <w:rPr>
                <w:rFonts w:ascii="Times New Roman" w:hAnsi="Times New Roman" w:cs="Times New Roman"/>
                <w:b/>
                <w:bCs/>
              </w:rPr>
              <w:t>.</w:t>
            </w:r>
          </w:p>
          <w:p w14:paraId="7129EB2F" w14:textId="77777777" w:rsidR="00653571" w:rsidRDefault="00323AA9" w:rsidP="00CD6BC3">
            <w:pPr>
              <w:spacing w:after="120" w:line="240" w:lineRule="auto"/>
              <w:rPr>
                <w:rFonts w:ascii="Times New Roman" w:hAnsi="Times New Roman" w:cs="Times New Roman"/>
                <w:b/>
                <w:bCs/>
              </w:rPr>
            </w:pPr>
            <w:r w:rsidRPr="008C5F1C">
              <w:rPr>
                <w:rFonts w:ascii="Times New Roman" w:hAnsi="Times New Roman" w:cs="Times New Roman"/>
                <w:b/>
                <w:bCs/>
              </w:rPr>
              <w:t xml:space="preserve">e) </w:t>
            </w:r>
            <w:r w:rsidR="00CD6BC3" w:rsidRPr="008C5F1C">
              <w:rPr>
                <w:rFonts w:ascii="Times New Roman" w:hAnsi="Times New Roman" w:cs="Times New Roman"/>
                <w:b/>
                <w:bCs/>
              </w:rPr>
              <w:t>Regenerare urban</w:t>
            </w:r>
            <w:r w:rsidR="001A64EA">
              <w:rPr>
                <w:rFonts w:ascii="Times New Roman" w:hAnsi="Times New Roman" w:cs="Times New Roman"/>
                <w:b/>
                <w:bCs/>
              </w:rPr>
              <w:t>ă ș</w:t>
            </w:r>
            <w:r w:rsidR="00CD6BC3" w:rsidRPr="008C5F1C">
              <w:rPr>
                <w:rFonts w:ascii="Times New Roman" w:hAnsi="Times New Roman" w:cs="Times New Roman"/>
                <w:b/>
                <w:bCs/>
              </w:rPr>
              <w:t>i securitate</w:t>
            </w:r>
            <w:r w:rsidR="001A64EA">
              <w:rPr>
                <w:rFonts w:ascii="Times New Roman" w:hAnsi="Times New Roman" w:cs="Times New Roman"/>
                <w:b/>
                <w:bCs/>
              </w:rPr>
              <w:t>a</w:t>
            </w:r>
            <w:r w:rsidR="00CD6BC3" w:rsidRPr="008C5F1C">
              <w:rPr>
                <w:rFonts w:ascii="Times New Roman" w:hAnsi="Times New Roman" w:cs="Times New Roman"/>
                <w:b/>
                <w:bCs/>
              </w:rPr>
              <w:t xml:space="preserve"> spa</w:t>
            </w:r>
            <w:r w:rsidR="001A64EA">
              <w:rPr>
                <w:rFonts w:ascii="Times New Roman" w:hAnsi="Times New Roman" w:cs="Times New Roman"/>
                <w:b/>
                <w:bCs/>
              </w:rPr>
              <w:t>ț</w:t>
            </w:r>
            <w:r w:rsidR="00CD6BC3" w:rsidRPr="008C5F1C">
              <w:rPr>
                <w:rFonts w:ascii="Times New Roman" w:hAnsi="Times New Roman" w:cs="Times New Roman"/>
                <w:b/>
                <w:bCs/>
              </w:rPr>
              <w:t>iilor publice</w:t>
            </w:r>
          </w:p>
          <w:p w14:paraId="0574C742" w14:textId="24B28F23" w:rsidR="001A64EA" w:rsidRPr="008C5F1C" w:rsidRDefault="001A64EA" w:rsidP="00CD6BC3">
            <w:pPr>
              <w:spacing w:after="120" w:line="240" w:lineRule="auto"/>
              <w:rPr>
                <w:rFonts w:ascii="Times New Roman" w:hAnsi="Times New Roman" w:cs="Times New Roman"/>
                <w:bCs/>
              </w:rPr>
            </w:pPr>
          </w:p>
        </w:tc>
      </w:tr>
    </w:tbl>
    <w:p w14:paraId="454FAE33" w14:textId="77777777" w:rsidR="00653571" w:rsidRPr="008C5F1C" w:rsidRDefault="00653571" w:rsidP="00653571">
      <w:pPr>
        <w:spacing w:before="120" w:after="120" w:line="360" w:lineRule="auto"/>
        <w:rPr>
          <w:rFonts w:ascii="Times New Roman" w:eastAsia="Times New Roman" w:hAnsi="Times New Roman" w:cs="Times New Roman"/>
          <w:b/>
          <w:i/>
          <w:iCs/>
          <w:noProof/>
          <w:sz w:val="24"/>
          <w:szCs w:val="24"/>
        </w:rPr>
      </w:pPr>
      <w:r w:rsidRPr="008C5F1C">
        <w:rPr>
          <w:rFonts w:ascii="Times New Roman" w:eastAsia="Times New Roman" w:hAnsi="Times New Roman" w:cs="Times New Roman"/>
          <w:i/>
          <w:noProof/>
          <w:sz w:val="24"/>
          <w:szCs w:val="24"/>
        </w:rPr>
        <w:lastRenderedPageBreak/>
        <w:t>The main target groups - Article 17(3)(d)(iii):</w:t>
      </w:r>
    </w:p>
    <w:p w14:paraId="1CDAC05B" w14:textId="77777777" w:rsidR="00653571" w:rsidRPr="008C5F1C" w:rsidRDefault="00653571" w:rsidP="0065357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iCs/>
          <w:noProof/>
          <w:sz w:val="24"/>
          <w:szCs w:val="24"/>
        </w:rPr>
      </w:pPr>
      <w:r w:rsidRPr="008C5F1C">
        <w:rPr>
          <w:rFonts w:ascii="Times New Roman" w:eastAsia="Times New Roman" w:hAnsi="Times New Roman" w:cs="Times New Roman"/>
          <w:i/>
          <w:iCs/>
          <w:noProof/>
          <w:sz w:val="24"/>
          <w:szCs w:val="24"/>
        </w:rPr>
        <w:t>Text field [1 000]</w:t>
      </w:r>
    </w:p>
    <w:p w14:paraId="08ADCA95" w14:textId="3B6AF4DF" w:rsidR="00CD6BC3" w:rsidRPr="008C5F1C" w:rsidRDefault="005A27A8" w:rsidP="0065357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noProof/>
        </w:rPr>
      </w:pPr>
      <w:r w:rsidRPr="008C5F1C">
        <w:rPr>
          <w:rFonts w:ascii="Times New Roman" w:eastAsia="Times New Roman" w:hAnsi="Times New Roman" w:cs="Times New Roman"/>
          <w:noProof/>
        </w:rPr>
        <w:t>Turi</w:t>
      </w:r>
      <w:r w:rsidR="00106240" w:rsidRPr="008C5F1C">
        <w:rPr>
          <w:rFonts w:ascii="Times New Roman" w:eastAsia="Times New Roman" w:hAnsi="Times New Roman" w:cs="Times New Roman"/>
          <w:noProof/>
        </w:rPr>
        <w:t>ș</w:t>
      </w:r>
      <w:r w:rsidRPr="008C5F1C">
        <w:rPr>
          <w:rFonts w:ascii="Times New Roman" w:eastAsia="Times New Roman" w:hAnsi="Times New Roman" w:cs="Times New Roman"/>
          <w:noProof/>
        </w:rPr>
        <w:t>ti</w:t>
      </w:r>
    </w:p>
    <w:p w14:paraId="48D9BF2F" w14:textId="77777777" w:rsidR="0064260F" w:rsidRPr="008C5F1C" w:rsidRDefault="00ED402B" w:rsidP="0065357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noProof/>
        </w:rPr>
      </w:pPr>
      <w:r w:rsidRPr="008C5F1C">
        <w:rPr>
          <w:rFonts w:ascii="Times New Roman" w:eastAsia="Times New Roman" w:hAnsi="Times New Roman" w:cs="Times New Roman"/>
          <w:noProof/>
        </w:rPr>
        <w:t>Popula</w:t>
      </w:r>
      <w:r w:rsidR="00E22FF2" w:rsidRPr="008C5F1C">
        <w:rPr>
          <w:rFonts w:ascii="Times New Roman" w:eastAsia="Times New Roman" w:hAnsi="Times New Roman" w:cs="Times New Roman"/>
          <w:noProof/>
        </w:rPr>
        <w:t>ț</w:t>
      </w:r>
      <w:r w:rsidRPr="008C5F1C">
        <w:rPr>
          <w:rFonts w:ascii="Times New Roman" w:eastAsia="Times New Roman" w:hAnsi="Times New Roman" w:cs="Times New Roman"/>
          <w:noProof/>
        </w:rPr>
        <w:t xml:space="preserve">ia din </w:t>
      </w:r>
      <w:r w:rsidR="0064260F" w:rsidRPr="008C5F1C">
        <w:rPr>
          <w:rFonts w:ascii="Times New Roman" w:eastAsia="Times New Roman" w:hAnsi="Times New Roman" w:cs="Times New Roman"/>
          <w:noProof/>
        </w:rPr>
        <w:t xml:space="preserve">zonele urbane </w:t>
      </w:r>
      <w:r w:rsidRPr="008C5F1C">
        <w:rPr>
          <w:rFonts w:ascii="Times New Roman" w:eastAsia="Times New Roman" w:hAnsi="Times New Roman" w:cs="Times New Roman"/>
          <w:noProof/>
        </w:rPr>
        <w:t>deservite de infrastructura îmbunătă</w:t>
      </w:r>
      <w:r w:rsidR="00E22FF2" w:rsidRPr="008C5F1C">
        <w:rPr>
          <w:rFonts w:ascii="Times New Roman" w:eastAsia="Times New Roman" w:hAnsi="Times New Roman" w:cs="Times New Roman"/>
          <w:noProof/>
        </w:rPr>
        <w:t>ț</w:t>
      </w:r>
      <w:r w:rsidRPr="008C5F1C">
        <w:rPr>
          <w:rFonts w:ascii="Times New Roman" w:eastAsia="Times New Roman" w:hAnsi="Times New Roman" w:cs="Times New Roman"/>
          <w:noProof/>
        </w:rPr>
        <w:t>ită</w:t>
      </w:r>
    </w:p>
    <w:p w14:paraId="648851E0" w14:textId="77777777" w:rsidR="00653571" w:rsidRPr="008C5F1C" w:rsidRDefault="00653571" w:rsidP="00653571">
      <w:pPr>
        <w:spacing w:before="120" w:after="120" w:line="360" w:lineRule="auto"/>
        <w:rPr>
          <w:rFonts w:ascii="Times New Roman" w:eastAsia="Times New Roman" w:hAnsi="Times New Roman" w:cs="Times New Roman"/>
          <w:i/>
          <w:noProof/>
          <w:sz w:val="24"/>
          <w:szCs w:val="24"/>
        </w:rPr>
      </w:pPr>
      <w:r w:rsidRPr="008C5F1C">
        <w:rPr>
          <w:rFonts w:ascii="Times New Roman" w:eastAsia="Times New Roman" w:hAnsi="Times New Roman" w:cs="Times New Roman"/>
          <w:i/>
          <w:noProof/>
          <w:sz w:val="24"/>
          <w:szCs w:val="24"/>
        </w:rPr>
        <w:lastRenderedPageBreak/>
        <w:t>Specific territories tageted, including the planned use of territorial tools – Article 17(3)(d)(iv)</w:t>
      </w:r>
    </w:p>
    <w:p w14:paraId="5CB9FC7A" w14:textId="5FF5DEDE" w:rsidR="00653571" w:rsidRPr="008C5F1C" w:rsidRDefault="00323AA9" w:rsidP="0065357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iCs/>
          <w:noProof/>
          <w:sz w:val="24"/>
          <w:szCs w:val="24"/>
        </w:rPr>
      </w:pPr>
      <w:r w:rsidRPr="008C5F1C">
        <w:rPr>
          <w:rFonts w:ascii="Times New Roman" w:eastAsia="Times New Roman" w:hAnsi="Times New Roman" w:cs="Times New Roman"/>
          <w:i/>
          <w:iCs/>
          <w:noProof/>
          <w:sz w:val="24"/>
          <w:szCs w:val="24"/>
        </w:rPr>
        <w:t>Zone metropolitane, zone urbane funcționale</w:t>
      </w:r>
      <w:r w:rsidR="00ED5205" w:rsidRPr="008C5F1C">
        <w:rPr>
          <w:rFonts w:ascii="Times New Roman" w:eastAsia="Times New Roman" w:hAnsi="Times New Roman" w:cs="Times New Roman"/>
          <w:i/>
          <w:iCs/>
          <w:noProof/>
          <w:sz w:val="24"/>
          <w:szCs w:val="24"/>
        </w:rPr>
        <w:t>, cartiere urbane</w:t>
      </w:r>
      <w:r w:rsidR="006D1FB9" w:rsidRPr="008C5F1C">
        <w:rPr>
          <w:rFonts w:ascii="Times New Roman" w:eastAsia="Times New Roman" w:hAnsi="Times New Roman" w:cs="Times New Roman"/>
          <w:i/>
          <w:iCs/>
          <w:noProof/>
          <w:sz w:val="24"/>
          <w:szCs w:val="24"/>
        </w:rPr>
        <w:t>.</w:t>
      </w:r>
    </w:p>
    <w:p w14:paraId="6617C90E" w14:textId="4E94061E" w:rsidR="006D1FB9" w:rsidRPr="008C5F1C" w:rsidRDefault="006D1FB9" w:rsidP="00F24910">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Cs/>
          <w:noProof/>
          <w:szCs w:val="20"/>
        </w:rPr>
      </w:pPr>
      <w:r w:rsidRPr="008C5F1C">
        <w:rPr>
          <w:rFonts w:ascii="Times New Roman" w:eastAsia="Times New Roman" w:hAnsi="Times New Roman" w:cs="Times New Roman"/>
          <w:iCs/>
          <w:noProof/>
          <w:szCs w:val="20"/>
        </w:rPr>
        <w:t>Accesarea fondurilor va continua să fie condiționată de existența Strategiilor Integrate de Dezvoltare Urbană (SIDU) și de justificări bazate pe dovezi în ceea ce privește oportunitatea și rolul investițiilor în ansamblul dezvoltării. În funcție de situație, SIDU vor fi însoțite de Planuri de Mobilitate Urbană Durabilă sau de alte  și alte strategii relevante la nivel regional sau local.</w:t>
      </w:r>
    </w:p>
    <w:p w14:paraId="39891E24" w14:textId="77777777" w:rsidR="00653571" w:rsidRPr="008C5F1C" w:rsidRDefault="00653571" w:rsidP="00653571">
      <w:pPr>
        <w:spacing w:before="120" w:after="120" w:line="360" w:lineRule="auto"/>
        <w:rPr>
          <w:rFonts w:ascii="Times New Roman" w:eastAsia="Times New Roman" w:hAnsi="Times New Roman" w:cs="Times New Roman"/>
          <w:b/>
          <w:i/>
          <w:iCs/>
          <w:noProof/>
          <w:sz w:val="24"/>
          <w:szCs w:val="24"/>
        </w:rPr>
      </w:pPr>
      <w:r w:rsidRPr="008C5F1C">
        <w:rPr>
          <w:rFonts w:ascii="Times New Roman" w:eastAsia="Times New Roman" w:hAnsi="Times New Roman" w:cs="Times New Roman"/>
          <w:i/>
          <w:noProof/>
          <w:sz w:val="24"/>
          <w:szCs w:val="24"/>
        </w:rPr>
        <w:t>The interregional and transnational actions  –Article – 17(3)(d)(v)</w:t>
      </w:r>
    </w:p>
    <w:p w14:paraId="5C560ED0" w14:textId="77777777" w:rsidR="00653571" w:rsidRPr="008C5F1C" w:rsidRDefault="00653571" w:rsidP="0065357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rPr>
      </w:pPr>
      <w:r w:rsidRPr="008C5F1C">
        <w:rPr>
          <w:rFonts w:ascii="Times New Roman" w:eastAsia="Times New Roman" w:hAnsi="Times New Roman" w:cs="Times New Roman"/>
          <w:i/>
          <w:iCs/>
          <w:noProof/>
          <w:sz w:val="24"/>
          <w:szCs w:val="24"/>
        </w:rPr>
        <w:t>Text field [2 000]</w:t>
      </w:r>
    </w:p>
    <w:p w14:paraId="6C832331" w14:textId="77777777" w:rsidR="00653571" w:rsidRPr="008C5F1C" w:rsidRDefault="00653571" w:rsidP="00653571">
      <w:pPr>
        <w:spacing w:before="120" w:after="120" w:line="360" w:lineRule="auto"/>
        <w:rPr>
          <w:rFonts w:ascii="Times New Roman" w:eastAsia="Times New Roman" w:hAnsi="Times New Roman" w:cs="Times New Roman"/>
          <w:b/>
          <w:i/>
          <w:iCs/>
          <w:noProof/>
          <w:sz w:val="24"/>
          <w:szCs w:val="24"/>
        </w:rPr>
      </w:pPr>
      <w:r w:rsidRPr="008C5F1C">
        <w:rPr>
          <w:rFonts w:ascii="Times New Roman" w:eastAsia="Times New Roman" w:hAnsi="Times New Roman" w:cs="Times New Roman"/>
          <w:i/>
          <w:noProof/>
          <w:sz w:val="24"/>
          <w:szCs w:val="24"/>
        </w:rPr>
        <w:t>The planned use of financial instruments – Article – 17(3)(d)(vi)</w:t>
      </w:r>
    </w:p>
    <w:p w14:paraId="7DEA02A3" w14:textId="77777777" w:rsidR="00653571" w:rsidRPr="008C5F1C" w:rsidRDefault="00653571" w:rsidP="0065357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rPr>
      </w:pPr>
      <w:r w:rsidRPr="008C5F1C">
        <w:rPr>
          <w:rFonts w:ascii="Times New Roman" w:eastAsia="Times New Roman" w:hAnsi="Times New Roman" w:cs="Times New Roman"/>
          <w:i/>
          <w:iCs/>
          <w:noProof/>
          <w:sz w:val="24"/>
          <w:szCs w:val="24"/>
        </w:rPr>
        <w:t>Text field [1 000]</w:t>
      </w:r>
    </w:p>
    <w:p w14:paraId="15742087" w14:textId="77777777" w:rsidR="00653571" w:rsidRPr="008C5F1C" w:rsidRDefault="00653571" w:rsidP="00653571">
      <w:pPr>
        <w:pStyle w:val="Heading4"/>
        <w:numPr>
          <w:ilvl w:val="0"/>
          <w:numId w:val="0"/>
        </w:numPr>
        <w:ind w:left="851" w:hanging="851"/>
        <w:rPr>
          <w:rFonts w:cs="Times New Roman"/>
          <w:b/>
          <w:bCs/>
          <w:lang w:val="ro-RO"/>
        </w:rPr>
      </w:pPr>
      <w:r w:rsidRPr="008C5F1C">
        <w:rPr>
          <w:rFonts w:cs="Times New Roman"/>
          <w:b/>
          <w:bCs/>
          <w:lang w:val="ro-RO"/>
        </w:rPr>
        <w:t xml:space="preserve">2.A.3.2 </w:t>
      </w:r>
      <w:proofErr w:type="spellStart"/>
      <w:r w:rsidRPr="008C5F1C">
        <w:rPr>
          <w:rFonts w:cs="Times New Roman"/>
          <w:b/>
          <w:bCs/>
          <w:lang w:val="ro-RO"/>
        </w:rPr>
        <w:t>Indicators</w:t>
      </w:r>
      <w:proofErr w:type="spellEnd"/>
    </w:p>
    <w:p w14:paraId="23109185" w14:textId="77777777" w:rsidR="00653571" w:rsidRPr="008C5F1C" w:rsidRDefault="00653571" w:rsidP="00653571">
      <w:pPr>
        <w:rPr>
          <w:rFonts w:ascii="Times New Roman" w:hAnsi="Times New Roman" w:cs="Times New Roman"/>
          <w:b/>
          <w:bCs/>
          <w:i/>
          <w:u w:val="single"/>
        </w:rPr>
      </w:pPr>
      <w:proofErr w:type="spellStart"/>
      <w:r w:rsidRPr="008C5F1C">
        <w:rPr>
          <w:rFonts w:ascii="Times New Roman" w:hAnsi="Times New Roman" w:cs="Times New Roman"/>
          <w:i/>
        </w:rPr>
        <w:t>Reference</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Article</w:t>
      </w:r>
      <w:proofErr w:type="spellEnd"/>
      <w:r w:rsidRPr="008C5F1C">
        <w:rPr>
          <w:rFonts w:ascii="Times New Roman" w:hAnsi="Times New Roman" w:cs="Times New Roman"/>
          <w:i/>
        </w:rPr>
        <w:t xml:space="preserve"> 17(3)(d)(ii) CPR </w:t>
      </w:r>
    </w:p>
    <w:tbl>
      <w:tblPr>
        <w:tblW w:w="51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8"/>
        <w:gridCol w:w="1362"/>
        <w:gridCol w:w="626"/>
        <w:gridCol w:w="874"/>
        <w:gridCol w:w="545"/>
        <w:gridCol w:w="2218"/>
        <w:gridCol w:w="1159"/>
        <w:gridCol w:w="1054"/>
        <w:gridCol w:w="1307"/>
      </w:tblGrid>
      <w:tr w:rsidR="00653571" w:rsidRPr="008C5F1C" w14:paraId="40482FED" w14:textId="77777777" w:rsidTr="00025529">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4DAB50D1" w14:textId="77777777" w:rsidR="00653571" w:rsidRPr="008C5F1C" w:rsidRDefault="00653571" w:rsidP="00534127">
            <w:pPr>
              <w:rPr>
                <w:rFonts w:ascii="Times New Roman" w:hAnsi="Times New Roman" w:cs="Times New Roman"/>
                <w:b/>
              </w:rPr>
            </w:pPr>
            <w:r w:rsidRPr="008C5F1C">
              <w:rPr>
                <w:rFonts w:ascii="Times New Roman" w:hAnsi="Times New Roman" w:cs="Times New Roman"/>
                <w:b/>
                <w:iCs/>
              </w:rPr>
              <w:t xml:space="preserve">Table 2: Output </w:t>
            </w:r>
            <w:proofErr w:type="spellStart"/>
            <w:r w:rsidRPr="008C5F1C">
              <w:rPr>
                <w:rFonts w:ascii="Times New Roman" w:hAnsi="Times New Roman" w:cs="Times New Roman"/>
                <w:b/>
                <w:iCs/>
              </w:rPr>
              <w:t>indicators</w:t>
            </w:r>
            <w:proofErr w:type="spellEnd"/>
          </w:p>
        </w:tc>
      </w:tr>
      <w:tr w:rsidR="00653571" w:rsidRPr="008C5F1C" w14:paraId="09CEB9A7" w14:textId="77777777" w:rsidTr="00025529">
        <w:trPr>
          <w:trHeight w:val="1023"/>
        </w:trPr>
        <w:tc>
          <w:tcPr>
            <w:tcW w:w="383" w:type="pct"/>
            <w:tcBorders>
              <w:top w:val="single" w:sz="4" w:space="0" w:color="auto"/>
              <w:left w:val="single" w:sz="4" w:space="0" w:color="auto"/>
              <w:bottom w:val="single" w:sz="4" w:space="0" w:color="auto"/>
              <w:right w:val="single" w:sz="4" w:space="0" w:color="auto"/>
            </w:tcBorders>
            <w:hideMark/>
          </w:tcPr>
          <w:p w14:paraId="2C63744F"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Priority</w:t>
            </w:r>
            <w:proofErr w:type="spellEnd"/>
            <w:r w:rsidRPr="008C5F1C">
              <w:rPr>
                <w:rFonts w:ascii="Times New Roman" w:hAnsi="Times New Roman" w:cs="Times New Roman"/>
                <w:b/>
                <w:sz w:val="16"/>
                <w:szCs w:val="16"/>
              </w:rPr>
              <w:t xml:space="preserve"> </w:t>
            </w:r>
          </w:p>
        </w:tc>
        <w:tc>
          <w:tcPr>
            <w:tcW w:w="688" w:type="pct"/>
            <w:tcBorders>
              <w:top w:val="single" w:sz="4" w:space="0" w:color="auto"/>
              <w:left w:val="single" w:sz="4" w:space="0" w:color="auto"/>
              <w:bottom w:val="single" w:sz="4" w:space="0" w:color="auto"/>
              <w:right w:val="single" w:sz="4" w:space="0" w:color="auto"/>
            </w:tcBorders>
            <w:hideMark/>
          </w:tcPr>
          <w:p w14:paraId="7E71D309"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 xml:space="preserve">Specific </w:t>
            </w:r>
            <w:proofErr w:type="spellStart"/>
            <w:r w:rsidRPr="008C5F1C">
              <w:rPr>
                <w:rFonts w:ascii="Times New Roman" w:hAnsi="Times New Roman" w:cs="Times New Roman"/>
                <w:b/>
                <w:sz w:val="16"/>
                <w:szCs w:val="16"/>
              </w:rPr>
              <w:t>objective</w:t>
            </w:r>
            <w:proofErr w:type="spellEnd"/>
            <w:r w:rsidRPr="008C5F1C">
              <w:rPr>
                <w:rFonts w:ascii="Times New Roman" w:hAnsi="Times New Roman" w:cs="Times New Roman"/>
                <w:b/>
                <w:sz w:val="16"/>
                <w:szCs w:val="16"/>
              </w:rPr>
              <w:t xml:space="preserve"> (Investment for </w:t>
            </w:r>
            <w:proofErr w:type="spellStart"/>
            <w:r w:rsidRPr="008C5F1C">
              <w:rPr>
                <w:rFonts w:ascii="Times New Roman" w:hAnsi="Times New Roman" w:cs="Times New Roman"/>
                <w:b/>
                <w:sz w:val="16"/>
                <w:szCs w:val="16"/>
              </w:rPr>
              <w:t>Jobs</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and</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Growth</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goal</w:t>
            </w:r>
            <w:proofErr w:type="spellEnd"/>
            <w:r w:rsidRPr="008C5F1C">
              <w:rPr>
                <w:rFonts w:ascii="Times New Roman" w:hAnsi="Times New Roman" w:cs="Times New Roman"/>
                <w:b/>
                <w:sz w:val="16"/>
                <w:szCs w:val="16"/>
              </w:rPr>
              <w:t xml:space="preserve"> or EMFF)</w:t>
            </w:r>
          </w:p>
        </w:tc>
        <w:tc>
          <w:tcPr>
            <w:tcW w:w="316" w:type="pct"/>
            <w:tcBorders>
              <w:top w:val="single" w:sz="4" w:space="0" w:color="auto"/>
              <w:left w:val="single" w:sz="4" w:space="0" w:color="auto"/>
              <w:bottom w:val="single" w:sz="4" w:space="0" w:color="auto"/>
              <w:right w:val="single" w:sz="4" w:space="0" w:color="auto"/>
            </w:tcBorders>
            <w:hideMark/>
          </w:tcPr>
          <w:p w14:paraId="6FBA0663"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Fund</w:t>
            </w:r>
          </w:p>
        </w:tc>
        <w:tc>
          <w:tcPr>
            <w:tcW w:w="441" w:type="pct"/>
            <w:tcBorders>
              <w:top w:val="single" w:sz="4" w:space="0" w:color="auto"/>
              <w:left w:val="single" w:sz="4" w:space="0" w:color="auto"/>
              <w:bottom w:val="single" w:sz="4" w:space="0" w:color="auto"/>
              <w:right w:val="single" w:sz="4" w:space="0" w:color="auto"/>
            </w:tcBorders>
            <w:hideMark/>
          </w:tcPr>
          <w:p w14:paraId="4E940990"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Category</w:t>
            </w:r>
            <w:proofErr w:type="spellEnd"/>
            <w:r w:rsidRPr="008C5F1C">
              <w:rPr>
                <w:rFonts w:ascii="Times New Roman" w:hAnsi="Times New Roman" w:cs="Times New Roman"/>
                <w:b/>
                <w:sz w:val="16"/>
                <w:szCs w:val="16"/>
              </w:rPr>
              <w:t xml:space="preserve"> of </w:t>
            </w:r>
            <w:proofErr w:type="spellStart"/>
            <w:r w:rsidRPr="008C5F1C">
              <w:rPr>
                <w:rFonts w:ascii="Times New Roman" w:hAnsi="Times New Roman" w:cs="Times New Roman"/>
                <w:b/>
                <w:sz w:val="16"/>
                <w:szCs w:val="16"/>
              </w:rPr>
              <w:t>region</w:t>
            </w:r>
            <w:proofErr w:type="spellEnd"/>
          </w:p>
        </w:tc>
        <w:tc>
          <w:tcPr>
            <w:tcW w:w="275" w:type="pct"/>
            <w:tcBorders>
              <w:top w:val="single" w:sz="4" w:space="0" w:color="auto"/>
              <w:left w:val="single" w:sz="4" w:space="0" w:color="auto"/>
              <w:bottom w:val="single" w:sz="4" w:space="0" w:color="auto"/>
              <w:right w:val="single" w:sz="4" w:space="0" w:color="auto"/>
            </w:tcBorders>
            <w:hideMark/>
          </w:tcPr>
          <w:p w14:paraId="203FAE0F"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ID [5]</w:t>
            </w:r>
          </w:p>
        </w:tc>
        <w:tc>
          <w:tcPr>
            <w:tcW w:w="1120" w:type="pct"/>
            <w:tcBorders>
              <w:top w:val="single" w:sz="4" w:space="0" w:color="auto"/>
              <w:left w:val="single" w:sz="4" w:space="0" w:color="auto"/>
              <w:bottom w:val="single" w:sz="4" w:space="0" w:color="auto"/>
              <w:right w:val="single" w:sz="4" w:space="0" w:color="auto"/>
            </w:tcBorders>
            <w:hideMark/>
          </w:tcPr>
          <w:p w14:paraId="460539A2"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 xml:space="preserve">Indicator [255] </w:t>
            </w:r>
          </w:p>
        </w:tc>
        <w:tc>
          <w:tcPr>
            <w:tcW w:w="585" w:type="pct"/>
            <w:tcBorders>
              <w:top w:val="single" w:sz="4" w:space="0" w:color="auto"/>
              <w:left w:val="single" w:sz="4" w:space="0" w:color="auto"/>
              <w:bottom w:val="single" w:sz="4" w:space="0" w:color="auto"/>
              <w:right w:val="single" w:sz="4" w:space="0" w:color="auto"/>
            </w:tcBorders>
            <w:hideMark/>
          </w:tcPr>
          <w:p w14:paraId="5180E0EE"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Measurement</w:t>
            </w:r>
            <w:proofErr w:type="spellEnd"/>
            <w:r w:rsidRPr="008C5F1C">
              <w:rPr>
                <w:rFonts w:ascii="Times New Roman" w:hAnsi="Times New Roman" w:cs="Times New Roman"/>
                <w:b/>
                <w:sz w:val="16"/>
                <w:szCs w:val="16"/>
              </w:rPr>
              <w:t xml:space="preserve"> unit</w:t>
            </w:r>
          </w:p>
        </w:tc>
        <w:tc>
          <w:tcPr>
            <w:tcW w:w="532" w:type="pct"/>
            <w:tcBorders>
              <w:top w:val="single" w:sz="4" w:space="0" w:color="auto"/>
              <w:left w:val="single" w:sz="4" w:space="0" w:color="auto"/>
              <w:bottom w:val="single" w:sz="4" w:space="0" w:color="auto"/>
              <w:right w:val="single" w:sz="4" w:space="0" w:color="auto"/>
            </w:tcBorders>
          </w:tcPr>
          <w:p w14:paraId="5841E593"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Milestone</w:t>
            </w:r>
            <w:proofErr w:type="spellEnd"/>
            <w:r w:rsidRPr="008C5F1C">
              <w:rPr>
                <w:rFonts w:ascii="Times New Roman" w:hAnsi="Times New Roman" w:cs="Times New Roman"/>
                <w:b/>
                <w:sz w:val="16"/>
                <w:szCs w:val="16"/>
              </w:rPr>
              <w:t xml:space="preserve"> (2024)</w:t>
            </w:r>
          </w:p>
          <w:p w14:paraId="73110D71" w14:textId="77777777" w:rsidR="00653571" w:rsidRPr="008C5F1C" w:rsidRDefault="00653571" w:rsidP="00534127">
            <w:pPr>
              <w:rPr>
                <w:rFonts w:ascii="Times New Roman" w:hAnsi="Times New Roman" w:cs="Times New Roman"/>
                <w:b/>
                <w:sz w:val="16"/>
                <w:szCs w:val="16"/>
              </w:rPr>
            </w:pPr>
          </w:p>
        </w:tc>
        <w:tc>
          <w:tcPr>
            <w:tcW w:w="660" w:type="pct"/>
            <w:tcBorders>
              <w:top w:val="single" w:sz="4" w:space="0" w:color="auto"/>
              <w:left w:val="single" w:sz="4" w:space="0" w:color="auto"/>
              <w:bottom w:val="single" w:sz="4" w:space="0" w:color="auto"/>
              <w:right w:val="single" w:sz="4" w:space="0" w:color="auto"/>
            </w:tcBorders>
          </w:tcPr>
          <w:p w14:paraId="703DAE78"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Target (2029)</w:t>
            </w:r>
          </w:p>
          <w:p w14:paraId="095B2CB4" w14:textId="77777777" w:rsidR="00653571" w:rsidRPr="008C5F1C" w:rsidRDefault="00653571" w:rsidP="00534127">
            <w:pPr>
              <w:rPr>
                <w:rFonts w:ascii="Times New Roman" w:hAnsi="Times New Roman" w:cs="Times New Roman"/>
                <w:b/>
                <w:sz w:val="16"/>
                <w:szCs w:val="16"/>
              </w:rPr>
            </w:pPr>
          </w:p>
        </w:tc>
      </w:tr>
      <w:tr w:rsidR="00005C41" w:rsidRPr="008C5F1C" w14:paraId="2CA10FBF" w14:textId="77777777" w:rsidTr="001F5C48">
        <w:trPr>
          <w:trHeight w:val="340"/>
        </w:trPr>
        <w:tc>
          <w:tcPr>
            <w:tcW w:w="383" w:type="pct"/>
            <w:vMerge w:val="restart"/>
            <w:tcBorders>
              <w:top w:val="single" w:sz="4" w:space="0" w:color="auto"/>
              <w:left w:val="single" w:sz="4" w:space="0" w:color="auto"/>
              <w:right w:val="single" w:sz="4" w:space="0" w:color="auto"/>
            </w:tcBorders>
          </w:tcPr>
          <w:p w14:paraId="5AB5015A" w14:textId="77777777" w:rsidR="00005C41" w:rsidRPr="008C5F1C" w:rsidRDefault="00005C41" w:rsidP="00534127">
            <w:pPr>
              <w:rPr>
                <w:rFonts w:ascii="Times New Roman" w:hAnsi="Times New Roman" w:cs="Times New Roman"/>
                <w:bCs/>
                <w:iCs/>
                <w:sz w:val="16"/>
                <w:szCs w:val="16"/>
              </w:rPr>
            </w:pPr>
            <w:r w:rsidRPr="008C5F1C">
              <w:rPr>
                <w:rFonts w:ascii="Times New Roman" w:hAnsi="Times New Roman" w:cs="Times New Roman"/>
                <w:bCs/>
                <w:iCs/>
                <w:sz w:val="16"/>
                <w:szCs w:val="16"/>
              </w:rPr>
              <w:t>6</w:t>
            </w:r>
          </w:p>
        </w:tc>
        <w:tc>
          <w:tcPr>
            <w:tcW w:w="688" w:type="pct"/>
            <w:vMerge w:val="restart"/>
            <w:tcBorders>
              <w:top w:val="single" w:sz="4" w:space="0" w:color="auto"/>
              <w:left w:val="single" w:sz="4" w:space="0" w:color="auto"/>
              <w:right w:val="single" w:sz="4" w:space="0" w:color="auto"/>
            </w:tcBorders>
          </w:tcPr>
          <w:p w14:paraId="6D01B0AF" w14:textId="77777777" w:rsidR="00005C41" w:rsidRPr="008C5F1C" w:rsidRDefault="00005C41" w:rsidP="00534127">
            <w:pPr>
              <w:rPr>
                <w:rFonts w:ascii="Times New Roman" w:hAnsi="Times New Roman" w:cs="Times New Roman"/>
                <w:bCs/>
                <w:iCs/>
                <w:sz w:val="16"/>
                <w:szCs w:val="16"/>
              </w:rPr>
            </w:pPr>
            <w:r w:rsidRPr="008C5F1C">
              <w:rPr>
                <w:rFonts w:ascii="Times New Roman" w:hAnsi="Times New Roman" w:cs="Times New Roman"/>
                <w:bCs/>
                <w:iCs/>
                <w:sz w:val="16"/>
                <w:szCs w:val="16"/>
              </w:rPr>
              <w:t>e (i) Favorizarea dezvoltării integrate sociale, economice și de mediu la nivel local și a patrimoniului cultural, turismului și securității în zonele urbane</w:t>
            </w:r>
          </w:p>
        </w:tc>
        <w:tc>
          <w:tcPr>
            <w:tcW w:w="316" w:type="pct"/>
            <w:vMerge w:val="restart"/>
            <w:tcBorders>
              <w:top w:val="single" w:sz="4" w:space="0" w:color="auto"/>
              <w:left w:val="single" w:sz="4" w:space="0" w:color="auto"/>
              <w:right w:val="single" w:sz="4" w:space="0" w:color="auto"/>
            </w:tcBorders>
          </w:tcPr>
          <w:p w14:paraId="74E4255A" w14:textId="77777777" w:rsidR="00005C41" w:rsidRPr="008C5F1C" w:rsidRDefault="00005C41" w:rsidP="00534127">
            <w:pPr>
              <w:rPr>
                <w:rFonts w:ascii="Times New Roman" w:hAnsi="Times New Roman" w:cs="Times New Roman"/>
                <w:bCs/>
                <w:iCs/>
                <w:sz w:val="16"/>
                <w:szCs w:val="16"/>
              </w:rPr>
            </w:pPr>
            <w:r w:rsidRPr="008C5F1C">
              <w:rPr>
                <w:rFonts w:ascii="Times New Roman" w:hAnsi="Times New Roman" w:cs="Times New Roman"/>
                <w:noProof/>
                <w:sz w:val="16"/>
                <w:szCs w:val="16"/>
              </w:rPr>
              <w:t>FEDR</w:t>
            </w:r>
          </w:p>
        </w:tc>
        <w:tc>
          <w:tcPr>
            <w:tcW w:w="441" w:type="pct"/>
            <w:vMerge w:val="restart"/>
            <w:tcBorders>
              <w:top w:val="single" w:sz="4" w:space="0" w:color="auto"/>
              <w:left w:val="single" w:sz="4" w:space="0" w:color="auto"/>
              <w:right w:val="single" w:sz="4" w:space="0" w:color="auto"/>
            </w:tcBorders>
          </w:tcPr>
          <w:p w14:paraId="6F79F098" w14:textId="77777777" w:rsidR="00005C41" w:rsidRPr="008C5F1C" w:rsidRDefault="00005C41" w:rsidP="00534127">
            <w:pPr>
              <w:rPr>
                <w:rFonts w:ascii="Times New Roman" w:hAnsi="Times New Roman" w:cs="Times New Roman"/>
                <w:bCs/>
                <w:iCs/>
                <w:sz w:val="16"/>
                <w:szCs w:val="16"/>
              </w:rPr>
            </w:pPr>
            <w:r w:rsidRPr="008C5F1C">
              <w:rPr>
                <w:rFonts w:ascii="Times New Roman" w:hAnsi="Times New Roman" w:cs="Times New Roman"/>
                <w:noProof/>
                <w:sz w:val="16"/>
                <w:szCs w:val="16"/>
              </w:rPr>
              <w:t>Mai puțin dezvoltate</w:t>
            </w:r>
          </w:p>
        </w:tc>
        <w:tc>
          <w:tcPr>
            <w:tcW w:w="275" w:type="pct"/>
            <w:tcBorders>
              <w:top w:val="single" w:sz="4" w:space="0" w:color="auto"/>
              <w:left w:val="single" w:sz="4" w:space="0" w:color="auto"/>
              <w:bottom w:val="single" w:sz="4" w:space="0" w:color="auto"/>
              <w:right w:val="single" w:sz="4" w:space="0" w:color="auto"/>
            </w:tcBorders>
          </w:tcPr>
          <w:p w14:paraId="340FDDA6" w14:textId="77777777" w:rsidR="00005C41" w:rsidRPr="008C5F1C" w:rsidRDefault="00005C41" w:rsidP="00534127">
            <w:pPr>
              <w:rPr>
                <w:rFonts w:ascii="Times New Roman" w:hAnsi="Times New Roman" w:cs="Times New Roman"/>
                <w:bCs/>
                <w:iCs/>
                <w:sz w:val="16"/>
                <w:szCs w:val="16"/>
              </w:rPr>
            </w:pPr>
            <w:r w:rsidRPr="008C5F1C">
              <w:rPr>
                <w:rFonts w:ascii="Times New Roman" w:hAnsi="Times New Roman" w:cs="Times New Roman"/>
                <w:bCs/>
                <w:iCs/>
                <w:sz w:val="16"/>
                <w:szCs w:val="16"/>
              </w:rPr>
              <w:t xml:space="preserve">RCO 77 </w:t>
            </w:r>
          </w:p>
          <w:p w14:paraId="5FB6E878" w14:textId="77777777" w:rsidR="00005C41" w:rsidRPr="008C5F1C" w:rsidRDefault="00005C41" w:rsidP="00534127">
            <w:pPr>
              <w:rPr>
                <w:rFonts w:ascii="Times New Roman" w:hAnsi="Times New Roman" w:cs="Times New Roman"/>
                <w:bCs/>
                <w:iCs/>
                <w:sz w:val="16"/>
                <w:szCs w:val="16"/>
              </w:rPr>
            </w:pPr>
          </w:p>
        </w:tc>
        <w:tc>
          <w:tcPr>
            <w:tcW w:w="1120" w:type="pct"/>
            <w:tcBorders>
              <w:top w:val="single" w:sz="4" w:space="0" w:color="auto"/>
              <w:left w:val="single" w:sz="4" w:space="0" w:color="auto"/>
              <w:bottom w:val="single" w:sz="4" w:space="0" w:color="auto"/>
              <w:right w:val="single" w:sz="4" w:space="0" w:color="auto"/>
            </w:tcBorders>
          </w:tcPr>
          <w:p w14:paraId="07012228" w14:textId="77777777" w:rsidR="00005C41" w:rsidRPr="008C5F1C" w:rsidRDefault="00005C41" w:rsidP="00534127">
            <w:pPr>
              <w:rPr>
                <w:rFonts w:ascii="Times New Roman" w:hAnsi="Times New Roman" w:cs="Times New Roman"/>
                <w:bCs/>
                <w:iCs/>
                <w:sz w:val="16"/>
                <w:szCs w:val="16"/>
              </w:rPr>
            </w:pPr>
            <w:r w:rsidRPr="008C5F1C">
              <w:rPr>
                <w:rFonts w:ascii="Times New Roman" w:hAnsi="Times New Roman" w:cs="Times New Roman"/>
                <w:bCs/>
                <w:iCs/>
                <w:sz w:val="16"/>
                <w:szCs w:val="16"/>
              </w:rPr>
              <w:t xml:space="preserve">RCO 77 – </w:t>
            </w:r>
            <w:proofErr w:type="spellStart"/>
            <w:r w:rsidRPr="008C5F1C">
              <w:rPr>
                <w:rFonts w:ascii="Times New Roman" w:hAnsi="Times New Roman" w:cs="Times New Roman"/>
                <w:bCs/>
                <w:iCs/>
                <w:sz w:val="16"/>
                <w:szCs w:val="16"/>
              </w:rPr>
              <w:t>Numarul</w:t>
            </w:r>
            <w:proofErr w:type="spellEnd"/>
            <w:r w:rsidRPr="008C5F1C">
              <w:rPr>
                <w:rFonts w:ascii="Times New Roman" w:hAnsi="Times New Roman" w:cs="Times New Roman"/>
                <w:bCs/>
                <w:iCs/>
                <w:sz w:val="16"/>
                <w:szCs w:val="16"/>
              </w:rPr>
              <w:t xml:space="preserve"> infrastructurilor culturale și turistice care beneficiază de sprijin</w:t>
            </w:r>
          </w:p>
          <w:p w14:paraId="518814D9" w14:textId="77777777" w:rsidR="00005C41" w:rsidRPr="008C5F1C" w:rsidRDefault="00005C41" w:rsidP="00534127">
            <w:pPr>
              <w:rPr>
                <w:rFonts w:ascii="Times New Roman" w:hAnsi="Times New Roman" w:cs="Times New Roman"/>
                <w:bCs/>
                <w:iCs/>
                <w:sz w:val="16"/>
                <w:szCs w:val="16"/>
              </w:rPr>
            </w:pPr>
          </w:p>
        </w:tc>
        <w:tc>
          <w:tcPr>
            <w:tcW w:w="585" w:type="pct"/>
            <w:tcBorders>
              <w:top w:val="single" w:sz="4" w:space="0" w:color="auto"/>
              <w:left w:val="single" w:sz="4" w:space="0" w:color="auto"/>
              <w:bottom w:val="single" w:sz="4" w:space="0" w:color="auto"/>
              <w:right w:val="single" w:sz="4" w:space="0" w:color="auto"/>
            </w:tcBorders>
          </w:tcPr>
          <w:p w14:paraId="6C94AB23" w14:textId="77777777" w:rsidR="00005C41" w:rsidRPr="008C5F1C" w:rsidRDefault="00005C41" w:rsidP="00534127">
            <w:pPr>
              <w:rPr>
                <w:rFonts w:ascii="Times New Roman" w:hAnsi="Times New Roman" w:cs="Times New Roman"/>
                <w:bCs/>
                <w:iCs/>
                <w:sz w:val="16"/>
                <w:szCs w:val="16"/>
              </w:rPr>
            </w:pPr>
            <w:r w:rsidRPr="008C5F1C">
              <w:rPr>
                <w:rFonts w:ascii="Times New Roman" w:hAnsi="Times New Roman" w:cs="Times New Roman"/>
                <w:bCs/>
                <w:iCs/>
                <w:sz w:val="16"/>
                <w:szCs w:val="16"/>
              </w:rPr>
              <w:t>Nr.</w:t>
            </w:r>
          </w:p>
        </w:tc>
        <w:tc>
          <w:tcPr>
            <w:tcW w:w="532" w:type="pct"/>
            <w:tcBorders>
              <w:top w:val="single" w:sz="4" w:space="0" w:color="auto"/>
              <w:left w:val="single" w:sz="4" w:space="0" w:color="auto"/>
              <w:bottom w:val="single" w:sz="4" w:space="0" w:color="auto"/>
              <w:right w:val="single" w:sz="4" w:space="0" w:color="auto"/>
            </w:tcBorders>
          </w:tcPr>
          <w:p w14:paraId="1E76438B" w14:textId="4A76AAB7" w:rsidR="00005C41" w:rsidRPr="008C5F1C" w:rsidRDefault="00005C41" w:rsidP="00534127">
            <w:pPr>
              <w:rPr>
                <w:rFonts w:ascii="Times New Roman" w:hAnsi="Times New Roman" w:cs="Times New Roman"/>
                <w:bCs/>
                <w:iCs/>
                <w:sz w:val="16"/>
                <w:szCs w:val="16"/>
              </w:rPr>
            </w:pPr>
            <w:r w:rsidRPr="008C5F1C">
              <w:rPr>
                <w:rFonts w:ascii="Times New Roman" w:hAnsi="Times New Roman" w:cs="Times New Roman"/>
                <w:bCs/>
                <w:iCs/>
                <w:sz w:val="16"/>
                <w:szCs w:val="16"/>
              </w:rPr>
              <w:t>4</w:t>
            </w:r>
          </w:p>
        </w:tc>
        <w:tc>
          <w:tcPr>
            <w:tcW w:w="660" w:type="pct"/>
            <w:tcBorders>
              <w:top w:val="single" w:sz="4" w:space="0" w:color="auto"/>
              <w:left w:val="single" w:sz="4" w:space="0" w:color="auto"/>
              <w:bottom w:val="single" w:sz="4" w:space="0" w:color="auto"/>
              <w:right w:val="single" w:sz="4" w:space="0" w:color="auto"/>
            </w:tcBorders>
          </w:tcPr>
          <w:p w14:paraId="3A09FFA4" w14:textId="4EDE68F1" w:rsidR="00005C41" w:rsidRPr="008C5F1C" w:rsidRDefault="00005C41" w:rsidP="00534127">
            <w:pPr>
              <w:rPr>
                <w:rFonts w:ascii="Times New Roman" w:hAnsi="Times New Roman" w:cs="Times New Roman"/>
                <w:bCs/>
                <w:iCs/>
                <w:sz w:val="16"/>
                <w:szCs w:val="16"/>
              </w:rPr>
            </w:pPr>
            <w:r w:rsidRPr="008C5F1C">
              <w:rPr>
                <w:rFonts w:ascii="Times New Roman" w:hAnsi="Times New Roman" w:cs="Times New Roman"/>
                <w:bCs/>
                <w:iCs/>
                <w:sz w:val="16"/>
                <w:szCs w:val="16"/>
              </w:rPr>
              <w:t>17</w:t>
            </w:r>
          </w:p>
        </w:tc>
      </w:tr>
      <w:tr w:rsidR="00005C41" w:rsidRPr="008C5F1C" w14:paraId="5BE7F4CE" w14:textId="77777777" w:rsidTr="001F5C48">
        <w:trPr>
          <w:trHeight w:val="340"/>
        </w:trPr>
        <w:tc>
          <w:tcPr>
            <w:tcW w:w="383" w:type="pct"/>
            <w:vMerge/>
            <w:tcBorders>
              <w:left w:val="single" w:sz="4" w:space="0" w:color="auto"/>
              <w:bottom w:val="single" w:sz="4" w:space="0" w:color="auto"/>
              <w:right w:val="single" w:sz="4" w:space="0" w:color="auto"/>
            </w:tcBorders>
          </w:tcPr>
          <w:p w14:paraId="46B928F7" w14:textId="77777777" w:rsidR="00005C41" w:rsidRPr="008C5F1C" w:rsidRDefault="00005C41" w:rsidP="00005C41">
            <w:pPr>
              <w:rPr>
                <w:rFonts w:ascii="Times New Roman" w:hAnsi="Times New Roman" w:cs="Times New Roman"/>
                <w:bCs/>
                <w:iCs/>
                <w:sz w:val="16"/>
                <w:szCs w:val="16"/>
              </w:rPr>
            </w:pPr>
          </w:p>
        </w:tc>
        <w:tc>
          <w:tcPr>
            <w:tcW w:w="688" w:type="pct"/>
            <w:vMerge/>
            <w:tcBorders>
              <w:left w:val="single" w:sz="4" w:space="0" w:color="auto"/>
              <w:bottom w:val="single" w:sz="4" w:space="0" w:color="auto"/>
              <w:right w:val="single" w:sz="4" w:space="0" w:color="auto"/>
            </w:tcBorders>
          </w:tcPr>
          <w:p w14:paraId="48655516" w14:textId="77777777" w:rsidR="00005C41" w:rsidRPr="008C5F1C" w:rsidRDefault="00005C41" w:rsidP="00005C41">
            <w:pPr>
              <w:rPr>
                <w:rFonts w:ascii="Times New Roman" w:hAnsi="Times New Roman" w:cs="Times New Roman"/>
                <w:bCs/>
                <w:iCs/>
                <w:sz w:val="16"/>
                <w:szCs w:val="16"/>
              </w:rPr>
            </w:pPr>
          </w:p>
        </w:tc>
        <w:tc>
          <w:tcPr>
            <w:tcW w:w="316" w:type="pct"/>
            <w:vMerge/>
            <w:tcBorders>
              <w:left w:val="single" w:sz="4" w:space="0" w:color="auto"/>
              <w:bottom w:val="single" w:sz="4" w:space="0" w:color="auto"/>
              <w:right w:val="single" w:sz="4" w:space="0" w:color="auto"/>
            </w:tcBorders>
          </w:tcPr>
          <w:p w14:paraId="727E0029" w14:textId="77777777" w:rsidR="00005C41" w:rsidRPr="008C5F1C" w:rsidRDefault="00005C41" w:rsidP="00005C41">
            <w:pPr>
              <w:rPr>
                <w:rFonts w:ascii="Times New Roman" w:hAnsi="Times New Roman" w:cs="Times New Roman"/>
                <w:noProof/>
                <w:sz w:val="16"/>
                <w:szCs w:val="16"/>
              </w:rPr>
            </w:pPr>
          </w:p>
        </w:tc>
        <w:tc>
          <w:tcPr>
            <w:tcW w:w="441" w:type="pct"/>
            <w:vMerge/>
            <w:tcBorders>
              <w:left w:val="single" w:sz="4" w:space="0" w:color="auto"/>
              <w:bottom w:val="single" w:sz="4" w:space="0" w:color="auto"/>
              <w:right w:val="single" w:sz="4" w:space="0" w:color="auto"/>
            </w:tcBorders>
          </w:tcPr>
          <w:p w14:paraId="66D9168F" w14:textId="77777777" w:rsidR="00005C41" w:rsidRPr="008C5F1C" w:rsidRDefault="00005C41" w:rsidP="00005C41">
            <w:pPr>
              <w:rPr>
                <w:rFonts w:ascii="Times New Roman" w:hAnsi="Times New Roman" w:cs="Times New Roman"/>
                <w:noProof/>
                <w:sz w:val="16"/>
                <w:szCs w:val="16"/>
              </w:rPr>
            </w:pPr>
          </w:p>
        </w:tc>
        <w:tc>
          <w:tcPr>
            <w:tcW w:w="275" w:type="pct"/>
            <w:tcBorders>
              <w:top w:val="single" w:sz="4" w:space="0" w:color="auto"/>
              <w:left w:val="single" w:sz="4" w:space="0" w:color="auto"/>
              <w:bottom w:val="single" w:sz="4" w:space="0" w:color="auto"/>
              <w:right w:val="single" w:sz="4" w:space="0" w:color="auto"/>
            </w:tcBorders>
          </w:tcPr>
          <w:p w14:paraId="31435AEB" w14:textId="6CBD0FF7" w:rsidR="00005C41" w:rsidRPr="008C5F1C" w:rsidRDefault="00005C41" w:rsidP="00005C41">
            <w:pPr>
              <w:rPr>
                <w:rFonts w:ascii="Times New Roman" w:hAnsi="Times New Roman" w:cs="Times New Roman"/>
                <w:bCs/>
                <w:iCs/>
                <w:sz w:val="16"/>
                <w:szCs w:val="16"/>
              </w:rPr>
            </w:pPr>
            <w:r>
              <w:rPr>
                <w:rFonts w:ascii="Times New Roman" w:hAnsi="Times New Roman" w:cs="Times New Roman"/>
                <w:bCs/>
                <w:iCs/>
                <w:sz w:val="16"/>
                <w:szCs w:val="16"/>
              </w:rPr>
              <w:t>RCO 74</w:t>
            </w:r>
          </w:p>
        </w:tc>
        <w:tc>
          <w:tcPr>
            <w:tcW w:w="1120" w:type="pct"/>
            <w:tcBorders>
              <w:top w:val="single" w:sz="4" w:space="0" w:color="auto"/>
              <w:left w:val="single" w:sz="4" w:space="0" w:color="auto"/>
              <w:bottom w:val="single" w:sz="4" w:space="0" w:color="auto"/>
              <w:right w:val="single" w:sz="4" w:space="0" w:color="auto"/>
            </w:tcBorders>
          </w:tcPr>
          <w:p w14:paraId="0003C397" w14:textId="2C1A5F2F" w:rsidR="00005C41" w:rsidRPr="008C5F1C" w:rsidRDefault="00005C41" w:rsidP="00005C41">
            <w:pPr>
              <w:rPr>
                <w:rFonts w:ascii="Times New Roman" w:hAnsi="Times New Roman" w:cs="Times New Roman"/>
                <w:bCs/>
                <w:iCs/>
                <w:sz w:val="16"/>
                <w:szCs w:val="16"/>
              </w:rPr>
            </w:pPr>
            <w:r w:rsidRPr="008C5F1C">
              <w:rPr>
                <w:rFonts w:ascii="Times New Roman" w:hAnsi="Times New Roman" w:cs="Times New Roman"/>
                <w:iCs/>
                <w:sz w:val="16"/>
                <w:szCs w:val="16"/>
              </w:rPr>
              <w:t>RCO 74 – Populație acoperită de strategii integrate de dezvoltare urbană</w:t>
            </w:r>
          </w:p>
        </w:tc>
        <w:tc>
          <w:tcPr>
            <w:tcW w:w="585" w:type="pct"/>
            <w:tcBorders>
              <w:top w:val="single" w:sz="4" w:space="0" w:color="auto"/>
              <w:left w:val="single" w:sz="4" w:space="0" w:color="auto"/>
              <w:bottom w:val="single" w:sz="4" w:space="0" w:color="auto"/>
              <w:right w:val="single" w:sz="4" w:space="0" w:color="auto"/>
            </w:tcBorders>
          </w:tcPr>
          <w:p w14:paraId="2B731FA5" w14:textId="0AC257E2" w:rsidR="00005C41" w:rsidRPr="008C5F1C" w:rsidRDefault="00005C41" w:rsidP="00005C41">
            <w:pPr>
              <w:rPr>
                <w:rFonts w:ascii="Times New Roman" w:hAnsi="Times New Roman" w:cs="Times New Roman"/>
                <w:bCs/>
                <w:iCs/>
                <w:sz w:val="16"/>
                <w:szCs w:val="16"/>
              </w:rPr>
            </w:pPr>
            <w:r>
              <w:rPr>
                <w:rFonts w:ascii="Times New Roman" w:hAnsi="Times New Roman" w:cs="Times New Roman"/>
                <w:bCs/>
                <w:iCs/>
                <w:sz w:val="16"/>
                <w:szCs w:val="16"/>
              </w:rPr>
              <w:t>Populație</w:t>
            </w:r>
          </w:p>
        </w:tc>
        <w:tc>
          <w:tcPr>
            <w:tcW w:w="532" w:type="pct"/>
            <w:tcBorders>
              <w:top w:val="single" w:sz="4" w:space="0" w:color="auto"/>
              <w:left w:val="single" w:sz="4" w:space="0" w:color="auto"/>
              <w:bottom w:val="single" w:sz="4" w:space="0" w:color="auto"/>
              <w:right w:val="single" w:sz="4" w:space="0" w:color="auto"/>
            </w:tcBorders>
          </w:tcPr>
          <w:p w14:paraId="7A91C1B9" w14:textId="5CB2295B" w:rsidR="00005C41" w:rsidRPr="008C5F1C" w:rsidRDefault="00005C41" w:rsidP="00005C41">
            <w:pPr>
              <w:rPr>
                <w:rFonts w:ascii="Times New Roman" w:hAnsi="Times New Roman" w:cs="Times New Roman"/>
                <w:bCs/>
                <w:iCs/>
                <w:sz w:val="16"/>
                <w:szCs w:val="16"/>
              </w:rPr>
            </w:pPr>
            <w:r w:rsidRPr="00F41BE5">
              <w:rPr>
                <w:rFonts w:ascii="Times New Roman" w:hAnsi="Times New Roman" w:cs="Times New Roman"/>
                <w:bCs/>
                <w:iCs/>
                <w:sz w:val="16"/>
                <w:szCs w:val="16"/>
              </w:rPr>
              <w:t>700.000</w:t>
            </w:r>
          </w:p>
        </w:tc>
        <w:tc>
          <w:tcPr>
            <w:tcW w:w="660" w:type="pct"/>
            <w:tcBorders>
              <w:top w:val="single" w:sz="4" w:space="0" w:color="auto"/>
              <w:left w:val="single" w:sz="4" w:space="0" w:color="auto"/>
              <w:bottom w:val="single" w:sz="4" w:space="0" w:color="auto"/>
              <w:right w:val="single" w:sz="4" w:space="0" w:color="auto"/>
            </w:tcBorders>
          </w:tcPr>
          <w:p w14:paraId="44C1DA7E" w14:textId="39E96100" w:rsidR="00005C41" w:rsidRPr="008C5F1C" w:rsidRDefault="00005C41" w:rsidP="00005C41">
            <w:pPr>
              <w:rPr>
                <w:rFonts w:ascii="Times New Roman" w:hAnsi="Times New Roman" w:cs="Times New Roman"/>
                <w:bCs/>
                <w:iCs/>
                <w:sz w:val="16"/>
                <w:szCs w:val="16"/>
              </w:rPr>
            </w:pPr>
            <w:r w:rsidRPr="00F41BE5">
              <w:rPr>
                <w:rFonts w:ascii="Times New Roman" w:hAnsi="Times New Roman" w:cs="Times New Roman"/>
                <w:bCs/>
                <w:iCs/>
                <w:sz w:val="16"/>
                <w:szCs w:val="16"/>
              </w:rPr>
              <w:t>1.500.000</w:t>
            </w:r>
          </w:p>
        </w:tc>
      </w:tr>
    </w:tbl>
    <w:p w14:paraId="0D62640B" w14:textId="77777777" w:rsidR="00653571" w:rsidRPr="008C5F1C" w:rsidRDefault="00653571" w:rsidP="00653571">
      <w:pPr>
        <w:rPr>
          <w:rFonts w:ascii="Times New Roman" w:hAnsi="Times New Roman" w:cs="Times New Roman"/>
        </w:rPr>
      </w:pPr>
    </w:p>
    <w:tbl>
      <w:tblPr>
        <w:tblW w:w="54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7"/>
        <w:gridCol w:w="1087"/>
        <w:gridCol w:w="624"/>
        <w:gridCol w:w="874"/>
        <w:gridCol w:w="537"/>
        <w:gridCol w:w="946"/>
        <w:gridCol w:w="1157"/>
        <w:gridCol w:w="1026"/>
        <w:gridCol w:w="899"/>
        <w:gridCol w:w="1026"/>
        <w:gridCol w:w="688"/>
        <w:gridCol w:w="956"/>
      </w:tblGrid>
      <w:tr w:rsidR="00653571" w:rsidRPr="008C5F1C" w14:paraId="55406E5E" w14:textId="77777777" w:rsidTr="006E0B48">
        <w:trPr>
          <w:trHeight w:val="448"/>
        </w:trPr>
        <w:tc>
          <w:tcPr>
            <w:tcW w:w="5000" w:type="pct"/>
            <w:gridSpan w:val="12"/>
            <w:tcBorders>
              <w:top w:val="single" w:sz="4" w:space="0" w:color="auto"/>
              <w:left w:val="single" w:sz="4" w:space="0" w:color="auto"/>
              <w:bottom w:val="single" w:sz="4" w:space="0" w:color="auto"/>
              <w:right w:val="single" w:sz="4" w:space="0" w:color="auto"/>
            </w:tcBorders>
            <w:hideMark/>
          </w:tcPr>
          <w:p w14:paraId="12A4BF02" w14:textId="77777777" w:rsidR="00653571" w:rsidRPr="008C5F1C" w:rsidRDefault="00653571" w:rsidP="00534127">
            <w:pPr>
              <w:rPr>
                <w:rFonts w:ascii="Times New Roman" w:hAnsi="Times New Roman" w:cs="Times New Roman"/>
                <w:b/>
              </w:rPr>
            </w:pPr>
            <w:r w:rsidRPr="008C5F1C">
              <w:rPr>
                <w:rFonts w:ascii="Times New Roman" w:hAnsi="Times New Roman" w:cs="Times New Roman"/>
                <w:b/>
                <w:iCs/>
              </w:rPr>
              <w:t xml:space="preserve">Table 3: </w:t>
            </w:r>
            <w:proofErr w:type="spellStart"/>
            <w:r w:rsidRPr="008C5F1C">
              <w:rPr>
                <w:rFonts w:ascii="Times New Roman" w:hAnsi="Times New Roman" w:cs="Times New Roman"/>
                <w:b/>
                <w:iCs/>
              </w:rPr>
              <w:t>Result</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indicators</w:t>
            </w:r>
            <w:proofErr w:type="spellEnd"/>
          </w:p>
        </w:tc>
      </w:tr>
      <w:tr w:rsidR="004813E8" w:rsidRPr="008C5F1C" w14:paraId="3F8491AD" w14:textId="77777777" w:rsidTr="00005C41">
        <w:trPr>
          <w:trHeight w:val="572"/>
        </w:trPr>
        <w:tc>
          <w:tcPr>
            <w:tcW w:w="358" w:type="pct"/>
            <w:tcBorders>
              <w:top w:val="single" w:sz="4" w:space="0" w:color="auto"/>
              <w:left w:val="single" w:sz="4" w:space="0" w:color="auto"/>
              <w:bottom w:val="single" w:sz="4" w:space="0" w:color="auto"/>
              <w:right w:val="single" w:sz="4" w:space="0" w:color="auto"/>
            </w:tcBorders>
            <w:hideMark/>
          </w:tcPr>
          <w:p w14:paraId="23D6E04C"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Priority</w:t>
            </w:r>
            <w:proofErr w:type="spellEnd"/>
            <w:r w:rsidRPr="008C5F1C">
              <w:rPr>
                <w:rFonts w:ascii="Times New Roman" w:hAnsi="Times New Roman" w:cs="Times New Roman"/>
                <w:b/>
                <w:sz w:val="16"/>
                <w:szCs w:val="16"/>
              </w:rPr>
              <w:t xml:space="preserve"> </w:t>
            </w:r>
          </w:p>
        </w:tc>
        <w:tc>
          <w:tcPr>
            <w:tcW w:w="514" w:type="pct"/>
            <w:tcBorders>
              <w:top w:val="single" w:sz="4" w:space="0" w:color="auto"/>
              <w:left w:val="single" w:sz="4" w:space="0" w:color="auto"/>
              <w:bottom w:val="single" w:sz="4" w:space="0" w:color="auto"/>
              <w:right w:val="single" w:sz="4" w:space="0" w:color="auto"/>
            </w:tcBorders>
            <w:hideMark/>
          </w:tcPr>
          <w:p w14:paraId="0567766A"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 xml:space="preserve">Specific </w:t>
            </w:r>
            <w:proofErr w:type="spellStart"/>
            <w:r w:rsidRPr="008C5F1C">
              <w:rPr>
                <w:rFonts w:ascii="Times New Roman" w:hAnsi="Times New Roman" w:cs="Times New Roman"/>
                <w:b/>
                <w:sz w:val="16"/>
                <w:szCs w:val="16"/>
              </w:rPr>
              <w:t>objective</w:t>
            </w:r>
            <w:proofErr w:type="spellEnd"/>
            <w:r w:rsidRPr="008C5F1C">
              <w:rPr>
                <w:rFonts w:ascii="Times New Roman" w:hAnsi="Times New Roman" w:cs="Times New Roman"/>
                <w:b/>
                <w:sz w:val="16"/>
                <w:szCs w:val="16"/>
              </w:rPr>
              <w:t xml:space="preserve"> (Investment for </w:t>
            </w:r>
            <w:proofErr w:type="spellStart"/>
            <w:r w:rsidRPr="008C5F1C">
              <w:rPr>
                <w:rFonts w:ascii="Times New Roman" w:hAnsi="Times New Roman" w:cs="Times New Roman"/>
                <w:b/>
                <w:sz w:val="16"/>
                <w:szCs w:val="16"/>
              </w:rPr>
              <w:t>Jobs</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and</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Growth</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goal</w:t>
            </w:r>
            <w:proofErr w:type="spellEnd"/>
            <w:r w:rsidRPr="008C5F1C">
              <w:rPr>
                <w:rFonts w:ascii="Times New Roman" w:hAnsi="Times New Roman" w:cs="Times New Roman"/>
                <w:b/>
                <w:sz w:val="16"/>
                <w:szCs w:val="16"/>
              </w:rPr>
              <w:t xml:space="preserve"> or EMFF)</w:t>
            </w:r>
          </w:p>
        </w:tc>
        <w:tc>
          <w:tcPr>
            <w:tcW w:w="295" w:type="pct"/>
            <w:tcBorders>
              <w:top w:val="single" w:sz="4" w:space="0" w:color="auto"/>
              <w:left w:val="single" w:sz="4" w:space="0" w:color="auto"/>
              <w:bottom w:val="single" w:sz="4" w:space="0" w:color="auto"/>
              <w:right w:val="single" w:sz="4" w:space="0" w:color="auto"/>
            </w:tcBorders>
            <w:hideMark/>
          </w:tcPr>
          <w:p w14:paraId="6D3679D3"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Fund</w:t>
            </w:r>
          </w:p>
        </w:tc>
        <w:tc>
          <w:tcPr>
            <w:tcW w:w="413" w:type="pct"/>
            <w:tcBorders>
              <w:top w:val="single" w:sz="4" w:space="0" w:color="auto"/>
              <w:left w:val="single" w:sz="4" w:space="0" w:color="auto"/>
              <w:bottom w:val="single" w:sz="4" w:space="0" w:color="auto"/>
              <w:right w:val="single" w:sz="4" w:space="0" w:color="auto"/>
            </w:tcBorders>
            <w:hideMark/>
          </w:tcPr>
          <w:p w14:paraId="5DEC9221"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Category</w:t>
            </w:r>
            <w:proofErr w:type="spellEnd"/>
            <w:r w:rsidRPr="008C5F1C">
              <w:rPr>
                <w:rFonts w:ascii="Times New Roman" w:hAnsi="Times New Roman" w:cs="Times New Roman"/>
                <w:b/>
                <w:sz w:val="16"/>
                <w:szCs w:val="16"/>
              </w:rPr>
              <w:t xml:space="preserve"> of </w:t>
            </w:r>
            <w:proofErr w:type="spellStart"/>
            <w:r w:rsidRPr="008C5F1C">
              <w:rPr>
                <w:rFonts w:ascii="Times New Roman" w:hAnsi="Times New Roman" w:cs="Times New Roman"/>
                <w:b/>
                <w:sz w:val="16"/>
                <w:szCs w:val="16"/>
              </w:rPr>
              <w:t>region</w:t>
            </w:r>
            <w:proofErr w:type="spellEnd"/>
            <w:r w:rsidRPr="008C5F1C">
              <w:rPr>
                <w:rFonts w:ascii="Times New Roman" w:hAnsi="Times New Roman" w:cs="Times New Roman"/>
                <w:sz w:val="16"/>
                <w:szCs w:val="16"/>
              </w:rPr>
              <w:t xml:space="preserve"> </w:t>
            </w:r>
          </w:p>
        </w:tc>
        <w:tc>
          <w:tcPr>
            <w:tcW w:w="254" w:type="pct"/>
            <w:tcBorders>
              <w:top w:val="single" w:sz="4" w:space="0" w:color="auto"/>
              <w:left w:val="single" w:sz="4" w:space="0" w:color="auto"/>
              <w:bottom w:val="single" w:sz="4" w:space="0" w:color="auto"/>
              <w:right w:val="single" w:sz="4" w:space="0" w:color="auto"/>
            </w:tcBorders>
            <w:hideMark/>
          </w:tcPr>
          <w:p w14:paraId="57AEED34"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ID [5]</w:t>
            </w:r>
          </w:p>
        </w:tc>
        <w:tc>
          <w:tcPr>
            <w:tcW w:w="447" w:type="pct"/>
            <w:tcBorders>
              <w:top w:val="single" w:sz="4" w:space="0" w:color="auto"/>
              <w:left w:val="single" w:sz="4" w:space="0" w:color="auto"/>
              <w:bottom w:val="single" w:sz="4" w:space="0" w:color="auto"/>
              <w:right w:val="single" w:sz="4" w:space="0" w:color="auto"/>
            </w:tcBorders>
            <w:hideMark/>
          </w:tcPr>
          <w:p w14:paraId="6CCECF56"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Indicator [255]</w:t>
            </w:r>
          </w:p>
        </w:tc>
        <w:tc>
          <w:tcPr>
            <w:tcW w:w="547" w:type="pct"/>
            <w:tcBorders>
              <w:top w:val="single" w:sz="4" w:space="0" w:color="auto"/>
              <w:left w:val="single" w:sz="4" w:space="0" w:color="auto"/>
              <w:bottom w:val="single" w:sz="4" w:space="0" w:color="auto"/>
              <w:right w:val="single" w:sz="4" w:space="0" w:color="auto"/>
            </w:tcBorders>
            <w:hideMark/>
          </w:tcPr>
          <w:p w14:paraId="54F50237"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Measurement</w:t>
            </w:r>
            <w:proofErr w:type="spellEnd"/>
            <w:r w:rsidRPr="008C5F1C">
              <w:rPr>
                <w:rFonts w:ascii="Times New Roman" w:hAnsi="Times New Roman" w:cs="Times New Roman"/>
                <w:b/>
                <w:sz w:val="16"/>
                <w:szCs w:val="16"/>
              </w:rPr>
              <w:t xml:space="preserve"> unit</w:t>
            </w:r>
          </w:p>
        </w:tc>
        <w:tc>
          <w:tcPr>
            <w:tcW w:w="485" w:type="pct"/>
            <w:tcBorders>
              <w:top w:val="single" w:sz="4" w:space="0" w:color="auto"/>
              <w:left w:val="single" w:sz="4" w:space="0" w:color="auto"/>
              <w:bottom w:val="single" w:sz="4" w:space="0" w:color="auto"/>
              <w:right w:val="single" w:sz="4" w:space="0" w:color="auto"/>
            </w:tcBorders>
            <w:hideMark/>
          </w:tcPr>
          <w:p w14:paraId="5662C814"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Baseline</w:t>
            </w:r>
            <w:proofErr w:type="spellEnd"/>
            <w:r w:rsidRPr="008C5F1C">
              <w:rPr>
                <w:rFonts w:ascii="Times New Roman" w:hAnsi="Times New Roman" w:cs="Times New Roman"/>
                <w:b/>
                <w:sz w:val="16"/>
                <w:szCs w:val="16"/>
              </w:rPr>
              <w:t xml:space="preserve"> or </w:t>
            </w:r>
            <w:proofErr w:type="spellStart"/>
            <w:r w:rsidRPr="008C5F1C">
              <w:rPr>
                <w:rFonts w:ascii="Times New Roman" w:hAnsi="Times New Roman" w:cs="Times New Roman"/>
                <w:b/>
                <w:sz w:val="16"/>
                <w:szCs w:val="16"/>
              </w:rPr>
              <w:t>reference</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value</w:t>
            </w:r>
            <w:proofErr w:type="spellEnd"/>
          </w:p>
        </w:tc>
        <w:tc>
          <w:tcPr>
            <w:tcW w:w="425" w:type="pct"/>
            <w:tcBorders>
              <w:top w:val="single" w:sz="4" w:space="0" w:color="auto"/>
              <w:left w:val="single" w:sz="4" w:space="0" w:color="auto"/>
              <w:bottom w:val="single" w:sz="4" w:space="0" w:color="auto"/>
              <w:right w:val="single" w:sz="4" w:space="0" w:color="auto"/>
            </w:tcBorders>
            <w:hideMark/>
          </w:tcPr>
          <w:p w14:paraId="26A287C6"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Reference</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year</w:t>
            </w:r>
            <w:proofErr w:type="spellEnd"/>
          </w:p>
        </w:tc>
        <w:tc>
          <w:tcPr>
            <w:tcW w:w="485" w:type="pct"/>
            <w:tcBorders>
              <w:top w:val="single" w:sz="4" w:space="0" w:color="auto"/>
              <w:left w:val="single" w:sz="4" w:space="0" w:color="auto"/>
              <w:bottom w:val="single" w:sz="4" w:space="0" w:color="auto"/>
              <w:right w:val="single" w:sz="4" w:space="0" w:color="auto"/>
            </w:tcBorders>
          </w:tcPr>
          <w:p w14:paraId="443F8EF8"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Target (2029)</w:t>
            </w:r>
          </w:p>
          <w:p w14:paraId="555CAA57" w14:textId="77777777" w:rsidR="00653571" w:rsidRPr="008C5F1C" w:rsidRDefault="00653571" w:rsidP="00534127">
            <w:pPr>
              <w:rPr>
                <w:rFonts w:ascii="Times New Roman" w:hAnsi="Times New Roman" w:cs="Times New Roman"/>
                <w:b/>
                <w:sz w:val="16"/>
                <w:szCs w:val="16"/>
              </w:rPr>
            </w:pPr>
          </w:p>
        </w:tc>
        <w:tc>
          <w:tcPr>
            <w:tcW w:w="325" w:type="pct"/>
            <w:tcBorders>
              <w:top w:val="single" w:sz="4" w:space="0" w:color="auto"/>
              <w:left w:val="single" w:sz="4" w:space="0" w:color="auto"/>
              <w:bottom w:val="single" w:sz="4" w:space="0" w:color="auto"/>
              <w:right w:val="single" w:sz="4" w:space="0" w:color="auto"/>
            </w:tcBorders>
            <w:hideMark/>
          </w:tcPr>
          <w:p w14:paraId="5EFFBB2C"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Source</w:t>
            </w:r>
            <w:proofErr w:type="spellEnd"/>
            <w:r w:rsidRPr="008C5F1C">
              <w:rPr>
                <w:rFonts w:ascii="Times New Roman" w:hAnsi="Times New Roman" w:cs="Times New Roman"/>
                <w:b/>
                <w:sz w:val="16"/>
                <w:szCs w:val="16"/>
              </w:rPr>
              <w:t xml:space="preserve"> of data [200]</w:t>
            </w:r>
          </w:p>
        </w:tc>
        <w:tc>
          <w:tcPr>
            <w:tcW w:w="452" w:type="pct"/>
            <w:tcBorders>
              <w:top w:val="single" w:sz="4" w:space="0" w:color="auto"/>
              <w:left w:val="single" w:sz="4" w:space="0" w:color="auto"/>
              <w:bottom w:val="single" w:sz="4" w:space="0" w:color="auto"/>
              <w:right w:val="single" w:sz="4" w:space="0" w:color="auto"/>
            </w:tcBorders>
            <w:hideMark/>
          </w:tcPr>
          <w:p w14:paraId="13BC7296"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Comments</w:t>
            </w:r>
            <w:proofErr w:type="spellEnd"/>
            <w:r w:rsidRPr="008C5F1C">
              <w:rPr>
                <w:rFonts w:ascii="Times New Roman" w:hAnsi="Times New Roman" w:cs="Times New Roman"/>
                <w:b/>
                <w:sz w:val="16"/>
                <w:szCs w:val="16"/>
              </w:rPr>
              <w:t xml:space="preserve"> [200]</w:t>
            </w:r>
          </w:p>
        </w:tc>
      </w:tr>
      <w:tr w:rsidR="004813E8" w:rsidRPr="008C5F1C" w14:paraId="4B286AC0" w14:textId="77777777" w:rsidTr="00005C41">
        <w:trPr>
          <w:trHeight w:val="405"/>
        </w:trPr>
        <w:tc>
          <w:tcPr>
            <w:tcW w:w="358" w:type="pct"/>
            <w:tcBorders>
              <w:top w:val="single" w:sz="4" w:space="0" w:color="auto"/>
              <w:left w:val="single" w:sz="4" w:space="0" w:color="auto"/>
              <w:bottom w:val="single" w:sz="4" w:space="0" w:color="auto"/>
              <w:right w:val="single" w:sz="4" w:space="0" w:color="auto"/>
            </w:tcBorders>
          </w:tcPr>
          <w:p w14:paraId="5BD561A1" w14:textId="77777777" w:rsidR="00653571" w:rsidRPr="008C5F1C" w:rsidRDefault="00904C61" w:rsidP="00534127">
            <w:pPr>
              <w:rPr>
                <w:rFonts w:ascii="Times New Roman" w:hAnsi="Times New Roman" w:cs="Times New Roman"/>
                <w:iCs/>
                <w:sz w:val="16"/>
                <w:szCs w:val="16"/>
              </w:rPr>
            </w:pPr>
            <w:r w:rsidRPr="008C5F1C">
              <w:rPr>
                <w:rFonts w:ascii="Times New Roman" w:hAnsi="Times New Roman" w:cs="Times New Roman"/>
                <w:iCs/>
                <w:sz w:val="16"/>
                <w:szCs w:val="16"/>
              </w:rPr>
              <w:t>6</w:t>
            </w:r>
          </w:p>
        </w:tc>
        <w:tc>
          <w:tcPr>
            <w:tcW w:w="514" w:type="pct"/>
            <w:tcBorders>
              <w:top w:val="single" w:sz="4" w:space="0" w:color="auto"/>
              <w:left w:val="single" w:sz="4" w:space="0" w:color="auto"/>
              <w:bottom w:val="single" w:sz="4" w:space="0" w:color="auto"/>
              <w:right w:val="single" w:sz="4" w:space="0" w:color="auto"/>
            </w:tcBorders>
          </w:tcPr>
          <w:p w14:paraId="240F37C7" w14:textId="77777777" w:rsidR="00653571" w:rsidRPr="008C5F1C" w:rsidRDefault="00653571" w:rsidP="00534127">
            <w:pPr>
              <w:rPr>
                <w:rFonts w:ascii="Times New Roman" w:hAnsi="Times New Roman" w:cs="Times New Roman"/>
                <w:iCs/>
                <w:sz w:val="16"/>
                <w:szCs w:val="16"/>
              </w:rPr>
            </w:pPr>
            <w:r w:rsidRPr="008C5F1C">
              <w:rPr>
                <w:rFonts w:ascii="Times New Roman" w:hAnsi="Times New Roman" w:cs="Times New Roman"/>
                <w:bCs/>
                <w:iCs/>
                <w:sz w:val="16"/>
                <w:szCs w:val="16"/>
              </w:rPr>
              <w:t>e (i) Favorizarea dezvolt</w:t>
            </w:r>
            <w:r w:rsidR="00BA7827" w:rsidRPr="008C5F1C">
              <w:rPr>
                <w:rFonts w:ascii="Times New Roman" w:hAnsi="Times New Roman" w:cs="Times New Roman"/>
                <w:bCs/>
                <w:iCs/>
                <w:sz w:val="16"/>
                <w:szCs w:val="16"/>
              </w:rPr>
              <w:t>ă</w:t>
            </w:r>
            <w:r w:rsidRPr="008C5F1C">
              <w:rPr>
                <w:rFonts w:ascii="Times New Roman" w:hAnsi="Times New Roman" w:cs="Times New Roman"/>
                <w:bCs/>
                <w:iCs/>
                <w:sz w:val="16"/>
                <w:szCs w:val="16"/>
              </w:rPr>
              <w:t xml:space="preserve">rii integrate sociale, economice </w:t>
            </w:r>
            <w:r w:rsidR="00106240" w:rsidRPr="008C5F1C">
              <w:rPr>
                <w:rFonts w:ascii="Times New Roman" w:hAnsi="Times New Roman" w:cs="Times New Roman"/>
                <w:bCs/>
                <w:iCs/>
                <w:sz w:val="16"/>
                <w:szCs w:val="16"/>
              </w:rPr>
              <w:t>ș</w:t>
            </w:r>
            <w:r w:rsidRPr="008C5F1C">
              <w:rPr>
                <w:rFonts w:ascii="Times New Roman" w:hAnsi="Times New Roman" w:cs="Times New Roman"/>
                <w:bCs/>
                <w:iCs/>
                <w:sz w:val="16"/>
                <w:szCs w:val="16"/>
              </w:rPr>
              <w:t xml:space="preserve">i de mediu la </w:t>
            </w:r>
            <w:r w:rsidRPr="008C5F1C">
              <w:rPr>
                <w:rFonts w:ascii="Times New Roman" w:hAnsi="Times New Roman" w:cs="Times New Roman"/>
                <w:bCs/>
                <w:iCs/>
                <w:sz w:val="16"/>
                <w:szCs w:val="16"/>
              </w:rPr>
              <w:lastRenderedPageBreak/>
              <w:t xml:space="preserve">nivel local </w:t>
            </w:r>
            <w:r w:rsidR="00106240" w:rsidRPr="008C5F1C">
              <w:rPr>
                <w:rFonts w:ascii="Times New Roman" w:hAnsi="Times New Roman" w:cs="Times New Roman"/>
                <w:bCs/>
                <w:iCs/>
                <w:sz w:val="16"/>
                <w:szCs w:val="16"/>
              </w:rPr>
              <w:t>ș</w:t>
            </w:r>
            <w:r w:rsidRPr="008C5F1C">
              <w:rPr>
                <w:rFonts w:ascii="Times New Roman" w:hAnsi="Times New Roman" w:cs="Times New Roman"/>
                <w:bCs/>
                <w:iCs/>
                <w:sz w:val="16"/>
                <w:szCs w:val="16"/>
              </w:rPr>
              <w:t xml:space="preserve">i a patrimoniului cultural, turismului </w:t>
            </w:r>
            <w:r w:rsidR="00106240" w:rsidRPr="008C5F1C">
              <w:rPr>
                <w:rFonts w:ascii="Times New Roman" w:hAnsi="Times New Roman" w:cs="Times New Roman"/>
                <w:bCs/>
                <w:iCs/>
                <w:sz w:val="16"/>
                <w:szCs w:val="16"/>
              </w:rPr>
              <w:t>ș</w:t>
            </w:r>
            <w:r w:rsidRPr="008C5F1C">
              <w:rPr>
                <w:rFonts w:ascii="Times New Roman" w:hAnsi="Times New Roman" w:cs="Times New Roman"/>
                <w:bCs/>
                <w:iCs/>
                <w:sz w:val="16"/>
                <w:szCs w:val="16"/>
              </w:rPr>
              <w:t>i securit</w:t>
            </w:r>
            <w:r w:rsidR="00BA7827" w:rsidRPr="008C5F1C">
              <w:rPr>
                <w:rFonts w:ascii="Times New Roman" w:hAnsi="Times New Roman" w:cs="Times New Roman"/>
                <w:bCs/>
                <w:iCs/>
                <w:sz w:val="16"/>
                <w:szCs w:val="16"/>
              </w:rPr>
              <w:t>ă</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ii în zonele urbane</w:t>
            </w:r>
          </w:p>
        </w:tc>
        <w:tc>
          <w:tcPr>
            <w:tcW w:w="295" w:type="pct"/>
            <w:tcBorders>
              <w:top w:val="single" w:sz="4" w:space="0" w:color="auto"/>
              <w:left w:val="single" w:sz="4" w:space="0" w:color="auto"/>
              <w:bottom w:val="single" w:sz="4" w:space="0" w:color="auto"/>
              <w:right w:val="single" w:sz="4" w:space="0" w:color="auto"/>
            </w:tcBorders>
          </w:tcPr>
          <w:p w14:paraId="76DBA269" w14:textId="77777777" w:rsidR="00653571" w:rsidRPr="008C5F1C" w:rsidRDefault="00653571" w:rsidP="00534127">
            <w:pPr>
              <w:rPr>
                <w:rFonts w:ascii="Times New Roman" w:hAnsi="Times New Roman" w:cs="Times New Roman"/>
                <w:noProof/>
                <w:sz w:val="16"/>
                <w:szCs w:val="16"/>
              </w:rPr>
            </w:pPr>
            <w:r w:rsidRPr="008C5F1C">
              <w:rPr>
                <w:rFonts w:ascii="Times New Roman" w:hAnsi="Times New Roman" w:cs="Times New Roman"/>
                <w:noProof/>
                <w:sz w:val="16"/>
                <w:szCs w:val="16"/>
              </w:rPr>
              <w:lastRenderedPageBreak/>
              <w:t>FEDR</w:t>
            </w:r>
          </w:p>
        </w:tc>
        <w:tc>
          <w:tcPr>
            <w:tcW w:w="413" w:type="pct"/>
            <w:tcBorders>
              <w:top w:val="single" w:sz="4" w:space="0" w:color="auto"/>
              <w:left w:val="single" w:sz="4" w:space="0" w:color="auto"/>
              <w:bottom w:val="single" w:sz="4" w:space="0" w:color="auto"/>
              <w:right w:val="single" w:sz="4" w:space="0" w:color="auto"/>
            </w:tcBorders>
          </w:tcPr>
          <w:p w14:paraId="62F27D2B" w14:textId="77777777" w:rsidR="00653571" w:rsidRPr="008C5F1C" w:rsidRDefault="00653571" w:rsidP="00534127">
            <w:pPr>
              <w:rPr>
                <w:rFonts w:ascii="Times New Roman" w:hAnsi="Times New Roman" w:cs="Times New Roman"/>
                <w:noProof/>
                <w:sz w:val="16"/>
                <w:szCs w:val="16"/>
              </w:rPr>
            </w:pPr>
            <w:r w:rsidRPr="008C5F1C">
              <w:rPr>
                <w:rFonts w:ascii="Times New Roman" w:hAnsi="Times New Roman" w:cs="Times New Roman"/>
                <w:noProof/>
                <w:sz w:val="16"/>
                <w:szCs w:val="16"/>
              </w:rPr>
              <w:t>Mai pu</w:t>
            </w:r>
            <w:r w:rsidR="00E22FF2" w:rsidRPr="008C5F1C">
              <w:rPr>
                <w:rFonts w:ascii="Times New Roman" w:hAnsi="Times New Roman" w:cs="Times New Roman"/>
                <w:noProof/>
                <w:sz w:val="16"/>
                <w:szCs w:val="16"/>
              </w:rPr>
              <w:t>ț</w:t>
            </w:r>
            <w:r w:rsidRPr="008C5F1C">
              <w:rPr>
                <w:rFonts w:ascii="Times New Roman" w:hAnsi="Times New Roman" w:cs="Times New Roman"/>
                <w:noProof/>
                <w:sz w:val="16"/>
                <w:szCs w:val="16"/>
              </w:rPr>
              <w:t>in dezvoltate</w:t>
            </w:r>
          </w:p>
        </w:tc>
        <w:tc>
          <w:tcPr>
            <w:tcW w:w="254" w:type="pct"/>
            <w:tcBorders>
              <w:top w:val="single" w:sz="4" w:space="0" w:color="auto"/>
              <w:left w:val="single" w:sz="4" w:space="0" w:color="auto"/>
              <w:bottom w:val="single" w:sz="4" w:space="0" w:color="auto"/>
              <w:right w:val="single" w:sz="4" w:space="0" w:color="auto"/>
            </w:tcBorders>
          </w:tcPr>
          <w:p w14:paraId="0BB8D189" w14:textId="77777777" w:rsidR="00653571" w:rsidRPr="008C5F1C" w:rsidRDefault="00653571" w:rsidP="00534127">
            <w:pPr>
              <w:rPr>
                <w:rFonts w:ascii="Times New Roman" w:hAnsi="Times New Roman" w:cs="Times New Roman"/>
                <w:iCs/>
                <w:sz w:val="16"/>
                <w:szCs w:val="16"/>
              </w:rPr>
            </w:pPr>
            <w:r w:rsidRPr="008C5F1C">
              <w:rPr>
                <w:rFonts w:ascii="Times New Roman" w:hAnsi="Times New Roman" w:cs="Times New Roman"/>
                <w:iCs/>
                <w:sz w:val="16"/>
                <w:szCs w:val="16"/>
              </w:rPr>
              <w:t xml:space="preserve">RCR 77 </w:t>
            </w:r>
          </w:p>
          <w:p w14:paraId="4C4B325C" w14:textId="77777777" w:rsidR="00653571" w:rsidRPr="008C5F1C" w:rsidRDefault="00653571" w:rsidP="00534127">
            <w:pPr>
              <w:rPr>
                <w:rFonts w:ascii="Times New Roman" w:hAnsi="Times New Roman" w:cs="Times New Roman"/>
                <w:iCs/>
                <w:sz w:val="16"/>
                <w:szCs w:val="16"/>
              </w:rPr>
            </w:pPr>
          </w:p>
        </w:tc>
        <w:tc>
          <w:tcPr>
            <w:tcW w:w="447" w:type="pct"/>
            <w:tcBorders>
              <w:top w:val="single" w:sz="4" w:space="0" w:color="auto"/>
              <w:left w:val="single" w:sz="4" w:space="0" w:color="auto"/>
              <w:bottom w:val="single" w:sz="4" w:space="0" w:color="auto"/>
              <w:right w:val="single" w:sz="4" w:space="0" w:color="auto"/>
            </w:tcBorders>
          </w:tcPr>
          <w:p w14:paraId="7BD7D919" w14:textId="77777777" w:rsidR="00653571" w:rsidRPr="008C5F1C" w:rsidRDefault="00653571" w:rsidP="009D084F">
            <w:pPr>
              <w:rPr>
                <w:rFonts w:ascii="Times New Roman" w:hAnsi="Times New Roman" w:cs="Times New Roman"/>
                <w:iCs/>
                <w:sz w:val="16"/>
                <w:szCs w:val="16"/>
              </w:rPr>
            </w:pPr>
            <w:r w:rsidRPr="008C5F1C">
              <w:rPr>
                <w:rFonts w:ascii="Times New Roman" w:hAnsi="Times New Roman" w:cs="Times New Roman"/>
                <w:iCs/>
                <w:sz w:val="16"/>
                <w:szCs w:val="16"/>
              </w:rPr>
              <w:t xml:space="preserve">RCR 77 – </w:t>
            </w:r>
            <w:r w:rsidR="009D084F" w:rsidRPr="008C5F1C">
              <w:rPr>
                <w:rFonts w:ascii="Times New Roman" w:hAnsi="Times New Roman" w:cs="Times New Roman"/>
                <w:iCs/>
                <w:sz w:val="16"/>
                <w:szCs w:val="16"/>
              </w:rPr>
              <w:t xml:space="preserve">Vizitatori </w:t>
            </w:r>
            <w:r w:rsidRPr="008C5F1C">
              <w:rPr>
                <w:rFonts w:ascii="Times New Roman" w:hAnsi="Times New Roman" w:cs="Times New Roman"/>
                <w:iCs/>
                <w:sz w:val="16"/>
                <w:szCs w:val="16"/>
              </w:rPr>
              <w:t xml:space="preserve">în siturile </w:t>
            </w:r>
            <w:r w:rsidR="002A5FA8" w:rsidRPr="008C5F1C">
              <w:rPr>
                <w:rFonts w:ascii="Times New Roman" w:hAnsi="Times New Roman" w:cs="Times New Roman"/>
                <w:iCs/>
                <w:sz w:val="16"/>
                <w:szCs w:val="16"/>
              </w:rPr>
              <w:t xml:space="preserve">culturale si turistice </w:t>
            </w:r>
            <w:r w:rsidRPr="008C5F1C">
              <w:rPr>
                <w:rFonts w:ascii="Times New Roman" w:hAnsi="Times New Roman" w:cs="Times New Roman"/>
                <w:iCs/>
                <w:sz w:val="16"/>
                <w:szCs w:val="16"/>
              </w:rPr>
              <w:t xml:space="preserve">care </w:t>
            </w:r>
            <w:r w:rsidRPr="008C5F1C">
              <w:rPr>
                <w:rFonts w:ascii="Times New Roman" w:hAnsi="Times New Roman" w:cs="Times New Roman"/>
                <w:iCs/>
                <w:sz w:val="16"/>
                <w:szCs w:val="16"/>
              </w:rPr>
              <w:lastRenderedPageBreak/>
              <w:t>beneficiaz</w:t>
            </w:r>
            <w:r w:rsidR="00BA7827" w:rsidRPr="008C5F1C">
              <w:rPr>
                <w:rFonts w:ascii="Times New Roman" w:hAnsi="Times New Roman" w:cs="Times New Roman"/>
                <w:iCs/>
                <w:sz w:val="16"/>
                <w:szCs w:val="16"/>
              </w:rPr>
              <w:t>ă</w:t>
            </w:r>
            <w:r w:rsidRPr="008C5F1C">
              <w:rPr>
                <w:rFonts w:ascii="Times New Roman" w:hAnsi="Times New Roman" w:cs="Times New Roman"/>
                <w:iCs/>
                <w:sz w:val="16"/>
                <w:szCs w:val="16"/>
              </w:rPr>
              <w:t xml:space="preserve"> de sprijin</w:t>
            </w:r>
          </w:p>
        </w:tc>
        <w:tc>
          <w:tcPr>
            <w:tcW w:w="547" w:type="pct"/>
            <w:tcBorders>
              <w:top w:val="single" w:sz="4" w:space="0" w:color="auto"/>
              <w:left w:val="single" w:sz="4" w:space="0" w:color="auto"/>
              <w:bottom w:val="single" w:sz="4" w:space="0" w:color="auto"/>
              <w:right w:val="single" w:sz="4" w:space="0" w:color="auto"/>
            </w:tcBorders>
          </w:tcPr>
          <w:p w14:paraId="22B08095" w14:textId="77777777" w:rsidR="00653571" w:rsidRPr="008C5F1C" w:rsidRDefault="001347FA" w:rsidP="00534127">
            <w:pPr>
              <w:rPr>
                <w:rFonts w:ascii="Times New Roman" w:hAnsi="Times New Roman" w:cs="Times New Roman"/>
                <w:iCs/>
                <w:sz w:val="16"/>
                <w:szCs w:val="16"/>
              </w:rPr>
            </w:pPr>
            <w:r w:rsidRPr="008C5F1C">
              <w:rPr>
                <w:rFonts w:ascii="Times New Roman" w:hAnsi="Times New Roman" w:cs="Times New Roman"/>
                <w:iCs/>
                <w:sz w:val="16"/>
                <w:szCs w:val="16"/>
              </w:rPr>
              <w:lastRenderedPageBreak/>
              <w:t>Vizitatori / an</w:t>
            </w:r>
          </w:p>
        </w:tc>
        <w:tc>
          <w:tcPr>
            <w:tcW w:w="485" w:type="pct"/>
            <w:tcBorders>
              <w:top w:val="single" w:sz="4" w:space="0" w:color="auto"/>
              <w:left w:val="single" w:sz="4" w:space="0" w:color="auto"/>
              <w:bottom w:val="single" w:sz="4" w:space="0" w:color="auto"/>
              <w:right w:val="single" w:sz="4" w:space="0" w:color="auto"/>
            </w:tcBorders>
          </w:tcPr>
          <w:p w14:paraId="68418834" w14:textId="010615D7" w:rsidR="00653571" w:rsidRPr="008C5F1C" w:rsidRDefault="004813E8" w:rsidP="00534127">
            <w:pPr>
              <w:rPr>
                <w:rFonts w:ascii="Times New Roman" w:hAnsi="Times New Roman" w:cs="Times New Roman"/>
                <w:iCs/>
                <w:sz w:val="16"/>
                <w:szCs w:val="16"/>
              </w:rPr>
            </w:pPr>
            <w:r w:rsidRPr="008C5F1C">
              <w:rPr>
                <w:rFonts w:ascii="Times New Roman" w:hAnsi="Times New Roman" w:cs="Times New Roman"/>
                <w:iCs/>
                <w:sz w:val="16"/>
                <w:szCs w:val="16"/>
              </w:rPr>
              <w:t>554.395</w:t>
            </w:r>
          </w:p>
        </w:tc>
        <w:tc>
          <w:tcPr>
            <w:tcW w:w="425" w:type="pct"/>
            <w:tcBorders>
              <w:top w:val="single" w:sz="4" w:space="0" w:color="auto"/>
              <w:left w:val="single" w:sz="4" w:space="0" w:color="auto"/>
              <w:bottom w:val="single" w:sz="4" w:space="0" w:color="auto"/>
              <w:right w:val="single" w:sz="4" w:space="0" w:color="auto"/>
            </w:tcBorders>
          </w:tcPr>
          <w:p w14:paraId="351315F2" w14:textId="47EE598E" w:rsidR="00653571" w:rsidRPr="003D4173" w:rsidRDefault="00EF5438" w:rsidP="00534127">
            <w:pPr>
              <w:rPr>
                <w:rFonts w:ascii="Times New Roman" w:hAnsi="Times New Roman" w:cs="Times New Roman"/>
                <w:bCs/>
                <w:iCs/>
                <w:sz w:val="16"/>
                <w:szCs w:val="16"/>
              </w:rPr>
            </w:pPr>
            <w:r w:rsidRPr="003D4173">
              <w:rPr>
                <w:rFonts w:ascii="Times New Roman" w:hAnsi="Times New Roman" w:cs="Times New Roman"/>
                <w:bCs/>
                <w:iCs/>
                <w:sz w:val="16"/>
                <w:szCs w:val="16"/>
              </w:rPr>
              <w:t>2019</w:t>
            </w:r>
          </w:p>
        </w:tc>
        <w:tc>
          <w:tcPr>
            <w:tcW w:w="485" w:type="pct"/>
            <w:tcBorders>
              <w:top w:val="single" w:sz="4" w:space="0" w:color="auto"/>
              <w:left w:val="single" w:sz="4" w:space="0" w:color="auto"/>
              <w:bottom w:val="single" w:sz="4" w:space="0" w:color="auto"/>
              <w:right w:val="single" w:sz="4" w:space="0" w:color="auto"/>
            </w:tcBorders>
          </w:tcPr>
          <w:p w14:paraId="383DC3B3" w14:textId="61808A7B" w:rsidR="00653571" w:rsidRPr="003D4173" w:rsidRDefault="004813E8" w:rsidP="00534127">
            <w:pPr>
              <w:rPr>
                <w:rFonts w:ascii="Times New Roman" w:hAnsi="Times New Roman" w:cs="Times New Roman"/>
                <w:bCs/>
                <w:iCs/>
                <w:sz w:val="16"/>
                <w:szCs w:val="16"/>
              </w:rPr>
            </w:pPr>
            <w:r w:rsidRPr="003D4173">
              <w:rPr>
                <w:rFonts w:ascii="Times New Roman" w:hAnsi="Times New Roman" w:cs="Times New Roman"/>
                <w:bCs/>
                <w:iCs/>
                <w:sz w:val="16"/>
                <w:szCs w:val="16"/>
              </w:rPr>
              <w:t>637.554</w:t>
            </w:r>
          </w:p>
        </w:tc>
        <w:tc>
          <w:tcPr>
            <w:tcW w:w="325" w:type="pct"/>
            <w:tcBorders>
              <w:top w:val="single" w:sz="4" w:space="0" w:color="auto"/>
              <w:left w:val="single" w:sz="4" w:space="0" w:color="auto"/>
              <w:bottom w:val="single" w:sz="4" w:space="0" w:color="auto"/>
              <w:right w:val="single" w:sz="4" w:space="0" w:color="auto"/>
            </w:tcBorders>
          </w:tcPr>
          <w:p w14:paraId="34897B40" w14:textId="77777777" w:rsidR="00653571" w:rsidRPr="008C5F1C" w:rsidRDefault="00653571" w:rsidP="00534127">
            <w:pPr>
              <w:rPr>
                <w:rFonts w:ascii="Times New Roman" w:hAnsi="Times New Roman" w:cs="Times New Roman"/>
                <w:iCs/>
                <w:sz w:val="16"/>
                <w:szCs w:val="16"/>
              </w:rPr>
            </w:pPr>
          </w:p>
        </w:tc>
        <w:tc>
          <w:tcPr>
            <w:tcW w:w="452" w:type="pct"/>
            <w:tcBorders>
              <w:top w:val="single" w:sz="4" w:space="0" w:color="auto"/>
              <w:left w:val="single" w:sz="4" w:space="0" w:color="auto"/>
              <w:bottom w:val="single" w:sz="4" w:space="0" w:color="auto"/>
              <w:right w:val="single" w:sz="4" w:space="0" w:color="auto"/>
            </w:tcBorders>
          </w:tcPr>
          <w:p w14:paraId="194A1C32" w14:textId="77777777" w:rsidR="00653571" w:rsidRPr="008C5F1C" w:rsidRDefault="00653571" w:rsidP="00534127">
            <w:pPr>
              <w:rPr>
                <w:rFonts w:ascii="Times New Roman" w:hAnsi="Times New Roman" w:cs="Times New Roman"/>
                <w:iCs/>
                <w:sz w:val="16"/>
                <w:szCs w:val="16"/>
              </w:rPr>
            </w:pPr>
          </w:p>
        </w:tc>
      </w:tr>
    </w:tbl>
    <w:p w14:paraId="6747D34F" w14:textId="77777777" w:rsidR="00653571" w:rsidRPr="008C5F1C" w:rsidRDefault="00653571" w:rsidP="00653571">
      <w:pPr>
        <w:rPr>
          <w:rFonts w:ascii="Times New Roman" w:hAnsi="Times New Roman" w:cs="Times New Roman"/>
          <w:b/>
          <w:iCs/>
        </w:rPr>
      </w:pPr>
      <w:r w:rsidRPr="008C5F1C">
        <w:rPr>
          <w:rFonts w:ascii="Times New Roman" w:hAnsi="Times New Roman" w:cs="Times New Roman"/>
          <w:i/>
        </w:rPr>
        <w:t xml:space="preserve">[Point 2.1.1.3 in </w:t>
      </w:r>
      <w:proofErr w:type="spellStart"/>
      <w:r w:rsidRPr="008C5F1C">
        <w:rPr>
          <w:rFonts w:ascii="Times New Roman" w:hAnsi="Times New Roman" w:cs="Times New Roman"/>
          <w:i/>
        </w:rPr>
        <w:t>the</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Commission</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proposal</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has</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been</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moved</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up</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following</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changes</w:t>
      </w:r>
      <w:proofErr w:type="spellEnd"/>
      <w:r w:rsidRPr="008C5F1C">
        <w:rPr>
          <w:rFonts w:ascii="Times New Roman" w:hAnsi="Times New Roman" w:cs="Times New Roman"/>
          <w:i/>
        </w:rPr>
        <w:t xml:space="preserve"> in </w:t>
      </w:r>
      <w:proofErr w:type="spellStart"/>
      <w:r w:rsidRPr="008C5F1C">
        <w:rPr>
          <w:rFonts w:ascii="Times New Roman" w:hAnsi="Times New Roman" w:cs="Times New Roman"/>
          <w:i/>
        </w:rPr>
        <w:t>Article</w:t>
      </w:r>
      <w:proofErr w:type="spellEnd"/>
      <w:r w:rsidRPr="008C5F1C">
        <w:rPr>
          <w:rFonts w:ascii="Times New Roman" w:hAnsi="Times New Roman" w:cs="Times New Roman"/>
          <w:i/>
        </w:rPr>
        <w:t xml:space="preserve"> 17(3)(c) CPR </w:t>
      </w:r>
      <w:proofErr w:type="spellStart"/>
      <w:r w:rsidRPr="008C5F1C">
        <w:rPr>
          <w:rFonts w:ascii="Times New Roman" w:hAnsi="Times New Roman" w:cs="Times New Roman"/>
          <w:i/>
        </w:rPr>
        <w:t>and</w:t>
      </w:r>
      <w:proofErr w:type="spellEnd"/>
      <w:r w:rsidRPr="008C5F1C">
        <w:rPr>
          <w:rFonts w:ascii="Times New Roman" w:hAnsi="Times New Roman" w:cs="Times New Roman"/>
          <w:i/>
        </w:rPr>
        <w:t xml:space="preserve"> it </w:t>
      </w:r>
      <w:proofErr w:type="spellStart"/>
      <w:r w:rsidRPr="008C5F1C">
        <w:rPr>
          <w:rFonts w:ascii="Times New Roman" w:hAnsi="Times New Roman" w:cs="Times New Roman"/>
          <w:i/>
        </w:rPr>
        <w:t>is</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now</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point</w:t>
      </w:r>
      <w:proofErr w:type="spellEnd"/>
      <w:r w:rsidRPr="008C5F1C">
        <w:rPr>
          <w:rFonts w:ascii="Times New Roman" w:hAnsi="Times New Roman" w:cs="Times New Roman"/>
          <w:i/>
        </w:rPr>
        <w:t xml:space="preserve"> 2.1.1.bis]</w:t>
      </w:r>
    </w:p>
    <w:p w14:paraId="49825AFC" w14:textId="77777777" w:rsidR="00653571" w:rsidRPr="008C5F1C" w:rsidRDefault="00653571" w:rsidP="00653571">
      <w:pPr>
        <w:rPr>
          <w:rFonts w:ascii="Times New Roman" w:hAnsi="Times New Roman" w:cs="Times New Roman"/>
        </w:rPr>
      </w:pPr>
    </w:p>
    <w:p w14:paraId="28E954DB" w14:textId="77777777" w:rsidR="00653571" w:rsidRPr="008C5F1C" w:rsidRDefault="00653571" w:rsidP="00653571">
      <w:pPr>
        <w:pStyle w:val="Heading3"/>
        <w:numPr>
          <w:ilvl w:val="0"/>
          <w:numId w:val="0"/>
        </w:numPr>
        <w:shd w:val="clear" w:color="auto" w:fill="B4C6E7" w:themeFill="accent1" w:themeFillTint="66"/>
        <w:rPr>
          <w:rFonts w:cs="Times New Roman"/>
          <w:noProof/>
          <w:lang w:val="ro-RO"/>
        </w:rPr>
      </w:pPr>
      <w:bookmarkStart w:id="127" w:name="_Toc39840946"/>
      <w:r w:rsidRPr="008C5F1C">
        <w:rPr>
          <w:rFonts w:cs="Times New Roman"/>
          <w:noProof/>
          <w:lang w:val="ro-RO"/>
        </w:rPr>
        <w:t>2.A.3 e (ii) Favorizarea dezvolt</w:t>
      </w:r>
      <w:r w:rsidR="00BA7827" w:rsidRPr="008C5F1C">
        <w:rPr>
          <w:rFonts w:cs="Times New Roman"/>
          <w:noProof/>
          <w:lang w:val="ro-RO"/>
        </w:rPr>
        <w:t>ă</w:t>
      </w:r>
      <w:r w:rsidRPr="008C5F1C">
        <w:rPr>
          <w:rFonts w:cs="Times New Roman"/>
          <w:noProof/>
          <w:lang w:val="ro-RO"/>
        </w:rPr>
        <w:t xml:space="preserve">rii integrate sociale, economice </w:t>
      </w:r>
      <w:r w:rsidR="00106240" w:rsidRPr="008C5F1C">
        <w:rPr>
          <w:rFonts w:cs="Times New Roman"/>
          <w:noProof/>
          <w:lang w:val="ro-RO"/>
        </w:rPr>
        <w:t>ș</w:t>
      </w:r>
      <w:r w:rsidRPr="008C5F1C">
        <w:rPr>
          <w:rFonts w:cs="Times New Roman"/>
          <w:noProof/>
          <w:lang w:val="ro-RO"/>
        </w:rPr>
        <w:t xml:space="preserve">i de mediu la nivel local </w:t>
      </w:r>
      <w:r w:rsidR="00106240" w:rsidRPr="008C5F1C">
        <w:rPr>
          <w:rFonts w:cs="Times New Roman"/>
          <w:noProof/>
          <w:lang w:val="ro-RO"/>
        </w:rPr>
        <w:t>ș</w:t>
      </w:r>
      <w:r w:rsidRPr="008C5F1C">
        <w:rPr>
          <w:rFonts w:cs="Times New Roman"/>
          <w:noProof/>
          <w:lang w:val="ro-RO"/>
        </w:rPr>
        <w:t xml:space="preserve">i a patrimoniului cultural, turismului </w:t>
      </w:r>
      <w:r w:rsidR="00106240" w:rsidRPr="008C5F1C">
        <w:rPr>
          <w:rFonts w:cs="Times New Roman"/>
          <w:noProof/>
          <w:lang w:val="ro-RO"/>
        </w:rPr>
        <w:t>ș</w:t>
      </w:r>
      <w:r w:rsidRPr="008C5F1C">
        <w:rPr>
          <w:rFonts w:cs="Times New Roman"/>
          <w:noProof/>
          <w:lang w:val="ro-RO"/>
        </w:rPr>
        <w:t>i securit</w:t>
      </w:r>
      <w:r w:rsidR="00BA7827" w:rsidRPr="008C5F1C">
        <w:rPr>
          <w:rFonts w:cs="Times New Roman"/>
          <w:noProof/>
          <w:lang w:val="ro-RO"/>
        </w:rPr>
        <w:t>ă</w:t>
      </w:r>
      <w:r w:rsidR="00E22FF2" w:rsidRPr="008C5F1C">
        <w:rPr>
          <w:rFonts w:cs="Times New Roman"/>
          <w:noProof/>
          <w:lang w:val="ro-RO"/>
        </w:rPr>
        <w:t>ț</w:t>
      </w:r>
      <w:r w:rsidRPr="008C5F1C">
        <w:rPr>
          <w:rFonts w:cs="Times New Roman"/>
          <w:noProof/>
          <w:lang w:val="ro-RO"/>
        </w:rPr>
        <w:t>ii în</w:t>
      </w:r>
      <w:r w:rsidR="002A5FA8" w:rsidRPr="008C5F1C">
        <w:rPr>
          <w:rFonts w:cs="Times New Roman"/>
          <w:noProof/>
          <w:lang w:val="ro-RO"/>
        </w:rPr>
        <w:t xml:space="preserve"> </w:t>
      </w:r>
      <w:r w:rsidRPr="008C5F1C">
        <w:rPr>
          <w:rFonts w:cs="Times New Roman"/>
          <w:noProof/>
          <w:lang w:val="ro-RO"/>
        </w:rPr>
        <w:t>afara zonelor urbane</w:t>
      </w:r>
      <w:bookmarkEnd w:id="127"/>
    </w:p>
    <w:p w14:paraId="1A693133" w14:textId="77777777" w:rsidR="00653571" w:rsidRPr="008C5F1C" w:rsidRDefault="00653571" w:rsidP="00653571">
      <w:pPr>
        <w:pStyle w:val="Heading4"/>
        <w:numPr>
          <w:ilvl w:val="0"/>
          <w:numId w:val="0"/>
        </w:numPr>
        <w:ind w:left="851" w:hanging="851"/>
        <w:rPr>
          <w:rFonts w:cs="Times New Roman"/>
          <w:b/>
          <w:bCs/>
          <w:lang w:val="ro-RO"/>
        </w:rPr>
      </w:pPr>
      <w:r w:rsidRPr="008C5F1C">
        <w:rPr>
          <w:rFonts w:cs="Times New Roman"/>
          <w:b/>
          <w:bCs/>
          <w:lang w:val="ro-RO"/>
        </w:rPr>
        <w:t xml:space="preserve">2.A.3.1 </w:t>
      </w:r>
      <w:proofErr w:type="spellStart"/>
      <w:r w:rsidRPr="008C5F1C">
        <w:rPr>
          <w:rFonts w:cs="Times New Roman"/>
          <w:b/>
          <w:bCs/>
          <w:lang w:val="ro-RO"/>
        </w:rPr>
        <w:t>Interventions</w:t>
      </w:r>
      <w:proofErr w:type="spellEnd"/>
      <w:r w:rsidRPr="008C5F1C">
        <w:rPr>
          <w:rFonts w:cs="Times New Roman"/>
          <w:b/>
          <w:bCs/>
          <w:lang w:val="ro-RO"/>
        </w:rPr>
        <w:t xml:space="preserve"> of </w:t>
      </w:r>
      <w:proofErr w:type="spellStart"/>
      <w:r w:rsidRPr="008C5F1C">
        <w:rPr>
          <w:rFonts w:cs="Times New Roman"/>
          <w:b/>
          <w:bCs/>
          <w:lang w:val="ro-RO"/>
        </w:rPr>
        <w:t>the</w:t>
      </w:r>
      <w:proofErr w:type="spellEnd"/>
      <w:r w:rsidRPr="008C5F1C">
        <w:rPr>
          <w:rFonts w:cs="Times New Roman"/>
          <w:b/>
          <w:bCs/>
          <w:lang w:val="ro-RO"/>
        </w:rPr>
        <w:t xml:space="preserve"> </w:t>
      </w:r>
      <w:proofErr w:type="spellStart"/>
      <w:r w:rsidRPr="008C5F1C">
        <w:rPr>
          <w:rFonts w:cs="Times New Roman"/>
          <w:b/>
          <w:bCs/>
          <w:lang w:val="ro-RO"/>
        </w:rPr>
        <w:t>Funds</w:t>
      </w:r>
      <w:proofErr w:type="spellEnd"/>
    </w:p>
    <w:p w14:paraId="50912A9F" w14:textId="77777777" w:rsidR="00653571" w:rsidRPr="008C5F1C" w:rsidRDefault="00653571" w:rsidP="00653571">
      <w:pPr>
        <w:spacing w:before="120" w:after="120" w:line="360" w:lineRule="auto"/>
        <w:rPr>
          <w:rFonts w:ascii="Times New Roman" w:eastAsia="Times New Roman" w:hAnsi="Times New Roman" w:cs="Times New Roman"/>
          <w:i/>
          <w:noProof/>
          <w:sz w:val="24"/>
          <w:szCs w:val="24"/>
        </w:rPr>
      </w:pPr>
      <w:r w:rsidRPr="008C5F1C">
        <w:rPr>
          <w:rFonts w:ascii="Times New Roman" w:eastAsia="Times New Roman" w:hAnsi="Times New Roman" w:cs="Times New Roman"/>
          <w:i/>
          <w:noProof/>
          <w:sz w:val="24"/>
          <w:szCs w:val="24"/>
        </w:rPr>
        <w:t>Reference: Article 17(3)(d)(i),(iii),(iv),(v),(vi);</w:t>
      </w:r>
    </w:p>
    <w:p w14:paraId="6C1CFF55" w14:textId="77777777" w:rsidR="00653571" w:rsidRPr="008C5F1C" w:rsidRDefault="00653571" w:rsidP="00653571">
      <w:pPr>
        <w:bidi/>
        <w:spacing w:before="120" w:after="120" w:line="360" w:lineRule="auto"/>
        <w:jc w:val="right"/>
        <w:rPr>
          <w:rFonts w:ascii="Times New Roman" w:eastAsia="Times New Roman" w:hAnsi="Times New Roman" w:cs="Times New Roman"/>
          <w:b/>
          <w:bCs/>
          <w:i/>
          <w:iCs/>
          <w:noProof/>
          <w:sz w:val="24"/>
          <w:szCs w:val="24"/>
          <w:u w:val="single"/>
        </w:rPr>
      </w:pPr>
      <w:r w:rsidRPr="008C5F1C">
        <w:rPr>
          <w:rFonts w:ascii="Times New Roman" w:eastAsia="Times New Roman" w:hAnsi="Times New Roman" w:cs="Times New Roman"/>
          <w:i/>
          <w:noProof/>
          <w:sz w:val="24"/>
          <w:szCs w:val="24"/>
        </w:rPr>
        <w:t>The related types of actions – Article 17(3)(d)(i) CPR; Article 6(2) ESF+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653571" w:rsidRPr="008C5F1C" w14:paraId="40FE2AC0" w14:textId="77777777" w:rsidTr="00534127">
        <w:tc>
          <w:tcPr>
            <w:tcW w:w="9288" w:type="dxa"/>
            <w:tcBorders>
              <w:top w:val="single" w:sz="4" w:space="0" w:color="auto"/>
              <w:left w:val="single" w:sz="4" w:space="0" w:color="auto"/>
              <w:bottom w:val="single" w:sz="4" w:space="0" w:color="auto"/>
              <w:right w:val="single" w:sz="4" w:space="0" w:color="auto"/>
            </w:tcBorders>
            <w:hideMark/>
          </w:tcPr>
          <w:p w14:paraId="2F7C5D76" w14:textId="77777777" w:rsidR="00C01464" w:rsidRPr="008C5F1C" w:rsidRDefault="00C01464" w:rsidP="001A64EA">
            <w:pPr>
              <w:suppressAutoHyphens/>
              <w:spacing w:after="120" w:line="240" w:lineRule="auto"/>
              <w:jc w:val="both"/>
              <w:rPr>
                <w:rFonts w:ascii="Times New Roman" w:eastAsia="Times New Roman" w:hAnsi="Times New Roman" w:cs="Times New Roman"/>
                <w:lang w:eastAsia="ar-SA"/>
              </w:rPr>
            </w:pPr>
            <w:r w:rsidRPr="008C5F1C">
              <w:rPr>
                <w:rFonts w:ascii="Times New Roman" w:eastAsia="Times New Roman" w:hAnsi="Times New Roman" w:cs="Times New Roman"/>
                <w:lang w:eastAsia="ar-SA"/>
              </w:rPr>
              <w:t>Mediul rural din Regiunea Nord-Vest este format din 403 comune. Din totalul de 1.800 sate, din punct de vedere administrativ 48 de sate aparțin de municipii și orașe (făcând astfel parte din mediul urban, nu sunt eligibile pentru fondurile de dezvoltare rurală). Teritoriul acoperit de localitățile rurale din regiune este 29.285,93 km</w:t>
            </w:r>
            <w:r w:rsidRPr="008C5F1C">
              <w:rPr>
                <w:rFonts w:ascii="Times New Roman" w:eastAsia="Times New Roman" w:hAnsi="Times New Roman" w:cs="Times New Roman"/>
                <w:vertAlign w:val="superscript"/>
                <w:lang w:eastAsia="ar-SA"/>
              </w:rPr>
              <w:t>2</w:t>
            </w:r>
            <w:r w:rsidRPr="008C5F1C">
              <w:rPr>
                <w:rFonts w:ascii="Times New Roman" w:eastAsia="Times New Roman" w:hAnsi="Times New Roman" w:cs="Times New Roman"/>
                <w:lang w:eastAsia="ar-SA"/>
              </w:rPr>
              <w:t>, reprezentând 85,73% din suprafața totală. Comunele din regiune sunt de mărime variată, populația medie fiind 3229 locuitori. Cea mai mare comună este Florești (județul Cluj) cu 38.257 locuitori, populația acestei comune crescând cu 152,30% în perioada 2011-2019. A doua ca mărime este comuna Apahida (județul Cluj), cu 13.854 locuitori, urmată de Sânmartin (județul Bihor) cu 11.778 locuitori.</w:t>
            </w:r>
          </w:p>
          <w:p w14:paraId="511A3BD4" w14:textId="77777777" w:rsidR="00C01464" w:rsidRPr="008C5F1C" w:rsidRDefault="00C01464" w:rsidP="001A64EA">
            <w:pPr>
              <w:suppressAutoHyphens/>
              <w:spacing w:after="0" w:line="240" w:lineRule="auto"/>
              <w:jc w:val="both"/>
              <w:rPr>
                <w:rFonts w:ascii="Times New Roman" w:eastAsia="Times New Roman" w:hAnsi="Times New Roman" w:cs="Times New Roman"/>
                <w:lang w:eastAsia="ar-SA"/>
              </w:rPr>
            </w:pPr>
            <w:r w:rsidRPr="008C5F1C">
              <w:rPr>
                <w:rFonts w:ascii="Times New Roman" w:eastAsia="Times New Roman" w:hAnsi="Times New Roman" w:cs="Times New Roman"/>
                <w:lang w:eastAsia="ar-SA"/>
              </w:rPr>
              <w:t>Intervențiile POR în spațiul rural sunt complementare PNDR și vizează palierele de dezvoltare care, pe de o parte, nu sunt acoperite prin PNDR și, pe de altă parte, sunt strâns legate de investițiile din mediul urban. Drept urmare, pentru implementarea intervențiilor din zonele rurale, abordarea integrată trebuie să demonstreze, pe bază de dovezi și prin documente strategice la nivel local/regional sau național, relevanța și valoarea adăugată a investițiilor pentru:</w:t>
            </w:r>
          </w:p>
          <w:p w14:paraId="76760430" w14:textId="77777777" w:rsidR="00C01464" w:rsidRPr="008C5F1C" w:rsidRDefault="00C01464" w:rsidP="001A64EA">
            <w:pPr>
              <w:numPr>
                <w:ilvl w:val="0"/>
                <w:numId w:val="67"/>
              </w:numPr>
              <w:suppressAutoHyphens/>
              <w:spacing w:after="0" w:line="240" w:lineRule="auto"/>
              <w:ind w:left="714" w:hanging="357"/>
              <w:jc w:val="both"/>
              <w:rPr>
                <w:rFonts w:ascii="Times New Roman" w:eastAsia="Times New Roman" w:hAnsi="Times New Roman" w:cs="Times New Roman"/>
                <w:lang w:eastAsia="ar-SA"/>
              </w:rPr>
            </w:pPr>
            <w:r w:rsidRPr="008C5F1C">
              <w:rPr>
                <w:rFonts w:ascii="Times New Roman" w:eastAsia="Times New Roman" w:hAnsi="Times New Roman" w:cs="Times New Roman"/>
                <w:lang w:eastAsia="ar-SA"/>
              </w:rPr>
              <w:t>creșterea eficacității investițiilor derulate în mediul urban</w:t>
            </w:r>
          </w:p>
          <w:p w14:paraId="288B8CEA" w14:textId="77777777" w:rsidR="00C01464" w:rsidRPr="008C5F1C" w:rsidRDefault="00C01464" w:rsidP="001A64EA">
            <w:pPr>
              <w:numPr>
                <w:ilvl w:val="0"/>
                <w:numId w:val="67"/>
              </w:numPr>
              <w:suppressAutoHyphens/>
              <w:spacing w:after="0" w:line="240" w:lineRule="auto"/>
              <w:ind w:left="714" w:hanging="357"/>
              <w:jc w:val="both"/>
              <w:rPr>
                <w:rFonts w:ascii="Times New Roman" w:eastAsia="Times New Roman" w:hAnsi="Times New Roman" w:cs="Times New Roman"/>
                <w:lang w:eastAsia="ar-SA"/>
              </w:rPr>
            </w:pPr>
            <w:r w:rsidRPr="008C5F1C">
              <w:rPr>
                <w:rFonts w:ascii="Times New Roman" w:eastAsia="Times New Roman" w:hAnsi="Times New Roman" w:cs="Times New Roman"/>
                <w:lang w:eastAsia="ar-SA"/>
              </w:rPr>
              <w:t>valorificarea economică a potențialului turistic</w:t>
            </w:r>
          </w:p>
          <w:p w14:paraId="0CA9C102" w14:textId="77777777" w:rsidR="00C01464" w:rsidRPr="008C5F1C" w:rsidRDefault="00C01464" w:rsidP="001A64EA">
            <w:pPr>
              <w:numPr>
                <w:ilvl w:val="0"/>
                <w:numId w:val="67"/>
              </w:numPr>
              <w:suppressAutoHyphens/>
              <w:spacing w:after="0" w:line="240" w:lineRule="auto"/>
              <w:ind w:left="714" w:hanging="357"/>
              <w:jc w:val="both"/>
              <w:rPr>
                <w:rFonts w:ascii="Times New Roman" w:eastAsia="Times New Roman" w:hAnsi="Times New Roman" w:cs="Times New Roman"/>
                <w:lang w:eastAsia="ar-SA"/>
              </w:rPr>
            </w:pPr>
            <w:r w:rsidRPr="008C5F1C">
              <w:rPr>
                <w:rFonts w:ascii="Times New Roman" w:eastAsia="Times New Roman" w:hAnsi="Times New Roman" w:cs="Times New Roman"/>
                <w:lang w:eastAsia="ar-SA"/>
              </w:rPr>
              <w:t>valorificarea economică a potențialului patrimoniului natural și cultural</w:t>
            </w:r>
          </w:p>
          <w:p w14:paraId="675E0E97" w14:textId="77777777" w:rsidR="00C01464" w:rsidRPr="008C5F1C" w:rsidRDefault="00C01464" w:rsidP="001A64EA">
            <w:pPr>
              <w:suppressAutoHyphens/>
              <w:spacing w:after="120" w:line="240" w:lineRule="auto"/>
              <w:jc w:val="both"/>
              <w:rPr>
                <w:rFonts w:ascii="Times New Roman" w:eastAsia="Times New Roman" w:hAnsi="Times New Roman" w:cs="Times New Roman"/>
                <w:lang w:eastAsia="ar-SA"/>
              </w:rPr>
            </w:pPr>
            <w:r w:rsidRPr="008C5F1C">
              <w:rPr>
                <w:rFonts w:ascii="Times New Roman" w:eastAsia="Times New Roman" w:hAnsi="Times New Roman" w:cs="Times New Roman"/>
                <w:lang w:eastAsia="ar-SA"/>
              </w:rPr>
              <w:t>La nivelul regiunii sunt prezente 34 de Grupuri de Acțiune Locală (GAL) în regiune, care reprezintă parteneriate între autoritățile locale, sectoarele private și civile. Rolul lor a fost acela de a pregăti și implementa strategiile de dezvoltare locală în cadrul Axei LEADER din PNDR 2014-2020. Acestea, cel mai probabil, vor continua să funcționeze și în perioada următoare.</w:t>
            </w:r>
          </w:p>
          <w:p w14:paraId="1E629EC9" w14:textId="77777777" w:rsidR="00C01464" w:rsidRPr="008C5F1C" w:rsidRDefault="00C01464" w:rsidP="001A64EA">
            <w:pPr>
              <w:suppressAutoHyphens/>
              <w:spacing w:after="120" w:line="240" w:lineRule="auto"/>
              <w:jc w:val="both"/>
              <w:rPr>
                <w:rFonts w:ascii="Times New Roman" w:eastAsia="Times New Roman" w:hAnsi="Times New Roman" w:cs="Times New Roman"/>
                <w:lang w:eastAsia="ar-SA"/>
              </w:rPr>
            </w:pPr>
            <w:r w:rsidRPr="008C5F1C">
              <w:rPr>
                <w:rFonts w:ascii="Times New Roman" w:eastAsia="Times New Roman" w:hAnsi="Times New Roman" w:cs="Times New Roman"/>
                <w:lang w:eastAsia="ar-SA"/>
              </w:rPr>
              <w:t xml:space="preserve">Guvernanța </w:t>
            </w:r>
            <w:proofErr w:type="spellStart"/>
            <w:r w:rsidRPr="008C5F1C">
              <w:rPr>
                <w:rFonts w:ascii="Times New Roman" w:eastAsia="Times New Roman" w:hAnsi="Times New Roman" w:cs="Times New Roman"/>
                <w:lang w:eastAsia="ar-SA"/>
              </w:rPr>
              <w:t>multi</w:t>
            </w:r>
            <w:proofErr w:type="spellEnd"/>
            <w:r w:rsidRPr="008C5F1C">
              <w:rPr>
                <w:rFonts w:ascii="Times New Roman" w:eastAsia="Times New Roman" w:hAnsi="Times New Roman" w:cs="Times New Roman"/>
                <w:lang w:eastAsia="ar-SA"/>
              </w:rPr>
              <w:t xml:space="preserve">-nivel și parteneriatul vor fi implementate și în cazul intervențiilor din zonele ne-urbane. </w:t>
            </w:r>
          </w:p>
          <w:p w14:paraId="48723606" w14:textId="77777777" w:rsidR="00653571" w:rsidRPr="008C5F1C" w:rsidRDefault="00653571" w:rsidP="001A64EA">
            <w:pPr>
              <w:pStyle w:val="Default"/>
              <w:spacing w:after="120"/>
              <w:jc w:val="both"/>
              <w:rPr>
                <w:rFonts w:ascii="Times New Roman" w:hAnsi="Times New Roman" w:cs="Times New Roman"/>
                <w:bCs/>
                <w:color w:val="auto"/>
                <w:sz w:val="22"/>
                <w:szCs w:val="22"/>
                <w:lang w:val="ro-RO"/>
              </w:rPr>
            </w:pPr>
            <w:r w:rsidRPr="008C5F1C">
              <w:rPr>
                <w:rFonts w:ascii="Times New Roman" w:hAnsi="Times New Roman" w:cs="Times New Roman"/>
                <w:bCs/>
                <w:color w:val="auto"/>
                <w:sz w:val="22"/>
                <w:szCs w:val="22"/>
                <w:lang w:val="ro-RO"/>
              </w:rPr>
              <w:t>Regiunea de Dezvoltare Nord-Vest beneficiaz</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de un complex de factori turistici morfologici, climatici, hidrografici </w:t>
            </w:r>
            <w:r w:rsidR="00106240" w:rsidRPr="008C5F1C">
              <w:rPr>
                <w:rFonts w:ascii="Times New Roman" w:hAnsi="Times New Roman" w:cs="Times New Roman"/>
                <w:bCs/>
                <w:color w:val="auto"/>
                <w:sz w:val="22"/>
                <w:szCs w:val="22"/>
                <w:lang w:val="ro-RO"/>
              </w:rPr>
              <w:t>ș</w:t>
            </w:r>
            <w:r w:rsidRPr="008C5F1C">
              <w:rPr>
                <w:rFonts w:ascii="Times New Roman" w:hAnsi="Times New Roman" w:cs="Times New Roman"/>
                <w:bCs/>
                <w:color w:val="auto"/>
                <w:sz w:val="22"/>
                <w:szCs w:val="22"/>
                <w:lang w:val="ro-RO"/>
              </w:rPr>
              <w:t>i biogeografici cu valoare atractiv</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deosebit</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Un num</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r însemnat de resurse naturale din regiune au poten</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ial ridicat în a fi (mai bine) valorificate, îns</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r</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mân în umbr</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din cauza dificult</w:t>
            </w:r>
            <w:r w:rsidR="00BA7827" w:rsidRPr="008C5F1C">
              <w:rPr>
                <w:rFonts w:ascii="Times New Roman" w:hAnsi="Times New Roman" w:cs="Times New Roman"/>
                <w:bCs/>
                <w:color w:val="auto"/>
                <w:sz w:val="22"/>
                <w:szCs w:val="22"/>
                <w:lang w:val="ro-RO"/>
              </w:rPr>
              <w:t>ă</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ilor de acces (în lips</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sau nemodernizate) </w:t>
            </w:r>
            <w:r w:rsidR="00106240" w:rsidRPr="008C5F1C">
              <w:rPr>
                <w:rFonts w:ascii="Times New Roman" w:hAnsi="Times New Roman" w:cs="Times New Roman"/>
                <w:bCs/>
                <w:color w:val="auto"/>
                <w:sz w:val="22"/>
                <w:szCs w:val="22"/>
                <w:lang w:val="ro-RO"/>
              </w:rPr>
              <w:t>ș</w:t>
            </w:r>
            <w:r w:rsidRPr="008C5F1C">
              <w:rPr>
                <w:rFonts w:ascii="Times New Roman" w:hAnsi="Times New Roman" w:cs="Times New Roman"/>
                <w:bCs/>
                <w:color w:val="auto"/>
                <w:sz w:val="22"/>
                <w:szCs w:val="22"/>
                <w:lang w:val="ro-RO"/>
              </w:rPr>
              <w:t>i a lipsei unor amenaj</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ri minime care s</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permit</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vizitarea lor în condi</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ii optime. În ciuda poten</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ialului ridicat, activitatea turistic</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este concentrat</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în câteva centre, restul obiectivelor r</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mânând în mare m</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sur</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nevalorificate.</w:t>
            </w:r>
          </w:p>
          <w:p w14:paraId="608F5613" w14:textId="77777777" w:rsidR="00653571" w:rsidRPr="008C5F1C" w:rsidRDefault="00653571" w:rsidP="001A64EA">
            <w:pPr>
              <w:pStyle w:val="Default"/>
              <w:spacing w:after="120"/>
              <w:jc w:val="both"/>
              <w:rPr>
                <w:rFonts w:ascii="Times New Roman" w:hAnsi="Times New Roman" w:cs="Times New Roman"/>
                <w:bCs/>
                <w:color w:val="auto"/>
                <w:sz w:val="22"/>
                <w:szCs w:val="22"/>
                <w:lang w:val="ro-RO"/>
              </w:rPr>
            </w:pPr>
            <w:r w:rsidRPr="008C5F1C">
              <w:rPr>
                <w:rFonts w:ascii="Times New Roman" w:hAnsi="Times New Roman" w:cs="Times New Roman"/>
                <w:bCs/>
                <w:color w:val="auto"/>
                <w:sz w:val="22"/>
                <w:szCs w:val="22"/>
                <w:lang w:val="ro-RO"/>
              </w:rPr>
              <w:t>În particular, sectorul balnear este considerat unul dintre domeniile cu cel mai ridicat poten</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ial, atât din perspectiva exploat</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rii resurselor, cât </w:t>
            </w:r>
            <w:r w:rsidR="00106240" w:rsidRPr="008C5F1C">
              <w:rPr>
                <w:rFonts w:ascii="Times New Roman" w:hAnsi="Times New Roman" w:cs="Times New Roman"/>
                <w:bCs/>
                <w:color w:val="auto"/>
                <w:sz w:val="22"/>
                <w:szCs w:val="22"/>
                <w:lang w:val="ro-RO"/>
              </w:rPr>
              <w:t>ș</w:t>
            </w:r>
            <w:r w:rsidRPr="008C5F1C">
              <w:rPr>
                <w:rFonts w:ascii="Times New Roman" w:hAnsi="Times New Roman" w:cs="Times New Roman"/>
                <w:bCs/>
                <w:color w:val="auto"/>
                <w:sz w:val="22"/>
                <w:szCs w:val="22"/>
                <w:lang w:val="ro-RO"/>
              </w:rPr>
              <w:t>i a tendin</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elor favorizante manifestate la nivel mondial, privind turismul de „</w:t>
            </w:r>
            <w:proofErr w:type="spellStart"/>
            <w:r w:rsidRPr="008C5F1C">
              <w:rPr>
                <w:rFonts w:ascii="Times New Roman" w:hAnsi="Times New Roman" w:cs="Times New Roman"/>
                <w:bCs/>
                <w:color w:val="auto"/>
                <w:sz w:val="22"/>
                <w:szCs w:val="22"/>
                <w:lang w:val="ro-RO"/>
              </w:rPr>
              <w:t>wellness</w:t>
            </w:r>
            <w:proofErr w:type="spellEnd"/>
            <w:r w:rsidRPr="008C5F1C">
              <w:rPr>
                <w:rFonts w:ascii="Times New Roman" w:hAnsi="Times New Roman" w:cs="Times New Roman"/>
                <w:bCs/>
                <w:color w:val="auto"/>
                <w:sz w:val="22"/>
                <w:szCs w:val="22"/>
                <w:lang w:val="ro-RO"/>
              </w:rPr>
              <w:t>”.</w:t>
            </w:r>
          </w:p>
          <w:p w14:paraId="75E60532" w14:textId="77777777" w:rsidR="000C29D6" w:rsidRPr="008C5F1C" w:rsidRDefault="000C29D6" w:rsidP="001A64EA">
            <w:pPr>
              <w:pStyle w:val="Default"/>
              <w:spacing w:after="120"/>
              <w:jc w:val="both"/>
              <w:rPr>
                <w:rFonts w:ascii="Times New Roman" w:hAnsi="Times New Roman" w:cs="Times New Roman"/>
                <w:bCs/>
                <w:color w:val="auto"/>
                <w:sz w:val="22"/>
                <w:szCs w:val="22"/>
                <w:lang w:val="ro-RO"/>
              </w:rPr>
            </w:pPr>
            <w:r w:rsidRPr="008C5F1C">
              <w:rPr>
                <w:rFonts w:ascii="Times New Roman" w:hAnsi="Times New Roman" w:cs="Times New Roman"/>
                <w:bCs/>
                <w:color w:val="auto"/>
                <w:sz w:val="22"/>
                <w:szCs w:val="22"/>
                <w:lang w:val="ro-RO"/>
              </w:rPr>
              <w:lastRenderedPageBreak/>
              <w:t>Infrastructura public</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de turism este în continuare  precar</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w:t>
            </w:r>
            <w:r w:rsidRPr="008C5F1C">
              <w:rPr>
                <w:rFonts w:ascii="Times New Roman" w:hAnsi="Times New Roman" w:cs="Times New Roman"/>
                <w:color w:val="auto"/>
                <w:lang w:val="ro-RO"/>
              </w:rPr>
              <w:t xml:space="preserve"> </w:t>
            </w:r>
            <w:r w:rsidRPr="008C5F1C">
              <w:rPr>
                <w:rFonts w:ascii="Times New Roman" w:hAnsi="Times New Roman" w:cs="Times New Roman"/>
                <w:bCs/>
                <w:color w:val="auto"/>
                <w:sz w:val="22"/>
                <w:szCs w:val="22"/>
                <w:lang w:val="ro-RO"/>
              </w:rPr>
              <w:t>În ciuda investi</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iilor realizate în perioadele anterioare de programare, nevoile privind modernizarea capacit</w:t>
            </w:r>
            <w:r w:rsidR="00BA7827" w:rsidRPr="008C5F1C">
              <w:rPr>
                <w:rFonts w:ascii="Times New Roman" w:hAnsi="Times New Roman" w:cs="Times New Roman"/>
                <w:bCs/>
                <w:color w:val="auto"/>
                <w:sz w:val="22"/>
                <w:szCs w:val="22"/>
                <w:lang w:val="ro-RO"/>
              </w:rPr>
              <w:t>ă</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 xml:space="preserve">ilor de primire </w:t>
            </w:r>
            <w:r w:rsidR="00106240" w:rsidRPr="008C5F1C">
              <w:rPr>
                <w:rFonts w:ascii="Times New Roman" w:hAnsi="Times New Roman" w:cs="Times New Roman"/>
                <w:bCs/>
                <w:color w:val="auto"/>
                <w:sz w:val="22"/>
                <w:szCs w:val="22"/>
                <w:lang w:val="ro-RO"/>
              </w:rPr>
              <w:t>ș</w:t>
            </w:r>
            <w:r w:rsidRPr="008C5F1C">
              <w:rPr>
                <w:rFonts w:ascii="Times New Roman" w:hAnsi="Times New Roman" w:cs="Times New Roman"/>
                <w:bCs/>
                <w:color w:val="auto"/>
                <w:sz w:val="22"/>
                <w:szCs w:val="22"/>
                <w:lang w:val="ro-RO"/>
              </w:rPr>
              <w:t>i a bazelor de agrement r</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mân ridicate. Infrastructura edilitar</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a sta</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iunilor este într-o stare avansat</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de degradare: c</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ile de circula</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ie, parc</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rile, spa</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 xml:space="preserve">iile verzi </w:t>
            </w:r>
            <w:r w:rsidR="00106240" w:rsidRPr="008C5F1C">
              <w:rPr>
                <w:rFonts w:ascii="Times New Roman" w:hAnsi="Times New Roman" w:cs="Times New Roman"/>
                <w:bCs/>
                <w:color w:val="auto"/>
                <w:sz w:val="22"/>
                <w:szCs w:val="22"/>
                <w:lang w:val="ro-RO"/>
              </w:rPr>
              <w:t>ș</w:t>
            </w:r>
            <w:r w:rsidRPr="008C5F1C">
              <w:rPr>
                <w:rFonts w:ascii="Times New Roman" w:hAnsi="Times New Roman" w:cs="Times New Roman"/>
                <w:bCs/>
                <w:color w:val="auto"/>
                <w:sz w:val="22"/>
                <w:szCs w:val="22"/>
                <w:lang w:val="ro-RO"/>
              </w:rPr>
              <w:t>i recreative, fa</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adele cl</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dirilor.</w:t>
            </w:r>
          </w:p>
          <w:p w14:paraId="14623764" w14:textId="0E78974D" w:rsidR="00653571" w:rsidRPr="008C5F1C" w:rsidRDefault="00653571" w:rsidP="001A64EA">
            <w:pPr>
              <w:pStyle w:val="Default"/>
              <w:spacing w:after="120"/>
              <w:jc w:val="both"/>
              <w:rPr>
                <w:rFonts w:ascii="Times New Roman" w:hAnsi="Times New Roman" w:cs="Times New Roman"/>
                <w:bCs/>
                <w:color w:val="auto"/>
                <w:sz w:val="22"/>
                <w:szCs w:val="22"/>
                <w:lang w:val="ro-RO"/>
              </w:rPr>
            </w:pPr>
            <w:r w:rsidRPr="008C5F1C">
              <w:rPr>
                <w:rFonts w:ascii="Times New Roman" w:hAnsi="Times New Roman" w:cs="Times New Roman"/>
                <w:bCs/>
                <w:color w:val="auto"/>
                <w:sz w:val="22"/>
                <w:szCs w:val="22"/>
                <w:lang w:val="ro-RO"/>
              </w:rPr>
              <w:t>Lista de resurse (vestigii istorice, edificii religioase, obiective turistice culturale, patrimonial turistic etnografic, monumente, amenaj</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ri </w:t>
            </w:r>
            <w:r w:rsidR="00106240" w:rsidRPr="008C5F1C">
              <w:rPr>
                <w:rFonts w:ascii="Times New Roman" w:hAnsi="Times New Roman" w:cs="Times New Roman"/>
                <w:bCs/>
                <w:color w:val="auto"/>
                <w:sz w:val="22"/>
                <w:szCs w:val="22"/>
                <w:lang w:val="ro-RO"/>
              </w:rPr>
              <w:t>ș</w:t>
            </w:r>
            <w:r w:rsidRPr="008C5F1C">
              <w:rPr>
                <w:rFonts w:ascii="Times New Roman" w:hAnsi="Times New Roman" w:cs="Times New Roman"/>
                <w:bCs/>
                <w:color w:val="auto"/>
                <w:sz w:val="22"/>
                <w:szCs w:val="22"/>
                <w:lang w:val="ro-RO"/>
              </w:rPr>
              <w:t>i activit</w:t>
            </w:r>
            <w:r w:rsidR="00BA7827" w:rsidRPr="008C5F1C">
              <w:rPr>
                <w:rFonts w:ascii="Times New Roman" w:hAnsi="Times New Roman" w:cs="Times New Roman"/>
                <w:bCs/>
                <w:color w:val="auto"/>
                <w:sz w:val="22"/>
                <w:szCs w:val="22"/>
                <w:lang w:val="ro-RO"/>
              </w:rPr>
              <w:t>ă</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i cu func</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ie turistic</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amenaj</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ri hidrologice) este completat</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de lista monumentelor istorice, recunoscute ca fiind de interes </w:t>
            </w:r>
            <w:r w:rsidR="00516238" w:rsidRPr="008C5F1C">
              <w:rPr>
                <w:rFonts w:ascii="Times New Roman" w:hAnsi="Times New Roman" w:cs="Times New Roman"/>
                <w:bCs/>
                <w:color w:val="auto"/>
                <w:sz w:val="22"/>
                <w:szCs w:val="22"/>
                <w:lang w:val="ro-RO"/>
              </w:rPr>
              <w:t xml:space="preserve">local, </w:t>
            </w:r>
            <w:r w:rsidRPr="008C5F1C">
              <w:rPr>
                <w:rFonts w:ascii="Times New Roman" w:hAnsi="Times New Roman" w:cs="Times New Roman"/>
                <w:bCs/>
                <w:color w:val="auto"/>
                <w:sz w:val="22"/>
                <w:szCs w:val="22"/>
                <w:lang w:val="ro-RO"/>
              </w:rPr>
              <w:t>na</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 xml:space="preserve">ional sau universal. </w:t>
            </w:r>
          </w:p>
          <w:p w14:paraId="16F3C448" w14:textId="77777777" w:rsidR="00653571" w:rsidRPr="008C5F1C" w:rsidRDefault="00653571" w:rsidP="001A64EA">
            <w:pPr>
              <w:pStyle w:val="Default"/>
              <w:spacing w:after="120"/>
              <w:jc w:val="both"/>
              <w:rPr>
                <w:rFonts w:ascii="Times New Roman" w:hAnsi="Times New Roman" w:cs="Times New Roman"/>
                <w:bCs/>
                <w:color w:val="auto"/>
                <w:sz w:val="22"/>
                <w:szCs w:val="22"/>
                <w:lang w:val="ro-RO"/>
              </w:rPr>
            </w:pPr>
            <w:r w:rsidRPr="008C5F1C">
              <w:rPr>
                <w:rFonts w:ascii="Times New Roman" w:hAnsi="Times New Roman" w:cs="Times New Roman"/>
                <w:bCs/>
                <w:color w:val="auto"/>
                <w:sz w:val="22"/>
                <w:szCs w:val="22"/>
                <w:lang w:val="ro-RO"/>
              </w:rPr>
              <w:t>Patrimoniul cultural se confrunt</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îns</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cu provoc</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ri importante în ceea ce prive</w:t>
            </w:r>
            <w:r w:rsidR="00106240" w:rsidRPr="008C5F1C">
              <w:rPr>
                <w:rFonts w:ascii="Times New Roman" w:hAnsi="Times New Roman" w:cs="Times New Roman"/>
                <w:bCs/>
                <w:color w:val="auto"/>
                <w:sz w:val="22"/>
                <w:szCs w:val="22"/>
                <w:lang w:val="ro-RO"/>
              </w:rPr>
              <w:t>ș</w:t>
            </w:r>
            <w:r w:rsidRPr="008C5F1C">
              <w:rPr>
                <w:rFonts w:ascii="Times New Roman" w:hAnsi="Times New Roman" w:cs="Times New Roman"/>
                <w:bCs/>
                <w:color w:val="auto"/>
                <w:sz w:val="22"/>
                <w:szCs w:val="22"/>
                <w:lang w:val="ro-RO"/>
              </w:rPr>
              <w:t>te condi</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iile fizice care se deterioreaz</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treptat. Starea majorit</w:t>
            </w:r>
            <w:r w:rsidR="00BA7827" w:rsidRPr="008C5F1C">
              <w:rPr>
                <w:rFonts w:ascii="Times New Roman" w:hAnsi="Times New Roman" w:cs="Times New Roman"/>
                <w:bCs/>
                <w:color w:val="auto"/>
                <w:sz w:val="22"/>
                <w:szCs w:val="22"/>
                <w:lang w:val="ro-RO"/>
              </w:rPr>
              <w:t>ă</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ii monumentelor este precar</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iar calitatea  siturilor de patrimoniu cultural sau a activit</w:t>
            </w:r>
            <w:r w:rsidR="00BA7827" w:rsidRPr="008C5F1C">
              <w:rPr>
                <w:rFonts w:ascii="Times New Roman" w:hAnsi="Times New Roman" w:cs="Times New Roman"/>
                <w:bCs/>
                <w:color w:val="auto"/>
                <w:sz w:val="22"/>
                <w:szCs w:val="22"/>
                <w:lang w:val="ro-RO"/>
              </w:rPr>
              <w:t>ă</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ilor legate de acesta este considerat</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slab</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de c</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tre vizitatori. O bun</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parte dintre acestea necesit</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conservare, protejare sau investi</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 xml:space="preserve">ii pentru dezvoltarea </w:t>
            </w:r>
            <w:r w:rsidR="00106240" w:rsidRPr="008C5F1C">
              <w:rPr>
                <w:rFonts w:ascii="Times New Roman" w:hAnsi="Times New Roman" w:cs="Times New Roman"/>
                <w:bCs/>
                <w:color w:val="auto"/>
                <w:sz w:val="22"/>
                <w:szCs w:val="22"/>
                <w:lang w:val="ro-RO"/>
              </w:rPr>
              <w:t>ș</w:t>
            </w:r>
            <w:r w:rsidRPr="008C5F1C">
              <w:rPr>
                <w:rFonts w:ascii="Times New Roman" w:hAnsi="Times New Roman" w:cs="Times New Roman"/>
                <w:bCs/>
                <w:color w:val="auto"/>
                <w:sz w:val="22"/>
                <w:szCs w:val="22"/>
                <w:lang w:val="ro-RO"/>
              </w:rPr>
              <w:t>i valorificarea lor prin includerea în circuite turistice. O prioritate în acest sens ar trebui s</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o constituie monumentele de interes na</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 xml:space="preserve">ional sau universal (de tip A) </w:t>
            </w:r>
            <w:r w:rsidR="00106240" w:rsidRPr="008C5F1C">
              <w:rPr>
                <w:rFonts w:ascii="Times New Roman" w:hAnsi="Times New Roman" w:cs="Times New Roman"/>
                <w:bCs/>
                <w:color w:val="auto"/>
                <w:sz w:val="22"/>
                <w:szCs w:val="22"/>
                <w:lang w:val="ro-RO"/>
              </w:rPr>
              <w:t>ș</w:t>
            </w:r>
            <w:r w:rsidRPr="008C5F1C">
              <w:rPr>
                <w:rFonts w:ascii="Times New Roman" w:hAnsi="Times New Roman" w:cs="Times New Roman"/>
                <w:bCs/>
                <w:color w:val="auto"/>
                <w:sz w:val="22"/>
                <w:szCs w:val="22"/>
                <w:lang w:val="ro-RO"/>
              </w:rPr>
              <w:t xml:space="preserve">i cele incluse în lista patrimoniului mondial UNESCO. </w:t>
            </w:r>
          </w:p>
          <w:p w14:paraId="20BDC68A" w14:textId="562F5E3A" w:rsidR="00653571" w:rsidRPr="008C5F1C" w:rsidRDefault="00653571" w:rsidP="001A64EA">
            <w:pPr>
              <w:pStyle w:val="Default"/>
              <w:spacing w:after="120"/>
              <w:jc w:val="both"/>
              <w:rPr>
                <w:rFonts w:ascii="Times New Roman" w:hAnsi="Times New Roman" w:cs="Times New Roman"/>
                <w:bCs/>
                <w:color w:val="auto"/>
                <w:sz w:val="22"/>
                <w:szCs w:val="22"/>
                <w:lang w:val="ro-RO"/>
              </w:rPr>
            </w:pPr>
            <w:r w:rsidRPr="008C5F1C">
              <w:rPr>
                <w:rFonts w:ascii="Times New Roman" w:hAnsi="Times New Roman" w:cs="Times New Roman"/>
                <w:bCs/>
                <w:color w:val="auto"/>
                <w:sz w:val="22"/>
                <w:szCs w:val="22"/>
                <w:lang w:val="ro-RO"/>
              </w:rPr>
              <w:t>Investi</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iile prev</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zute în cadrul acestui obiectiv specific continu</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interven</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iile finan</w:t>
            </w:r>
            <w:r w:rsidR="00E22FF2" w:rsidRPr="008C5F1C">
              <w:rPr>
                <w:rFonts w:ascii="Times New Roman" w:hAnsi="Times New Roman" w:cs="Times New Roman"/>
                <w:bCs/>
                <w:color w:val="auto"/>
                <w:sz w:val="22"/>
                <w:szCs w:val="22"/>
                <w:lang w:val="ro-RO"/>
              </w:rPr>
              <w:t>ț</w:t>
            </w:r>
            <w:r w:rsidRPr="008C5F1C">
              <w:rPr>
                <w:rFonts w:ascii="Times New Roman" w:hAnsi="Times New Roman" w:cs="Times New Roman"/>
                <w:bCs/>
                <w:color w:val="auto"/>
                <w:sz w:val="22"/>
                <w:szCs w:val="22"/>
                <w:lang w:val="ro-RO"/>
              </w:rPr>
              <w:t xml:space="preserve">ate în perioadele anterioare de programare </w:t>
            </w:r>
            <w:r w:rsidR="00106240" w:rsidRPr="008C5F1C">
              <w:rPr>
                <w:rFonts w:ascii="Times New Roman" w:hAnsi="Times New Roman" w:cs="Times New Roman"/>
                <w:bCs/>
                <w:color w:val="auto"/>
                <w:sz w:val="22"/>
                <w:szCs w:val="22"/>
                <w:lang w:val="ro-RO"/>
              </w:rPr>
              <w:t>ș</w:t>
            </w:r>
            <w:r w:rsidRPr="008C5F1C">
              <w:rPr>
                <w:rFonts w:ascii="Times New Roman" w:hAnsi="Times New Roman" w:cs="Times New Roman"/>
                <w:bCs/>
                <w:color w:val="auto"/>
                <w:sz w:val="22"/>
                <w:szCs w:val="22"/>
                <w:lang w:val="ro-RO"/>
              </w:rPr>
              <w:t>i vizeaz</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 urm</w:t>
            </w:r>
            <w:r w:rsidR="00BA7827" w:rsidRPr="008C5F1C">
              <w:rPr>
                <w:rFonts w:ascii="Times New Roman" w:hAnsi="Times New Roman" w:cs="Times New Roman"/>
                <w:bCs/>
                <w:color w:val="auto"/>
                <w:sz w:val="22"/>
                <w:szCs w:val="22"/>
                <w:lang w:val="ro-RO"/>
              </w:rPr>
              <w:t>ă</w:t>
            </w:r>
            <w:r w:rsidRPr="008C5F1C">
              <w:rPr>
                <w:rFonts w:ascii="Times New Roman" w:hAnsi="Times New Roman" w:cs="Times New Roman"/>
                <w:bCs/>
                <w:color w:val="auto"/>
                <w:sz w:val="22"/>
                <w:szCs w:val="22"/>
                <w:lang w:val="ro-RO"/>
              </w:rPr>
              <w:t xml:space="preserve">toarele </w:t>
            </w:r>
            <w:r w:rsidR="007C4B51" w:rsidRPr="008C5F1C">
              <w:rPr>
                <w:rFonts w:ascii="Times New Roman" w:hAnsi="Times New Roman" w:cs="Times New Roman"/>
                <w:bCs/>
                <w:color w:val="auto"/>
                <w:sz w:val="22"/>
                <w:szCs w:val="22"/>
                <w:lang w:val="ro-RO"/>
              </w:rPr>
              <w:t>tipuri de ac</w:t>
            </w:r>
            <w:r w:rsidR="001A64EA">
              <w:rPr>
                <w:rFonts w:ascii="Times New Roman" w:hAnsi="Times New Roman" w:cs="Times New Roman"/>
                <w:bCs/>
                <w:color w:val="auto"/>
                <w:sz w:val="22"/>
                <w:szCs w:val="22"/>
                <w:lang w:val="ro-RO"/>
              </w:rPr>
              <w:t>ț</w:t>
            </w:r>
            <w:r w:rsidR="007C4B51" w:rsidRPr="008C5F1C">
              <w:rPr>
                <w:rFonts w:ascii="Times New Roman" w:hAnsi="Times New Roman" w:cs="Times New Roman"/>
                <w:bCs/>
                <w:color w:val="auto"/>
                <w:sz w:val="22"/>
                <w:szCs w:val="22"/>
                <w:lang w:val="ro-RO"/>
              </w:rPr>
              <w:t>iuni</w:t>
            </w:r>
            <w:r w:rsidRPr="008C5F1C">
              <w:rPr>
                <w:rFonts w:ascii="Times New Roman" w:hAnsi="Times New Roman" w:cs="Times New Roman"/>
                <w:bCs/>
                <w:color w:val="auto"/>
                <w:sz w:val="22"/>
                <w:szCs w:val="22"/>
                <w:lang w:val="ro-RO"/>
              </w:rPr>
              <w:t>:</w:t>
            </w:r>
          </w:p>
          <w:p w14:paraId="2B766171" w14:textId="005B325A" w:rsidR="002E1418" w:rsidRPr="008C5F1C" w:rsidRDefault="002E1418" w:rsidP="001A64EA">
            <w:pPr>
              <w:spacing w:after="120" w:line="240" w:lineRule="auto"/>
              <w:jc w:val="both"/>
              <w:rPr>
                <w:rFonts w:ascii="Times New Roman" w:hAnsi="Times New Roman" w:cs="Times New Roman"/>
                <w:bCs/>
              </w:rPr>
            </w:pPr>
            <w:r w:rsidRPr="008C5F1C">
              <w:rPr>
                <w:rFonts w:ascii="Times New Roman" w:hAnsi="Times New Roman" w:cs="Times New Roman"/>
                <w:b/>
              </w:rPr>
              <w:t>a) Conservarea, protec</w:t>
            </w:r>
            <w:r w:rsidR="00E22FF2" w:rsidRPr="008C5F1C">
              <w:rPr>
                <w:rFonts w:ascii="Times New Roman" w:hAnsi="Times New Roman" w:cs="Times New Roman"/>
                <w:b/>
              </w:rPr>
              <w:t>ț</w:t>
            </w:r>
            <w:r w:rsidRPr="008C5F1C">
              <w:rPr>
                <w:rFonts w:ascii="Times New Roman" w:hAnsi="Times New Roman" w:cs="Times New Roman"/>
                <w:b/>
              </w:rPr>
              <w:t xml:space="preserve">ia </w:t>
            </w:r>
            <w:r w:rsidR="00106240" w:rsidRPr="008C5F1C">
              <w:rPr>
                <w:rFonts w:ascii="Times New Roman" w:hAnsi="Times New Roman" w:cs="Times New Roman"/>
                <w:b/>
              </w:rPr>
              <w:t>ș</w:t>
            </w:r>
            <w:r w:rsidRPr="008C5F1C">
              <w:rPr>
                <w:rFonts w:ascii="Times New Roman" w:hAnsi="Times New Roman" w:cs="Times New Roman"/>
                <w:b/>
              </w:rPr>
              <w:t>i valorificarea durabil</w:t>
            </w:r>
            <w:r w:rsidR="00BA7827" w:rsidRPr="008C5F1C">
              <w:rPr>
                <w:rFonts w:ascii="Times New Roman" w:hAnsi="Times New Roman" w:cs="Times New Roman"/>
                <w:b/>
              </w:rPr>
              <w:t>ă</w:t>
            </w:r>
            <w:r w:rsidRPr="008C5F1C">
              <w:rPr>
                <w:rFonts w:ascii="Times New Roman" w:hAnsi="Times New Roman" w:cs="Times New Roman"/>
                <w:b/>
              </w:rPr>
              <w:t xml:space="preserve"> a patrimoniului cultural</w:t>
            </w:r>
            <w:r w:rsidR="00CD6BC3" w:rsidRPr="008C5F1C">
              <w:rPr>
                <w:rFonts w:ascii="Times New Roman" w:hAnsi="Times New Roman" w:cs="Times New Roman"/>
                <w:b/>
              </w:rPr>
              <w:t>, istoric</w:t>
            </w:r>
            <w:r w:rsidRPr="008C5F1C">
              <w:rPr>
                <w:rFonts w:ascii="Times New Roman" w:hAnsi="Times New Roman" w:cs="Times New Roman"/>
                <w:b/>
              </w:rPr>
              <w:t xml:space="preserve"> </w:t>
            </w:r>
            <w:r w:rsidR="00106240" w:rsidRPr="008C5F1C">
              <w:rPr>
                <w:rFonts w:ascii="Times New Roman" w:hAnsi="Times New Roman" w:cs="Times New Roman"/>
                <w:b/>
              </w:rPr>
              <w:t>ș</w:t>
            </w:r>
            <w:r w:rsidRPr="008C5F1C">
              <w:rPr>
                <w:rFonts w:ascii="Times New Roman" w:hAnsi="Times New Roman" w:cs="Times New Roman"/>
                <w:b/>
              </w:rPr>
              <w:t xml:space="preserve">i natural </w:t>
            </w:r>
            <w:r w:rsidR="00106240" w:rsidRPr="008C5F1C">
              <w:rPr>
                <w:rFonts w:ascii="Times New Roman" w:hAnsi="Times New Roman" w:cs="Times New Roman"/>
                <w:b/>
              </w:rPr>
              <w:t>ș</w:t>
            </w:r>
            <w:r w:rsidRPr="008C5F1C">
              <w:rPr>
                <w:rFonts w:ascii="Times New Roman" w:hAnsi="Times New Roman" w:cs="Times New Roman"/>
                <w:b/>
              </w:rPr>
              <w:t>i dezvoltarea serviciilor culturale,</w:t>
            </w:r>
          </w:p>
          <w:p w14:paraId="4196EC02" w14:textId="77777777" w:rsidR="00CD6BC3" w:rsidRPr="008C5F1C" w:rsidRDefault="00CD6BC3" w:rsidP="001A64EA">
            <w:pPr>
              <w:spacing w:after="120" w:line="240" w:lineRule="auto"/>
              <w:jc w:val="both"/>
              <w:rPr>
                <w:rFonts w:ascii="Times New Roman" w:hAnsi="Times New Roman" w:cs="Times New Roman"/>
                <w:b/>
                <w:bCs/>
              </w:rPr>
            </w:pPr>
            <w:r w:rsidRPr="008C5F1C">
              <w:rPr>
                <w:rFonts w:ascii="Times New Roman" w:hAnsi="Times New Roman" w:cs="Times New Roman"/>
                <w:b/>
                <w:bCs/>
              </w:rPr>
              <w:t>b) Îmbunătățirea  infrastructurii de turism, în special în zone care dispun de un potențial turistic valoros, inclusiv centre de informare turistica și tabere de elevi și preșcolari / centre multidisciplinare de tineret;</w:t>
            </w:r>
          </w:p>
          <w:p w14:paraId="4559AC56" w14:textId="1B10CEB2" w:rsidR="002E1418" w:rsidRPr="008C5F1C" w:rsidRDefault="002E1418" w:rsidP="001A64EA">
            <w:pPr>
              <w:spacing w:after="120" w:line="240" w:lineRule="auto"/>
              <w:jc w:val="both"/>
              <w:rPr>
                <w:rFonts w:ascii="Times New Roman" w:hAnsi="Times New Roman" w:cs="Times New Roman"/>
                <w:b/>
              </w:rPr>
            </w:pPr>
            <w:r w:rsidRPr="008C5F1C">
              <w:rPr>
                <w:rFonts w:ascii="Times New Roman" w:hAnsi="Times New Roman" w:cs="Times New Roman"/>
                <w:b/>
              </w:rPr>
              <w:t xml:space="preserve">c) Dezvoltarea infrastructurii pentru turismul balnear </w:t>
            </w:r>
            <w:r w:rsidR="00106240" w:rsidRPr="008C5F1C">
              <w:rPr>
                <w:rFonts w:ascii="Times New Roman" w:hAnsi="Times New Roman" w:cs="Times New Roman"/>
                <w:b/>
              </w:rPr>
              <w:t>ș</w:t>
            </w:r>
            <w:r w:rsidRPr="008C5F1C">
              <w:rPr>
                <w:rFonts w:ascii="Times New Roman" w:hAnsi="Times New Roman" w:cs="Times New Roman"/>
                <w:b/>
              </w:rPr>
              <w:t xml:space="preserve">i </w:t>
            </w:r>
            <w:proofErr w:type="spellStart"/>
            <w:r w:rsidRPr="008C5F1C">
              <w:rPr>
                <w:rFonts w:ascii="Times New Roman" w:hAnsi="Times New Roman" w:cs="Times New Roman"/>
                <w:b/>
              </w:rPr>
              <w:t>balneo</w:t>
            </w:r>
            <w:proofErr w:type="spellEnd"/>
            <w:r w:rsidRPr="008C5F1C">
              <w:rPr>
                <w:rFonts w:ascii="Times New Roman" w:hAnsi="Times New Roman" w:cs="Times New Roman"/>
                <w:b/>
              </w:rPr>
              <w:t>-climateric</w:t>
            </w:r>
            <w:r w:rsidR="00C50C26" w:rsidRPr="008C5F1C">
              <w:rPr>
                <w:rFonts w:ascii="Times New Roman" w:hAnsi="Times New Roman" w:cs="Times New Roman"/>
                <w:b/>
              </w:rPr>
              <w:t>;</w:t>
            </w:r>
            <w:r w:rsidRPr="008C5F1C">
              <w:rPr>
                <w:rFonts w:ascii="Times New Roman" w:hAnsi="Times New Roman" w:cs="Times New Roman"/>
                <w:b/>
              </w:rPr>
              <w:t xml:space="preserve"> </w:t>
            </w:r>
          </w:p>
          <w:p w14:paraId="1C3539FC" w14:textId="29D6CFB8" w:rsidR="00CD6BC3" w:rsidRPr="008C5F1C" w:rsidRDefault="005D3BAB" w:rsidP="001A64EA">
            <w:pPr>
              <w:spacing w:after="120" w:line="240" w:lineRule="auto"/>
              <w:jc w:val="both"/>
              <w:rPr>
                <w:rFonts w:ascii="Times New Roman" w:hAnsi="Times New Roman" w:cs="Times New Roman"/>
              </w:rPr>
            </w:pPr>
            <w:r w:rsidRPr="008C5F1C">
              <w:rPr>
                <w:rFonts w:ascii="Times New Roman" w:hAnsi="Times New Roman" w:cs="Times New Roman"/>
                <w:b/>
              </w:rPr>
              <w:t>d</w:t>
            </w:r>
            <w:r w:rsidR="002E1418" w:rsidRPr="008C5F1C">
              <w:rPr>
                <w:rFonts w:ascii="Times New Roman" w:hAnsi="Times New Roman" w:cs="Times New Roman"/>
                <w:b/>
              </w:rPr>
              <w:t xml:space="preserve">) </w:t>
            </w:r>
            <w:r w:rsidR="005A7A83" w:rsidRPr="008C5F1C">
              <w:rPr>
                <w:rFonts w:ascii="Times New Roman" w:hAnsi="Times New Roman" w:cs="Times New Roman"/>
                <w:b/>
              </w:rPr>
              <w:t>Îmbun</w:t>
            </w:r>
            <w:r w:rsidR="00BA7827" w:rsidRPr="008C5F1C">
              <w:rPr>
                <w:rFonts w:ascii="Times New Roman" w:hAnsi="Times New Roman" w:cs="Times New Roman"/>
                <w:b/>
              </w:rPr>
              <w:t>ă</w:t>
            </w:r>
            <w:r w:rsidR="005A7A83" w:rsidRPr="008C5F1C">
              <w:rPr>
                <w:rFonts w:ascii="Times New Roman" w:hAnsi="Times New Roman" w:cs="Times New Roman"/>
                <w:b/>
              </w:rPr>
              <w:t>t</w:t>
            </w:r>
            <w:r w:rsidR="00BA7827" w:rsidRPr="008C5F1C">
              <w:rPr>
                <w:rFonts w:ascii="Times New Roman" w:hAnsi="Times New Roman" w:cs="Times New Roman"/>
                <w:b/>
              </w:rPr>
              <w:t>ă</w:t>
            </w:r>
            <w:r w:rsidR="00E22FF2" w:rsidRPr="008C5F1C">
              <w:rPr>
                <w:rFonts w:ascii="Times New Roman" w:hAnsi="Times New Roman" w:cs="Times New Roman"/>
                <w:b/>
              </w:rPr>
              <w:t>ț</w:t>
            </w:r>
            <w:r w:rsidR="005A7A83" w:rsidRPr="008C5F1C">
              <w:rPr>
                <w:rFonts w:ascii="Times New Roman" w:hAnsi="Times New Roman" w:cs="Times New Roman"/>
                <w:b/>
              </w:rPr>
              <w:t>irea</w:t>
            </w:r>
            <w:r w:rsidR="002E1418" w:rsidRPr="008C5F1C">
              <w:rPr>
                <w:rFonts w:ascii="Times New Roman" w:hAnsi="Times New Roman" w:cs="Times New Roman"/>
                <w:b/>
              </w:rPr>
              <w:t xml:space="preserve"> accesului </w:t>
            </w:r>
            <w:r w:rsidR="005A7A83" w:rsidRPr="008C5F1C">
              <w:rPr>
                <w:rFonts w:ascii="Times New Roman" w:hAnsi="Times New Roman" w:cs="Times New Roman"/>
                <w:b/>
              </w:rPr>
              <w:t>c</w:t>
            </w:r>
            <w:r w:rsidR="00BA7827" w:rsidRPr="008C5F1C">
              <w:rPr>
                <w:rFonts w:ascii="Times New Roman" w:hAnsi="Times New Roman" w:cs="Times New Roman"/>
                <w:b/>
              </w:rPr>
              <w:t>ă</w:t>
            </w:r>
            <w:r w:rsidR="005A7A83" w:rsidRPr="008C5F1C">
              <w:rPr>
                <w:rFonts w:ascii="Times New Roman" w:hAnsi="Times New Roman" w:cs="Times New Roman"/>
                <w:b/>
              </w:rPr>
              <w:t>tre</w:t>
            </w:r>
            <w:r w:rsidR="002E1418" w:rsidRPr="008C5F1C">
              <w:rPr>
                <w:rFonts w:ascii="Times New Roman" w:hAnsi="Times New Roman" w:cs="Times New Roman"/>
                <w:b/>
              </w:rPr>
              <w:t xml:space="preserve"> resursele </w:t>
            </w:r>
            <w:r w:rsidR="00106240" w:rsidRPr="008C5F1C">
              <w:rPr>
                <w:rFonts w:ascii="Times New Roman" w:hAnsi="Times New Roman" w:cs="Times New Roman"/>
                <w:b/>
              </w:rPr>
              <w:t>ș</w:t>
            </w:r>
            <w:r w:rsidR="002E1418" w:rsidRPr="008C5F1C">
              <w:rPr>
                <w:rFonts w:ascii="Times New Roman" w:hAnsi="Times New Roman" w:cs="Times New Roman"/>
                <w:b/>
              </w:rPr>
              <w:t xml:space="preserve">i obiectivele turistice (ca </w:t>
            </w:r>
            <w:r w:rsidR="00FA7DB7" w:rsidRPr="008C5F1C">
              <w:rPr>
                <w:rFonts w:ascii="Times New Roman" w:hAnsi="Times New Roman" w:cs="Times New Roman"/>
                <w:b/>
              </w:rPr>
              <w:t>acțiune</w:t>
            </w:r>
            <w:r w:rsidR="002E1418" w:rsidRPr="008C5F1C">
              <w:rPr>
                <w:rFonts w:ascii="Times New Roman" w:hAnsi="Times New Roman" w:cs="Times New Roman"/>
                <w:b/>
              </w:rPr>
              <w:t xml:space="preserve"> complementar</w:t>
            </w:r>
            <w:r w:rsidR="001A64EA">
              <w:rPr>
                <w:rFonts w:ascii="Times New Roman" w:hAnsi="Times New Roman" w:cs="Times New Roman"/>
                <w:b/>
              </w:rPr>
              <w:t>ă</w:t>
            </w:r>
            <w:r w:rsidR="002E1418" w:rsidRPr="008C5F1C">
              <w:rPr>
                <w:rFonts w:ascii="Times New Roman" w:hAnsi="Times New Roman" w:cs="Times New Roman"/>
                <w:b/>
              </w:rPr>
              <w:t xml:space="preserve"> celorlalte)</w:t>
            </w:r>
            <w:r w:rsidR="00A01014" w:rsidRPr="008C5F1C">
              <w:rPr>
                <w:rFonts w:ascii="Times New Roman" w:hAnsi="Times New Roman" w:cs="Times New Roman"/>
                <w:b/>
              </w:rPr>
              <w:t xml:space="preserve">, a sinergiei/ legăturii dintre urban și rural pe această direcție </w:t>
            </w:r>
            <w:r w:rsidR="00A01014" w:rsidRPr="001A64EA">
              <w:rPr>
                <w:rFonts w:ascii="Times New Roman" w:hAnsi="Times New Roman" w:cs="Times New Roman"/>
                <w:bCs/>
              </w:rPr>
              <w:t>(pentru a nu crea insule fragmentate în rural fără conectivitate tangibilă sau intangibilă)</w:t>
            </w:r>
          </w:p>
        </w:tc>
      </w:tr>
    </w:tbl>
    <w:p w14:paraId="71BAD60C" w14:textId="77777777" w:rsidR="00653571" w:rsidRPr="008C5F1C" w:rsidRDefault="00653571" w:rsidP="00653571">
      <w:pPr>
        <w:spacing w:before="120" w:after="120" w:line="360" w:lineRule="auto"/>
        <w:rPr>
          <w:rFonts w:ascii="Times New Roman" w:eastAsia="Times New Roman" w:hAnsi="Times New Roman" w:cs="Times New Roman"/>
          <w:b/>
          <w:i/>
          <w:iCs/>
          <w:noProof/>
          <w:sz w:val="24"/>
          <w:szCs w:val="24"/>
        </w:rPr>
      </w:pPr>
      <w:r w:rsidRPr="008C5F1C">
        <w:rPr>
          <w:rFonts w:ascii="Times New Roman" w:eastAsia="Times New Roman" w:hAnsi="Times New Roman" w:cs="Times New Roman"/>
          <w:i/>
          <w:noProof/>
          <w:sz w:val="24"/>
          <w:szCs w:val="24"/>
        </w:rPr>
        <w:lastRenderedPageBreak/>
        <w:t>The main target groups - Article 17(3)(d)(iii):</w:t>
      </w:r>
    </w:p>
    <w:p w14:paraId="27B28372" w14:textId="77777777" w:rsidR="00653571" w:rsidRPr="008C5F1C" w:rsidRDefault="00653571" w:rsidP="0065357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iCs/>
          <w:noProof/>
          <w:sz w:val="24"/>
          <w:szCs w:val="24"/>
        </w:rPr>
      </w:pPr>
      <w:r w:rsidRPr="008C5F1C">
        <w:rPr>
          <w:rFonts w:ascii="Times New Roman" w:eastAsia="Times New Roman" w:hAnsi="Times New Roman" w:cs="Times New Roman"/>
          <w:i/>
          <w:iCs/>
          <w:noProof/>
          <w:sz w:val="24"/>
          <w:szCs w:val="24"/>
        </w:rPr>
        <w:t>Text field [1 000]</w:t>
      </w:r>
    </w:p>
    <w:p w14:paraId="06697446" w14:textId="77777777" w:rsidR="00C50C26" w:rsidRPr="008C5F1C" w:rsidRDefault="00C50C26" w:rsidP="00C50C26">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noProof/>
        </w:rPr>
      </w:pPr>
      <w:r w:rsidRPr="008C5F1C">
        <w:rPr>
          <w:rFonts w:ascii="Times New Roman" w:eastAsia="Times New Roman" w:hAnsi="Times New Roman" w:cs="Times New Roman"/>
          <w:noProof/>
        </w:rPr>
        <w:t>Turi</w:t>
      </w:r>
      <w:r w:rsidR="00106240" w:rsidRPr="008C5F1C">
        <w:rPr>
          <w:rFonts w:ascii="Times New Roman" w:eastAsia="Times New Roman" w:hAnsi="Times New Roman" w:cs="Times New Roman"/>
          <w:noProof/>
        </w:rPr>
        <w:t>ș</w:t>
      </w:r>
      <w:r w:rsidRPr="008C5F1C">
        <w:rPr>
          <w:rFonts w:ascii="Times New Roman" w:eastAsia="Times New Roman" w:hAnsi="Times New Roman" w:cs="Times New Roman"/>
          <w:noProof/>
        </w:rPr>
        <w:t>ti</w:t>
      </w:r>
    </w:p>
    <w:p w14:paraId="169E5C54" w14:textId="77777777" w:rsidR="00C50C26" w:rsidRPr="008C5F1C" w:rsidRDefault="00C50C26" w:rsidP="00C50C26">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rPr>
      </w:pPr>
      <w:r w:rsidRPr="008C5F1C">
        <w:rPr>
          <w:rFonts w:ascii="Times New Roman" w:eastAsia="Times New Roman" w:hAnsi="Times New Roman" w:cs="Times New Roman"/>
          <w:noProof/>
        </w:rPr>
        <w:t>Popula</w:t>
      </w:r>
      <w:r w:rsidR="00E22FF2" w:rsidRPr="008C5F1C">
        <w:rPr>
          <w:rFonts w:ascii="Times New Roman" w:eastAsia="Times New Roman" w:hAnsi="Times New Roman" w:cs="Times New Roman"/>
          <w:noProof/>
        </w:rPr>
        <w:t>ț</w:t>
      </w:r>
      <w:r w:rsidRPr="008C5F1C">
        <w:rPr>
          <w:rFonts w:ascii="Times New Roman" w:eastAsia="Times New Roman" w:hAnsi="Times New Roman" w:cs="Times New Roman"/>
          <w:noProof/>
        </w:rPr>
        <w:t>ia din localită</w:t>
      </w:r>
      <w:r w:rsidR="00E22FF2" w:rsidRPr="008C5F1C">
        <w:rPr>
          <w:rFonts w:ascii="Times New Roman" w:eastAsia="Times New Roman" w:hAnsi="Times New Roman" w:cs="Times New Roman"/>
          <w:noProof/>
        </w:rPr>
        <w:t>ț</w:t>
      </w:r>
      <w:r w:rsidRPr="008C5F1C">
        <w:rPr>
          <w:rFonts w:ascii="Times New Roman" w:eastAsia="Times New Roman" w:hAnsi="Times New Roman" w:cs="Times New Roman"/>
          <w:noProof/>
        </w:rPr>
        <w:t>ile deservite de infrastructura îmbunătă</w:t>
      </w:r>
      <w:r w:rsidR="00E22FF2" w:rsidRPr="008C5F1C">
        <w:rPr>
          <w:rFonts w:ascii="Times New Roman" w:eastAsia="Times New Roman" w:hAnsi="Times New Roman" w:cs="Times New Roman"/>
          <w:noProof/>
        </w:rPr>
        <w:t>ț</w:t>
      </w:r>
      <w:r w:rsidRPr="008C5F1C">
        <w:rPr>
          <w:rFonts w:ascii="Times New Roman" w:eastAsia="Times New Roman" w:hAnsi="Times New Roman" w:cs="Times New Roman"/>
          <w:noProof/>
        </w:rPr>
        <w:t>ită</w:t>
      </w:r>
    </w:p>
    <w:p w14:paraId="5448AD26" w14:textId="77777777" w:rsidR="00653571" w:rsidRPr="008C5F1C" w:rsidRDefault="00653571" w:rsidP="00653571">
      <w:pPr>
        <w:spacing w:before="120" w:after="120" w:line="360" w:lineRule="auto"/>
        <w:rPr>
          <w:rFonts w:ascii="Times New Roman" w:eastAsia="Times New Roman" w:hAnsi="Times New Roman" w:cs="Times New Roman"/>
          <w:i/>
          <w:noProof/>
          <w:sz w:val="24"/>
          <w:szCs w:val="24"/>
        </w:rPr>
      </w:pPr>
      <w:r w:rsidRPr="008C5F1C">
        <w:rPr>
          <w:rFonts w:ascii="Times New Roman" w:eastAsia="Times New Roman" w:hAnsi="Times New Roman" w:cs="Times New Roman"/>
          <w:i/>
          <w:noProof/>
          <w:sz w:val="24"/>
          <w:szCs w:val="24"/>
        </w:rPr>
        <w:t>Specific territories tageted, including the planned use of territorial tools – Article 17(3)(d)(iv)</w:t>
      </w:r>
    </w:p>
    <w:p w14:paraId="03277236" w14:textId="77777777" w:rsidR="00653571" w:rsidRPr="008C5F1C" w:rsidRDefault="00653571" w:rsidP="0065357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rPr>
      </w:pPr>
      <w:r w:rsidRPr="008C5F1C">
        <w:rPr>
          <w:rFonts w:ascii="Times New Roman" w:eastAsia="Times New Roman" w:hAnsi="Times New Roman" w:cs="Times New Roman"/>
          <w:i/>
          <w:iCs/>
          <w:noProof/>
          <w:sz w:val="24"/>
          <w:szCs w:val="24"/>
        </w:rPr>
        <w:t>Nu este cazul</w:t>
      </w:r>
    </w:p>
    <w:p w14:paraId="1B552835" w14:textId="77777777" w:rsidR="00653571" w:rsidRPr="008C5F1C" w:rsidRDefault="00653571" w:rsidP="00653571">
      <w:pPr>
        <w:spacing w:before="120" w:after="120" w:line="360" w:lineRule="auto"/>
        <w:rPr>
          <w:rFonts w:ascii="Times New Roman" w:eastAsia="Times New Roman" w:hAnsi="Times New Roman" w:cs="Times New Roman"/>
          <w:b/>
          <w:i/>
          <w:iCs/>
          <w:noProof/>
          <w:sz w:val="24"/>
          <w:szCs w:val="24"/>
        </w:rPr>
      </w:pPr>
      <w:r w:rsidRPr="008C5F1C">
        <w:rPr>
          <w:rFonts w:ascii="Times New Roman" w:eastAsia="Times New Roman" w:hAnsi="Times New Roman" w:cs="Times New Roman"/>
          <w:i/>
          <w:noProof/>
          <w:sz w:val="24"/>
          <w:szCs w:val="24"/>
        </w:rPr>
        <w:t>The interregional and transnational actions  –Article – 17(3)(d)(v)</w:t>
      </w:r>
    </w:p>
    <w:p w14:paraId="2CF441A3" w14:textId="77777777" w:rsidR="00653571" w:rsidRPr="008C5F1C" w:rsidRDefault="00653571" w:rsidP="0065357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rPr>
      </w:pPr>
      <w:r w:rsidRPr="008C5F1C">
        <w:rPr>
          <w:rFonts w:ascii="Times New Roman" w:eastAsia="Times New Roman" w:hAnsi="Times New Roman" w:cs="Times New Roman"/>
          <w:i/>
          <w:iCs/>
          <w:noProof/>
          <w:sz w:val="24"/>
          <w:szCs w:val="24"/>
        </w:rPr>
        <w:t>Nu este cazul</w:t>
      </w:r>
    </w:p>
    <w:p w14:paraId="3186E687" w14:textId="77777777" w:rsidR="00653571" w:rsidRPr="008C5F1C" w:rsidRDefault="00653571" w:rsidP="00653571">
      <w:pPr>
        <w:spacing w:before="120" w:after="120" w:line="360" w:lineRule="auto"/>
        <w:rPr>
          <w:rFonts w:ascii="Times New Roman" w:eastAsia="Times New Roman" w:hAnsi="Times New Roman" w:cs="Times New Roman"/>
          <w:b/>
          <w:i/>
          <w:iCs/>
          <w:noProof/>
          <w:sz w:val="24"/>
          <w:szCs w:val="24"/>
        </w:rPr>
      </w:pPr>
      <w:r w:rsidRPr="008C5F1C">
        <w:rPr>
          <w:rFonts w:ascii="Times New Roman" w:eastAsia="Times New Roman" w:hAnsi="Times New Roman" w:cs="Times New Roman"/>
          <w:i/>
          <w:noProof/>
          <w:sz w:val="24"/>
          <w:szCs w:val="24"/>
        </w:rPr>
        <w:t>The planned use of financial instruments – Article – 17(3)(d)(vi)</w:t>
      </w:r>
    </w:p>
    <w:p w14:paraId="1F469A7E" w14:textId="77777777" w:rsidR="00653571" w:rsidRPr="008C5F1C" w:rsidRDefault="00653571" w:rsidP="0065357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rPr>
      </w:pPr>
      <w:r w:rsidRPr="008C5F1C">
        <w:rPr>
          <w:rFonts w:ascii="Times New Roman" w:eastAsia="Times New Roman" w:hAnsi="Times New Roman" w:cs="Times New Roman"/>
          <w:i/>
          <w:iCs/>
          <w:noProof/>
          <w:sz w:val="24"/>
          <w:szCs w:val="24"/>
        </w:rPr>
        <w:t>Nu este cazul</w:t>
      </w:r>
    </w:p>
    <w:p w14:paraId="72A19841" w14:textId="77777777" w:rsidR="00653571" w:rsidRPr="008C5F1C" w:rsidRDefault="00653571" w:rsidP="00653571">
      <w:pPr>
        <w:pStyle w:val="Heading4"/>
        <w:numPr>
          <w:ilvl w:val="0"/>
          <w:numId w:val="0"/>
        </w:numPr>
        <w:ind w:left="851" w:hanging="851"/>
        <w:rPr>
          <w:rFonts w:cs="Times New Roman"/>
          <w:b/>
          <w:bCs/>
          <w:lang w:val="ro-RO"/>
        </w:rPr>
      </w:pPr>
      <w:r w:rsidRPr="008C5F1C">
        <w:rPr>
          <w:rFonts w:cs="Times New Roman"/>
          <w:b/>
          <w:bCs/>
          <w:lang w:val="ro-RO"/>
        </w:rPr>
        <w:t xml:space="preserve">2.A.3.2 </w:t>
      </w:r>
      <w:proofErr w:type="spellStart"/>
      <w:r w:rsidRPr="008C5F1C">
        <w:rPr>
          <w:rFonts w:cs="Times New Roman"/>
          <w:b/>
          <w:bCs/>
          <w:lang w:val="ro-RO"/>
        </w:rPr>
        <w:t>Indicators</w:t>
      </w:r>
      <w:proofErr w:type="spellEnd"/>
    </w:p>
    <w:p w14:paraId="3C5AF691" w14:textId="77777777" w:rsidR="00653571" w:rsidRPr="008C5F1C" w:rsidRDefault="00653571" w:rsidP="00653571">
      <w:pPr>
        <w:rPr>
          <w:rFonts w:ascii="Times New Roman" w:hAnsi="Times New Roman" w:cs="Times New Roman"/>
          <w:b/>
          <w:bCs/>
          <w:i/>
          <w:u w:val="single"/>
        </w:rPr>
      </w:pPr>
      <w:proofErr w:type="spellStart"/>
      <w:r w:rsidRPr="008C5F1C">
        <w:rPr>
          <w:rFonts w:ascii="Times New Roman" w:hAnsi="Times New Roman" w:cs="Times New Roman"/>
          <w:i/>
        </w:rPr>
        <w:t>Reference</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Article</w:t>
      </w:r>
      <w:proofErr w:type="spellEnd"/>
      <w:r w:rsidRPr="008C5F1C">
        <w:rPr>
          <w:rFonts w:ascii="Times New Roman" w:hAnsi="Times New Roman" w:cs="Times New Roman"/>
          <w:i/>
        </w:rPr>
        <w:t xml:space="preserve"> 17(3)(d)(ii) CPR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8"/>
        <w:gridCol w:w="1088"/>
        <w:gridCol w:w="626"/>
        <w:gridCol w:w="874"/>
        <w:gridCol w:w="545"/>
        <w:gridCol w:w="2213"/>
        <w:gridCol w:w="1158"/>
        <w:gridCol w:w="1057"/>
        <w:gridCol w:w="1309"/>
      </w:tblGrid>
      <w:tr w:rsidR="00653571" w:rsidRPr="008C5F1C" w14:paraId="2B6CDDC0" w14:textId="77777777" w:rsidTr="00534127">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08B1E362" w14:textId="77777777" w:rsidR="00653571" w:rsidRPr="008C5F1C" w:rsidRDefault="00653571" w:rsidP="00534127">
            <w:pPr>
              <w:rPr>
                <w:rFonts w:ascii="Times New Roman" w:hAnsi="Times New Roman" w:cs="Times New Roman"/>
                <w:b/>
              </w:rPr>
            </w:pPr>
            <w:r w:rsidRPr="008C5F1C">
              <w:rPr>
                <w:rFonts w:ascii="Times New Roman" w:hAnsi="Times New Roman" w:cs="Times New Roman"/>
                <w:b/>
                <w:iCs/>
              </w:rPr>
              <w:t xml:space="preserve">Table 2: Output </w:t>
            </w:r>
            <w:proofErr w:type="spellStart"/>
            <w:r w:rsidRPr="008C5F1C">
              <w:rPr>
                <w:rFonts w:ascii="Times New Roman" w:hAnsi="Times New Roman" w:cs="Times New Roman"/>
                <w:b/>
                <w:iCs/>
              </w:rPr>
              <w:t>indicators</w:t>
            </w:r>
            <w:proofErr w:type="spellEnd"/>
          </w:p>
        </w:tc>
      </w:tr>
      <w:tr w:rsidR="00653571" w:rsidRPr="008C5F1C" w14:paraId="04976580" w14:textId="77777777" w:rsidTr="004E0CDF">
        <w:trPr>
          <w:trHeight w:val="1647"/>
        </w:trPr>
        <w:tc>
          <w:tcPr>
            <w:tcW w:w="394" w:type="pct"/>
            <w:tcBorders>
              <w:top w:val="single" w:sz="4" w:space="0" w:color="auto"/>
              <w:left w:val="single" w:sz="4" w:space="0" w:color="auto"/>
              <w:bottom w:val="single" w:sz="4" w:space="0" w:color="auto"/>
              <w:right w:val="single" w:sz="4" w:space="0" w:color="auto"/>
            </w:tcBorders>
            <w:hideMark/>
          </w:tcPr>
          <w:p w14:paraId="0A83DC9B"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lastRenderedPageBreak/>
              <w:t>Priority</w:t>
            </w:r>
            <w:proofErr w:type="spellEnd"/>
            <w:r w:rsidRPr="008C5F1C">
              <w:rPr>
                <w:rFonts w:ascii="Times New Roman" w:hAnsi="Times New Roman" w:cs="Times New Roman"/>
                <w:b/>
                <w:sz w:val="16"/>
                <w:szCs w:val="16"/>
              </w:rPr>
              <w:t xml:space="preserve"> </w:t>
            </w:r>
          </w:p>
        </w:tc>
        <w:tc>
          <w:tcPr>
            <w:tcW w:w="565" w:type="pct"/>
            <w:tcBorders>
              <w:top w:val="single" w:sz="4" w:space="0" w:color="auto"/>
              <w:left w:val="single" w:sz="4" w:space="0" w:color="auto"/>
              <w:bottom w:val="single" w:sz="4" w:space="0" w:color="auto"/>
              <w:right w:val="single" w:sz="4" w:space="0" w:color="auto"/>
            </w:tcBorders>
            <w:hideMark/>
          </w:tcPr>
          <w:p w14:paraId="7FB2CF37"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 xml:space="preserve">Specific </w:t>
            </w:r>
            <w:proofErr w:type="spellStart"/>
            <w:r w:rsidRPr="008C5F1C">
              <w:rPr>
                <w:rFonts w:ascii="Times New Roman" w:hAnsi="Times New Roman" w:cs="Times New Roman"/>
                <w:b/>
                <w:sz w:val="16"/>
                <w:szCs w:val="16"/>
              </w:rPr>
              <w:t>objective</w:t>
            </w:r>
            <w:proofErr w:type="spellEnd"/>
            <w:r w:rsidRPr="008C5F1C">
              <w:rPr>
                <w:rFonts w:ascii="Times New Roman" w:hAnsi="Times New Roman" w:cs="Times New Roman"/>
                <w:b/>
                <w:sz w:val="16"/>
                <w:szCs w:val="16"/>
              </w:rPr>
              <w:t xml:space="preserve"> (Investment for </w:t>
            </w:r>
            <w:proofErr w:type="spellStart"/>
            <w:r w:rsidRPr="008C5F1C">
              <w:rPr>
                <w:rFonts w:ascii="Times New Roman" w:hAnsi="Times New Roman" w:cs="Times New Roman"/>
                <w:b/>
                <w:sz w:val="16"/>
                <w:szCs w:val="16"/>
              </w:rPr>
              <w:t>Jobs</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and</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Growth</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goal</w:t>
            </w:r>
            <w:proofErr w:type="spellEnd"/>
            <w:r w:rsidRPr="008C5F1C">
              <w:rPr>
                <w:rFonts w:ascii="Times New Roman" w:hAnsi="Times New Roman" w:cs="Times New Roman"/>
                <w:b/>
                <w:sz w:val="16"/>
                <w:szCs w:val="16"/>
              </w:rPr>
              <w:t xml:space="preserve"> or EMFF)</w:t>
            </w:r>
          </w:p>
        </w:tc>
        <w:tc>
          <w:tcPr>
            <w:tcW w:w="325" w:type="pct"/>
            <w:tcBorders>
              <w:top w:val="single" w:sz="4" w:space="0" w:color="auto"/>
              <w:left w:val="single" w:sz="4" w:space="0" w:color="auto"/>
              <w:bottom w:val="single" w:sz="4" w:space="0" w:color="auto"/>
              <w:right w:val="single" w:sz="4" w:space="0" w:color="auto"/>
            </w:tcBorders>
            <w:hideMark/>
          </w:tcPr>
          <w:p w14:paraId="09C477EE"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Fund</w:t>
            </w:r>
          </w:p>
        </w:tc>
        <w:tc>
          <w:tcPr>
            <w:tcW w:w="454" w:type="pct"/>
            <w:tcBorders>
              <w:top w:val="single" w:sz="4" w:space="0" w:color="auto"/>
              <w:left w:val="single" w:sz="4" w:space="0" w:color="auto"/>
              <w:bottom w:val="single" w:sz="4" w:space="0" w:color="auto"/>
              <w:right w:val="single" w:sz="4" w:space="0" w:color="auto"/>
            </w:tcBorders>
            <w:hideMark/>
          </w:tcPr>
          <w:p w14:paraId="51399E2E"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Category</w:t>
            </w:r>
            <w:proofErr w:type="spellEnd"/>
            <w:r w:rsidRPr="008C5F1C">
              <w:rPr>
                <w:rFonts w:ascii="Times New Roman" w:hAnsi="Times New Roman" w:cs="Times New Roman"/>
                <w:b/>
                <w:sz w:val="16"/>
                <w:szCs w:val="16"/>
              </w:rPr>
              <w:t xml:space="preserve"> of </w:t>
            </w:r>
            <w:proofErr w:type="spellStart"/>
            <w:r w:rsidRPr="008C5F1C">
              <w:rPr>
                <w:rFonts w:ascii="Times New Roman" w:hAnsi="Times New Roman" w:cs="Times New Roman"/>
                <w:b/>
                <w:sz w:val="16"/>
                <w:szCs w:val="16"/>
              </w:rPr>
              <w:t>region</w:t>
            </w:r>
            <w:proofErr w:type="spellEnd"/>
          </w:p>
        </w:tc>
        <w:tc>
          <w:tcPr>
            <w:tcW w:w="283" w:type="pct"/>
            <w:tcBorders>
              <w:top w:val="single" w:sz="4" w:space="0" w:color="auto"/>
              <w:left w:val="single" w:sz="4" w:space="0" w:color="auto"/>
              <w:bottom w:val="single" w:sz="4" w:space="0" w:color="auto"/>
              <w:right w:val="single" w:sz="4" w:space="0" w:color="auto"/>
            </w:tcBorders>
            <w:hideMark/>
          </w:tcPr>
          <w:p w14:paraId="2A7637CF"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ID [5]</w:t>
            </w:r>
          </w:p>
        </w:tc>
        <w:tc>
          <w:tcPr>
            <w:tcW w:w="1149" w:type="pct"/>
            <w:tcBorders>
              <w:top w:val="single" w:sz="4" w:space="0" w:color="auto"/>
              <w:left w:val="single" w:sz="4" w:space="0" w:color="auto"/>
              <w:bottom w:val="single" w:sz="4" w:space="0" w:color="auto"/>
              <w:right w:val="single" w:sz="4" w:space="0" w:color="auto"/>
            </w:tcBorders>
            <w:hideMark/>
          </w:tcPr>
          <w:p w14:paraId="1447C5A9"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 xml:space="preserve">Indicator [255] </w:t>
            </w:r>
          </w:p>
        </w:tc>
        <w:tc>
          <w:tcPr>
            <w:tcW w:w="601" w:type="pct"/>
            <w:tcBorders>
              <w:top w:val="single" w:sz="4" w:space="0" w:color="auto"/>
              <w:left w:val="single" w:sz="4" w:space="0" w:color="auto"/>
              <w:bottom w:val="single" w:sz="4" w:space="0" w:color="auto"/>
              <w:right w:val="single" w:sz="4" w:space="0" w:color="auto"/>
            </w:tcBorders>
            <w:hideMark/>
          </w:tcPr>
          <w:p w14:paraId="2076A67C"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Measurement</w:t>
            </w:r>
            <w:proofErr w:type="spellEnd"/>
            <w:r w:rsidRPr="008C5F1C">
              <w:rPr>
                <w:rFonts w:ascii="Times New Roman" w:hAnsi="Times New Roman" w:cs="Times New Roman"/>
                <w:b/>
                <w:sz w:val="16"/>
                <w:szCs w:val="16"/>
              </w:rPr>
              <w:t xml:space="preserve"> unit</w:t>
            </w:r>
          </w:p>
        </w:tc>
        <w:tc>
          <w:tcPr>
            <w:tcW w:w="549" w:type="pct"/>
            <w:tcBorders>
              <w:top w:val="single" w:sz="4" w:space="0" w:color="auto"/>
              <w:left w:val="single" w:sz="4" w:space="0" w:color="auto"/>
              <w:bottom w:val="single" w:sz="4" w:space="0" w:color="auto"/>
              <w:right w:val="single" w:sz="4" w:space="0" w:color="auto"/>
            </w:tcBorders>
          </w:tcPr>
          <w:p w14:paraId="02DD9E78"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Milestone</w:t>
            </w:r>
            <w:proofErr w:type="spellEnd"/>
            <w:r w:rsidRPr="008C5F1C">
              <w:rPr>
                <w:rFonts w:ascii="Times New Roman" w:hAnsi="Times New Roman" w:cs="Times New Roman"/>
                <w:b/>
                <w:sz w:val="16"/>
                <w:szCs w:val="16"/>
              </w:rPr>
              <w:t xml:space="preserve"> (2024)</w:t>
            </w:r>
          </w:p>
          <w:p w14:paraId="0B1516A6" w14:textId="77777777" w:rsidR="00653571" w:rsidRPr="008C5F1C" w:rsidRDefault="00653571" w:rsidP="00534127">
            <w:pPr>
              <w:rPr>
                <w:rFonts w:ascii="Times New Roman" w:hAnsi="Times New Roman" w:cs="Times New Roman"/>
                <w:b/>
                <w:sz w:val="16"/>
                <w:szCs w:val="16"/>
              </w:rPr>
            </w:pPr>
          </w:p>
        </w:tc>
        <w:tc>
          <w:tcPr>
            <w:tcW w:w="680" w:type="pct"/>
            <w:tcBorders>
              <w:top w:val="single" w:sz="4" w:space="0" w:color="auto"/>
              <w:left w:val="single" w:sz="4" w:space="0" w:color="auto"/>
              <w:bottom w:val="single" w:sz="4" w:space="0" w:color="auto"/>
              <w:right w:val="single" w:sz="4" w:space="0" w:color="auto"/>
            </w:tcBorders>
          </w:tcPr>
          <w:p w14:paraId="4312827F"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Target (2029)</w:t>
            </w:r>
          </w:p>
          <w:p w14:paraId="382528B4" w14:textId="77777777" w:rsidR="00653571" w:rsidRPr="008C5F1C" w:rsidRDefault="00653571" w:rsidP="00534127">
            <w:pPr>
              <w:rPr>
                <w:rFonts w:ascii="Times New Roman" w:hAnsi="Times New Roman" w:cs="Times New Roman"/>
                <w:b/>
                <w:sz w:val="16"/>
                <w:szCs w:val="16"/>
              </w:rPr>
            </w:pPr>
          </w:p>
        </w:tc>
      </w:tr>
      <w:tr w:rsidR="00653571" w:rsidRPr="008C5F1C" w14:paraId="71A2C3F5" w14:textId="77777777" w:rsidTr="004E0CDF">
        <w:trPr>
          <w:trHeight w:val="340"/>
        </w:trPr>
        <w:tc>
          <w:tcPr>
            <w:tcW w:w="394" w:type="pct"/>
            <w:tcBorders>
              <w:top w:val="single" w:sz="4" w:space="0" w:color="auto"/>
              <w:left w:val="single" w:sz="4" w:space="0" w:color="auto"/>
              <w:bottom w:val="single" w:sz="4" w:space="0" w:color="auto"/>
              <w:right w:val="single" w:sz="4" w:space="0" w:color="auto"/>
            </w:tcBorders>
          </w:tcPr>
          <w:p w14:paraId="3F1D8663" w14:textId="77777777" w:rsidR="00653571" w:rsidRPr="008C5F1C" w:rsidRDefault="00904C61" w:rsidP="00534127">
            <w:pPr>
              <w:rPr>
                <w:rFonts w:ascii="Times New Roman" w:hAnsi="Times New Roman" w:cs="Times New Roman"/>
                <w:bCs/>
                <w:iCs/>
                <w:sz w:val="16"/>
                <w:szCs w:val="16"/>
              </w:rPr>
            </w:pPr>
            <w:r w:rsidRPr="008C5F1C">
              <w:rPr>
                <w:rFonts w:ascii="Times New Roman" w:hAnsi="Times New Roman" w:cs="Times New Roman"/>
                <w:bCs/>
                <w:iCs/>
                <w:sz w:val="16"/>
                <w:szCs w:val="16"/>
              </w:rPr>
              <w:t>6</w:t>
            </w:r>
          </w:p>
        </w:tc>
        <w:tc>
          <w:tcPr>
            <w:tcW w:w="565" w:type="pct"/>
            <w:tcBorders>
              <w:top w:val="single" w:sz="4" w:space="0" w:color="auto"/>
              <w:left w:val="single" w:sz="4" w:space="0" w:color="auto"/>
              <w:bottom w:val="single" w:sz="4" w:space="0" w:color="auto"/>
              <w:right w:val="single" w:sz="4" w:space="0" w:color="auto"/>
            </w:tcBorders>
          </w:tcPr>
          <w:p w14:paraId="6AB96837"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bCs/>
                <w:iCs/>
                <w:sz w:val="16"/>
                <w:szCs w:val="16"/>
              </w:rPr>
              <w:t>e (ii) Favorizarea dezvolt</w:t>
            </w:r>
            <w:r w:rsidR="00BA7827" w:rsidRPr="008C5F1C">
              <w:rPr>
                <w:rFonts w:ascii="Times New Roman" w:hAnsi="Times New Roman" w:cs="Times New Roman"/>
                <w:bCs/>
                <w:iCs/>
                <w:sz w:val="16"/>
                <w:szCs w:val="16"/>
              </w:rPr>
              <w:t>ă</w:t>
            </w:r>
            <w:r w:rsidRPr="008C5F1C">
              <w:rPr>
                <w:rFonts w:ascii="Times New Roman" w:hAnsi="Times New Roman" w:cs="Times New Roman"/>
                <w:bCs/>
                <w:iCs/>
                <w:sz w:val="16"/>
                <w:szCs w:val="16"/>
              </w:rPr>
              <w:t xml:space="preserve">rii integrate sociale, economice </w:t>
            </w:r>
            <w:r w:rsidR="00106240" w:rsidRPr="008C5F1C">
              <w:rPr>
                <w:rFonts w:ascii="Times New Roman" w:hAnsi="Times New Roman" w:cs="Times New Roman"/>
                <w:bCs/>
                <w:iCs/>
                <w:sz w:val="16"/>
                <w:szCs w:val="16"/>
              </w:rPr>
              <w:t>ș</w:t>
            </w:r>
            <w:r w:rsidRPr="008C5F1C">
              <w:rPr>
                <w:rFonts w:ascii="Times New Roman" w:hAnsi="Times New Roman" w:cs="Times New Roman"/>
                <w:bCs/>
                <w:iCs/>
                <w:sz w:val="16"/>
                <w:szCs w:val="16"/>
              </w:rPr>
              <w:t xml:space="preserve">i de mediu la nivel local </w:t>
            </w:r>
            <w:r w:rsidR="00106240" w:rsidRPr="008C5F1C">
              <w:rPr>
                <w:rFonts w:ascii="Times New Roman" w:hAnsi="Times New Roman" w:cs="Times New Roman"/>
                <w:bCs/>
                <w:iCs/>
                <w:sz w:val="16"/>
                <w:szCs w:val="16"/>
              </w:rPr>
              <w:t>ș</w:t>
            </w:r>
            <w:r w:rsidRPr="008C5F1C">
              <w:rPr>
                <w:rFonts w:ascii="Times New Roman" w:hAnsi="Times New Roman" w:cs="Times New Roman"/>
                <w:bCs/>
                <w:iCs/>
                <w:sz w:val="16"/>
                <w:szCs w:val="16"/>
              </w:rPr>
              <w:t xml:space="preserve">i a patrimoniului cultural, turismului </w:t>
            </w:r>
            <w:r w:rsidR="00106240" w:rsidRPr="008C5F1C">
              <w:rPr>
                <w:rFonts w:ascii="Times New Roman" w:hAnsi="Times New Roman" w:cs="Times New Roman"/>
                <w:bCs/>
                <w:iCs/>
                <w:sz w:val="16"/>
                <w:szCs w:val="16"/>
              </w:rPr>
              <w:t>ș</w:t>
            </w:r>
            <w:r w:rsidRPr="008C5F1C">
              <w:rPr>
                <w:rFonts w:ascii="Times New Roman" w:hAnsi="Times New Roman" w:cs="Times New Roman"/>
                <w:bCs/>
                <w:iCs/>
                <w:sz w:val="16"/>
                <w:szCs w:val="16"/>
              </w:rPr>
              <w:t>i securit</w:t>
            </w:r>
            <w:r w:rsidR="00BA7827" w:rsidRPr="008C5F1C">
              <w:rPr>
                <w:rFonts w:ascii="Times New Roman" w:hAnsi="Times New Roman" w:cs="Times New Roman"/>
                <w:bCs/>
                <w:iCs/>
                <w:sz w:val="16"/>
                <w:szCs w:val="16"/>
              </w:rPr>
              <w:t>ă</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ii în afara zonelor urbane</w:t>
            </w:r>
          </w:p>
        </w:tc>
        <w:tc>
          <w:tcPr>
            <w:tcW w:w="325" w:type="pct"/>
            <w:tcBorders>
              <w:top w:val="single" w:sz="4" w:space="0" w:color="auto"/>
              <w:left w:val="single" w:sz="4" w:space="0" w:color="auto"/>
              <w:bottom w:val="single" w:sz="4" w:space="0" w:color="auto"/>
              <w:right w:val="single" w:sz="4" w:space="0" w:color="auto"/>
            </w:tcBorders>
          </w:tcPr>
          <w:p w14:paraId="65E00788"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noProof/>
                <w:sz w:val="16"/>
                <w:szCs w:val="16"/>
              </w:rPr>
              <w:t>FEDR</w:t>
            </w:r>
          </w:p>
        </w:tc>
        <w:tc>
          <w:tcPr>
            <w:tcW w:w="454" w:type="pct"/>
            <w:tcBorders>
              <w:top w:val="single" w:sz="4" w:space="0" w:color="auto"/>
              <w:left w:val="single" w:sz="4" w:space="0" w:color="auto"/>
              <w:bottom w:val="single" w:sz="4" w:space="0" w:color="auto"/>
              <w:right w:val="single" w:sz="4" w:space="0" w:color="auto"/>
            </w:tcBorders>
          </w:tcPr>
          <w:p w14:paraId="5E8DC86B"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noProof/>
                <w:sz w:val="16"/>
                <w:szCs w:val="16"/>
              </w:rPr>
              <w:t>Mai pu</w:t>
            </w:r>
            <w:r w:rsidR="00E22FF2" w:rsidRPr="008C5F1C">
              <w:rPr>
                <w:rFonts w:ascii="Times New Roman" w:hAnsi="Times New Roman" w:cs="Times New Roman"/>
                <w:noProof/>
                <w:sz w:val="16"/>
                <w:szCs w:val="16"/>
              </w:rPr>
              <w:t>ț</w:t>
            </w:r>
            <w:r w:rsidRPr="008C5F1C">
              <w:rPr>
                <w:rFonts w:ascii="Times New Roman" w:hAnsi="Times New Roman" w:cs="Times New Roman"/>
                <w:noProof/>
                <w:sz w:val="16"/>
                <w:szCs w:val="16"/>
              </w:rPr>
              <w:t>in dezvoltate</w:t>
            </w:r>
          </w:p>
        </w:tc>
        <w:tc>
          <w:tcPr>
            <w:tcW w:w="283" w:type="pct"/>
            <w:tcBorders>
              <w:top w:val="single" w:sz="4" w:space="0" w:color="auto"/>
              <w:left w:val="single" w:sz="4" w:space="0" w:color="auto"/>
              <w:bottom w:val="single" w:sz="4" w:space="0" w:color="auto"/>
              <w:right w:val="single" w:sz="4" w:space="0" w:color="auto"/>
            </w:tcBorders>
          </w:tcPr>
          <w:p w14:paraId="004E8CD0" w14:textId="77777777" w:rsidR="00653571" w:rsidRPr="008C5F1C" w:rsidRDefault="00653571" w:rsidP="00534127">
            <w:pPr>
              <w:rPr>
                <w:rFonts w:ascii="Times New Roman" w:hAnsi="Times New Roman" w:cs="Times New Roman"/>
                <w:bCs/>
                <w:iCs/>
                <w:sz w:val="16"/>
                <w:szCs w:val="16"/>
              </w:rPr>
            </w:pPr>
            <w:r w:rsidRPr="008C5F1C">
              <w:rPr>
                <w:rFonts w:ascii="Times New Roman" w:hAnsi="Times New Roman" w:cs="Times New Roman"/>
                <w:bCs/>
                <w:iCs/>
                <w:sz w:val="16"/>
                <w:szCs w:val="16"/>
              </w:rPr>
              <w:t xml:space="preserve">RCO 77 </w:t>
            </w:r>
          </w:p>
        </w:tc>
        <w:tc>
          <w:tcPr>
            <w:tcW w:w="1149" w:type="pct"/>
            <w:tcBorders>
              <w:top w:val="single" w:sz="4" w:space="0" w:color="auto"/>
              <w:left w:val="single" w:sz="4" w:space="0" w:color="auto"/>
              <w:bottom w:val="single" w:sz="4" w:space="0" w:color="auto"/>
              <w:right w:val="single" w:sz="4" w:space="0" w:color="auto"/>
            </w:tcBorders>
          </w:tcPr>
          <w:p w14:paraId="607CB62B" w14:textId="77777777" w:rsidR="00653571" w:rsidRPr="008C5F1C" w:rsidRDefault="00653571" w:rsidP="002A5FA8">
            <w:pPr>
              <w:rPr>
                <w:rFonts w:ascii="Times New Roman" w:hAnsi="Times New Roman" w:cs="Times New Roman"/>
                <w:bCs/>
                <w:iCs/>
                <w:sz w:val="16"/>
                <w:szCs w:val="16"/>
              </w:rPr>
            </w:pPr>
            <w:r w:rsidRPr="008C5F1C">
              <w:rPr>
                <w:rFonts w:ascii="Times New Roman" w:hAnsi="Times New Roman" w:cs="Times New Roman"/>
                <w:bCs/>
                <w:iCs/>
                <w:sz w:val="16"/>
                <w:szCs w:val="16"/>
              </w:rPr>
              <w:t>RCO 77 –</w:t>
            </w:r>
            <w:r w:rsidR="002A5FA8" w:rsidRPr="008C5F1C">
              <w:rPr>
                <w:rFonts w:ascii="Times New Roman" w:hAnsi="Times New Roman" w:cs="Times New Roman"/>
                <w:bCs/>
                <w:iCs/>
                <w:sz w:val="16"/>
                <w:szCs w:val="16"/>
              </w:rPr>
              <w:t xml:space="preserve"> </w:t>
            </w:r>
            <w:proofErr w:type="spellStart"/>
            <w:r w:rsidR="002A5FA8" w:rsidRPr="008C5F1C">
              <w:rPr>
                <w:rFonts w:ascii="Times New Roman" w:hAnsi="Times New Roman" w:cs="Times New Roman"/>
                <w:bCs/>
                <w:iCs/>
                <w:sz w:val="16"/>
                <w:szCs w:val="16"/>
              </w:rPr>
              <w:t>Numarul</w:t>
            </w:r>
            <w:proofErr w:type="spellEnd"/>
            <w:r w:rsidR="002A5FA8" w:rsidRPr="008C5F1C">
              <w:rPr>
                <w:rFonts w:ascii="Times New Roman" w:hAnsi="Times New Roman" w:cs="Times New Roman"/>
                <w:bCs/>
                <w:iCs/>
                <w:sz w:val="16"/>
                <w:szCs w:val="16"/>
              </w:rPr>
              <w:t xml:space="preserve"> </w:t>
            </w:r>
            <w:r w:rsidRPr="008C5F1C">
              <w:rPr>
                <w:rFonts w:ascii="Times New Roman" w:hAnsi="Times New Roman" w:cs="Times New Roman"/>
                <w:bCs/>
                <w:iCs/>
                <w:sz w:val="16"/>
                <w:szCs w:val="16"/>
              </w:rPr>
              <w:t xml:space="preserve">infrastructurilor </w:t>
            </w:r>
            <w:bookmarkStart w:id="128" w:name="_Hlk40557228"/>
            <w:r w:rsidRPr="008C5F1C">
              <w:rPr>
                <w:rFonts w:ascii="Times New Roman" w:hAnsi="Times New Roman" w:cs="Times New Roman"/>
                <w:bCs/>
                <w:iCs/>
                <w:sz w:val="16"/>
                <w:szCs w:val="16"/>
              </w:rPr>
              <w:t xml:space="preserve">culturale </w:t>
            </w:r>
            <w:r w:rsidR="00106240" w:rsidRPr="008C5F1C">
              <w:rPr>
                <w:rFonts w:ascii="Times New Roman" w:hAnsi="Times New Roman" w:cs="Times New Roman"/>
                <w:bCs/>
                <w:iCs/>
                <w:sz w:val="16"/>
                <w:szCs w:val="16"/>
              </w:rPr>
              <w:t>ș</w:t>
            </w:r>
            <w:r w:rsidRPr="008C5F1C">
              <w:rPr>
                <w:rFonts w:ascii="Times New Roman" w:hAnsi="Times New Roman" w:cs="Times New Roman"/>
                <w:bCs/>
                <w:iCs/>
                <w:sz w:val="16"/>
                <w:szCs w:val="16"/>
              </w:rPr>
              <w:t>i turistice care beneficiaz</w:t>
            </w:r>
            <w:r w:rsidR="00BA7827" w:rsidRPr="008C5F1C">
              <w:rPr>
                <w:rFonts w:ascii="Times New Roman" w:hAnsi="Times New Roman" w:cs="Times New Roman"/>
                <w:bCs/>
                <w:iCs/>
                <w:sz w:val="16"/>
                <w:szCs w:val="16"/>
              </w:rPr>
              <w:t>ă</w:t>
            </w:r>
            <w:r w:rsidRPr="008C5F1C">
              <w:rPr>
                <w:rFonts w:ascii="Times New Roman" w:hAnsi="Times New Roman" w:cs="Times New Roman"/>
                <w:bCs/>
                <w:iCs/>
                <w:sz w:val="16"/>
                <w:szCs w:val="16"/>
              </w:rPr>
              <w:t xml:space="preserve"> de sprijin</w:t>
            </w:r>
            <w:bookmarkEnd w:id="128"/>
          </w:p>
        </w:tc>
        <w:tc>
          <w:tcPr>
            <w:tcW w:w="601" w:type="pct"/>
            <w:tcBorders>
              <w:top w:val="single" w:sz="4" w:space="0" w:color="auto"/>
              <w:left w:val="single" w:sz="4" w:space="0" w:color="auto"/>
              <w:bottom w:val="single" w:sz="4" w:space="0" w:color="auto"/>
              <w:right w:val="single" w:sz="4" w:space="0" w:color="auto"/>
            </w:tcBorders>
          </w:tcPr>
          <w:p w14:paraId="2B6568B7" w14:textId="77777777" w:rsidR="00653571" w:rsidRPr="008C5F1C" w:rsidRDefault="00494FF5" w:rsidP="00534127">
            <w:pPr>
              <w:rPr>
                <w:rFonts w:ascii="Times New Roman" w:hAnsi="Times New Roman" w:cs="Times New Roman"/>
                <w:bCs/>
                <w:iCs/>
                <w:sz w:val="16"/>
                <w:szCs w:val="16"/>
              </w:rPr>
            </w:pPr>
            <w:r w:rsidRPr="008C5F1C">
              <w:rPr>
                <w:rFonts w:ascii="Times New Roman" w:hAnsi="Times New Roman" w:cs="Times New Roman"/>
                <w:bCs/>
                <w:iCs/>
                <w:sz w:val="16"/>
                <w:szCs w:val="16"/>
              </w:rPr>
              <w:t>Nr.</w:t>
            </w:r>
          </w:p>
        </w:tc>
        <w:tc>
          <w:tcPr>
            <w:tcW w:w="549" w:type="pct"/>
            <w:tcBorders>
              <w:top w:val="single" w:sz="4" w:space="0" w:color="auto"/>
              <w:left w:val="single" w:sz="4" w:space="0" w:color="auto"/>
              <w:bottom w:val="single" w:sz="4" w:space="0" w:color="auto"/>
              <w:right w:val="single" w:sz="4" w:space="0" w:color="auto"/>
            </w:tcBorders>
          </w:tcPr>
          <w:p w14:paraId="6C6EF537" w14:textId="53EA4BE1" w:rsidR="00653571" w:rsidRPr="008C5F1C" w:rsidRDefault="00EF5438" w:rsidP="00534127">
            <w:pPr>
              <w:rPr>
                <w:rFonts w:ascii="Times New Roman" w:hAnsi="Times New Roman" w:cs="Times New Roman"/>
                <w:bCs/>
                <w:iCs/>
                <w:sz w:val="16"/>
                <w:szCs w:val="16"/>
              </w:rPr>
            </w:pPr>
            <w:r w:rsidRPr="008C5F1C">
              <w:rPr>
                <w:rFonts w:ascii="Times New Roman" w:hAnsi="Times New Roman" w:cs="Times New Roman"/>
                <w:bCs/>
                <w:iCs/>
                <w:sz w:val="16"/>
                <w:szCs w:val="16"/>
              </w:rPr>
              <w:t>1</w:t>
            </w:r>
          </w:p>
        </w:tc>
        <w:tc>
          <w:tcPr>
            <w:tcW w:w="680" w:type="pct"/>
            <w:tcBorders>
              <w:top w:val="single" w:sz="4" w:space="0" w:color="auto"/>
              <w:left w:val="single" w:sz="4" w:space="0" w:color="auto"/>
              <w:bottom w:val="single" w:sz="4" w:space="0" w:color="auto"/>
              <w:right w:val="single" w:sz="4" w:space="0" w:color="auto"/>
            </w:tcBorders>
          </w:tcPr>
          <w:p w14:paraId="77C23CC8" w14:textId="5D02757E" w:rsidR="00653571" w:rsidRPr="008C5F1C" w:rsidRDefault="00DD0134" w:rsidP="00534127">
            <w:pPr>
              <w:rPr>
                <w:rFonts w:ascii="Times New Roman" w:hAnsi="Times New Roman" w:cs="Times New Roman"/>
                <w:bCs/>
                <w:iCs/>
                <w:sz w:val="16"/>
                <w:szCs w:val="16"/>
              </w:rPr>
            </w:pPr>
            <w:r w:rsidRPr="008C5F1C">
              <w:rPr>
                <w:rFonts w:ascii="Times New Roman" w:hAnsi="Times New Roman" w:cs="Times New Roman"/>
                <w:bCs/>
                <w:iCs/>
                <w:sz w:val="16"/>
                <w:szCs w:val="16"/>
              </w:rPr>
              <w:t>4</w:t>
            </w:r>
          </w:p>
        </w:tc>
      </w:tr>
    </w:tbl>
    <w:p w14:paraId="0C447F39" w14:textId="77777777" w:rsidR="00653571" w:rsidRPr="008C5F1C" w:rsidRDefault="00653571" w:rsidP="00653571">
      <w:pPr>
        <w:rPr>
          <w:rFonts w:ascii="Times New Roman" w:hAnsi="Times New Roman" w:cs="Times New Roman"/>
        </w:rPr>
      </w:pPr>
    </w:p>
    <w:tbl>
      <w:tblPr>
        <w:tblW w:w="50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8"/>
        <w:gridCol w:w="1088"/>
        <w:gridCol w:w="625"/>
        <w:gridCol w:w="874"/>
        <w:gridCol w:w="537"/>
        <w:gridCol w:w="945"/>
        <w:gridCol w:w="1158"/>
        <w:gridCol w:w="856"/>
        <w:gridCol w:w="900"/>
        <w:gridCol w:w="736"/>
        <w:gridCol w:w="688"/>
        <w:gridCol w:w="954"/>
      </w:tblGrid>
      <w:tr w:rsidR="00653571" w:rsidRPr="008C5F1C" w14:paraId="10307B3A" w14:textId="77777777" w:rsidTr="00EF5438">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14:paraId="3AD172DE" w14:textId="77777777" w:rsidR="00653571" w:rsidRPr="008C5F1C" w:rsidRDefault="00653571" w:rsidP="00534127">
            <w:pPr>
              <w:rPr>
                <w:rFonts w:ascii="Times New Roman" w:hAnsi="Times New Roman" w:cs="Times New Roman"/>
                <w:b/>
              </w:rPr>
            </w:pPr>
            <w:r w:rsidRPr="008C5F1C">
              <w:rPr>
                <w:rFonts w:ascii="Times New Roman" w:hAnsi="Times New Roman" w:cs="Times New Roman"/>
                <w:b/>
                <w:iCs/>
              </w:rPr>
              <w:t xml:space="preserve">Table 3: </w:t>
            </w:r>
            <w:proofErr w:type="spellStart"/>
            <w:r w:rsidRPr="008C5F1C">
              <w:rPr>
                <w:rFonts w:ascii="Times New Roman" w:hAnsi="Times New Roman" w:cs="Times New Roman"/>
                <w:b/>
                <w:iCs/>
              </w:rPr>
              <w:t>Result</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indicators</w:t>
            </w:r>
            <w:proofErr w:type="spellEnd"/>
          </w:p>
        </w:tc>
      </w:tr>
      <w:tr w:rsidR="00653571" w:rsidRPr="008C5F1C" w14:paraId="7B44C047" w14:textId="77777777" w:rsidTr="00EF5438">
        <w:trPr>
          <w:trHeight w:val="1768"/>
        </w:trPr>
        <w:tc>
          <w:tcPr>
            <w:tcW w:w="370" w:type="pct"/>
            <w:tcBorders>
              <w:top w:val="single" w:sz="4" w:space="0" w:color="auto"/>
              <w:left w:val="single" w:sz="4" w:space="0" w:color="auto"/>
              <w:bottom w:val="single" w:sz="4" w:space="0" w:color="auto"/>
              <w:right w:val="single" w:sz="4" w:space="0" w:color="auto"/>
            </w:tcBorders>
            <w:hideMark/>
          </w:tcPr>
          <w:p w14:paraId="2EF42BF9"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Priority</w:t>
            </w:r>
            <w:proofErr w:type="spellEnd"/>
            <w:r w:rsidRPr="008C5F1C">
              <w:rPr>
                <w:rFonts w:ascii="Times New Roman" w:hAnsi="Times New Roman" w:cs="Times New Roman"/>
                <w:b/>
                <w:sz w:val="16"/>
                <w:szCs w:val="16"/>
              </w:rPr>
              <w:t xml:space="preserve"> </w:t>
            </w:r>
          </w:p>
        </w:tc>
        <w:tc>
          <w:tcPr>
            <w:tcW w:w="527" w:type="pct"/>
            <w:tcBorders>
              <w:top w:val="single" w:sz="4" w:space="0" w:color="auto"/>
              <w:left w:val="single" w:sz="4" w:space="0" w:color="auto"/>
              <w:bottom w:val="single" w:sz="4" w:space="0" w:color="auto"/>
              <w:right w:val="single" w:sz="4" w:space="0" w:color="auto"/>
            </w:tcBorders>
            <w:hideMark/>
          </w:tcPr>
          <w:p w14:paraId="6847C95E"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 xml:space="preserve">Specific </w:t>
            </w:r>
            <w:proofErr w:type="spellStart"/>
            <w:r w:rsidRPr="008C5F1C">
              <w:rPr>
                <w:rFonts w:ascii="Times New Roman" w:hAnsi="Times New Roman" w:cs="Times New Roman"/>
                <w:b/>
                <w:sz w:val="16"/>
                <w:szCs w:val="16"/>
              </w:rPr>
              <w:t>objective</w:t>
            </w:r>
            <w:proofErr w:type="spellEnd"/>
            <w:r w:rsidRPr="008C5F1C">
              <w:rPr>
                <w:rFonts w:ascii="Times New Roman" w:hAnsi="Times New Roman" w:cs="Times New Roman"/>
                <w:b/>
                <w:sz w:val="16"/>
                <w:szCs w:val="16"/>
              </w:rPr>
              <w:t xml:space="preserve"> (Investment for </w:t>
            </w:r>
            <w:proofErr w:type="spellStart"/>
            <w:r w:rsidRPr="008C5F1C">
              <w:rPr>
                <w:rFonts w:ascii="Times New Roman" w:hAnsi="Times New Roman" w:cs="Times New Roman"/>
                <w:b/>
                <w:sz w:val="16"/>
                <w:szCs w:val="16"/>
              </w:rPr>
              <w:t>Jobs</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and</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Growth</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goal</w:t>
            </w:r>
            <w:proofErr w:type="spellEnd"/>
            <w:r w:rsidRPr="008C5F1C">
              <w:rPr>
                <w:rFonts w:ascii="Times New Roman" w:hAnsi="Times New Roman" w:cs="Times New Roman"/>
                <w:b/>
                <w:sz w:val="16"/>
                <w:szCs w:val="16"/>
              </w:rPr>
              <w:t xml:space="preserve"> or EMFF)</w:t>
            </w:r>
          </w:p>
        </w:tc>
        <w:tc>
          <w:tcPr>
            <w:tcW w:w="305" w:type="pct"/>
            <w:tcBorders>
              <w:top w:val="single" w:sz="4" w:space="0" w:color="auto"/>
              <w:left w:val="single" w:sz="4" w:space="0" w:color="auto"/>
              <w:bottom w:val="single" w:sz="4" w:space="0" w:color="auto"/>
              <w:right w:val="single" w:sz="4" w:space="0" w:color="auto"/>
            </w:tcBorders>
            <w:hideMark/>
          </w:tcPr>
          <w:p w14:paraId="25051A27"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Fund</w:t>
            </w:r>
          </w:p>
        </w:tc>
        <w:tc>
          <w:tcPr>
            <w:tcW w:w="424" w:type="pct"/>
            <w:tcBorders>
              <w:top w:val="single" w:sz="4" w:space="0" w:color="auto"/>
              <w:left w:val="single" w:sz="4" w:space="0" w:color="auto"/>
              <w:bottom w:val="single" w:sz="4" w:space="0" w:color="auto"/>
              <w:right w:val="single" w:sz="4" w:space="0" w:color="auto"/>
            </w:tcBorders>
            <w:hideMark/>
          </w:tcPr>
          <w:p w14:paraId="4FC91F70"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Category</w:t>
            </w:r>
            <w:proofErr w:type="spellEnd"/>
            <w:r w:rsidRPr="008C5F1C">
              <w:rPr>
                <w:rFonts w:ascii="Times New Roman" w:hAnsi="Times New Roman" w:cs="Times New Roman"/>
                <w:b/>
                <w:sz w:val="16"/>
                <w:szCs w:val="16"/>
              </w:rPr>
              <w:t xml:space="preserve"> of </w:t>
            </w:r>
            <w:proofErr w:type="spellStart"/>
            <w:r w:rsidRPr="008C5F1C">
              <w:rPr>
                <w:rFonts w:ascii="Times New Roman" w:hAnsi="Times New Roman" w:cs="Times New Roman"/>
                <w:b/>
                <w:sz w:val="16"/>
                <w:szCs w:val="16"/>
              </w:rPr>
              <w:t>region</w:t>
            </w:r>
            <w:proofErr w:type="spellEnd"/>
            <w:r w:rsidRPr="008C5F1C">
              <w:rPr>
                <w:rFonts w:ascii="Times New Roman" w:hAnsi="Times New Roman" w:cs="Times New Roman"/>
                <w:sz w:val="16"/>
                <w:szCs w:val="16"/>
              </w:rPr>
              <w:t xml:space="preserve"> </w:t>
            </w:r>
          </w:p>
        </w:tc>
        <w:tc>
          <w:tcPr>
            <w:tcW w:w="264" w:type="pct"/>
            <w:tcBorders>
              <w:top w:val="single" w:sz="4" w:space="0" w:color="auto"/>
              <w:left w:val="single" w:sz="4" w:space="0" w:color="auto"/>
              <w:bottom w:val="single" w:sz="4" w:space="0" w:color="auto"/>
              <w:right w:val="single" w:sz="4" w:space="0" w:color="auto"/>
            </w:tcBorders>
            <w:hideMark/>
          </w:tcPr>
          <w:p w14:paraId="71C7DA49"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ID [5]</w:t>
            </w:r>
          </w:p>
        </w:tc>
        <w:tc>
          <w:tcPr>
            <w:tcW w:w="458" w:type="pct"/>
            <w:tcBorders>
              <w:top w:val="single" w:sz="4" w:space="0" w:color="auto"/>
              <w:left w:val="single" w:sz="4" w:space="0" w:color="auto"/>
              <w:bottom w:val="single" w:sz="4" w:space="0" w:color="auto"/>
              <w:right w:val="single" w:sz="4" w:space="0" w:color="auto"/>
            </w:tcBorders>
            <w:hideMark/>
          </w:tcPr>
          <w:p w14:paraId="1B0E111E"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Indicator [255]</w:t>
            </w:r>
          </w:p>
        </w:tc>
        <w:tc>
          <w:tcPr>
            <w:tcW w:w="560" w:type="pct"/>
            <w:tcBorders>
              <w:top w:val="single" w:sz="4" w:space="0" w:color="auto"/>
              <w:left w:val="single" w:sz="4" w:space="0" w:color="auto"/>
              <w:bottom w:val="single" w:sz="4" w:space="0" w:color="auto"/>
              <w:right w:val="single" w:sz="4" w:space="0" w:color="auto"/>
            </w:tcBorders>
            <w:hideMark/>
          </w:tcPr>
          <w:p w14:paraId="05B36346"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Measurement</w:t>
            </w:r>
            <w:proofErr w:type="spellEnd"/>
            <w:r w:rsidRPr="008C5F1C">
              <w:rPr>
                <w:rFonts w:ascii="Times New Roman" w:hAnsi="Times New Roman" w:cs="Times New Roman"/>
                <w:b/>
                <w:sz w:val="16"/>
                <w:szCs w:val="16"/>
              </w:rPr>
              <w:t xml:space="preserve"> unit</w:t>
            </w:r>
          </w:p>
        </w:tc>
        <w:tc>
          <w:tcPr>
            <w:tcW w:w="416" w:type="pct"/>
            <w:tcBorders>
              <w:top w:val="single" w:sz="4" w:space="0" w:color="auto"/>
              <w:left w:val="single" w:sz="4" w:space="0" w:color="auto"/>
              <w:bottom w:val="single" w:sz="4" w:space="0" w:color="auto"/>
              <w:right w:val="single" w:sz="4" w:space="0" w:color="auto"/>
            </w:tcBorders>
            <w:hideMark/>
          </w:tcPr>
          <w:p w14:paraId="4DF430D2"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Baseline</w:t>
            </w:r>
            <w:proofErr w:type="spellEnd"/>
            <w:r w:rsidRPr="008C5F1C">
              <w:rPr>
                <w:rFonts w:ascii="Times New Roman" w:hAnsi="Times New Roman" w:cs="Times New Roman"/>
                <w:b/>
                <w:sz w:val="16"/>
                <w:szCs w:val="16"/>
              </w:rPr>
              <w:t xml:space="preserve"> or </w:t>
            </w:r>
            <w:proofErr w:type="spellStart"/>
            <w:r w:rsidRPr="008C5F1C">
              <w:rPr>
                <w:rFonts w:ascii="Times New Roman" w:hAnsi="Times New Roman" w:cs="Times New Roman"/>
                <w:b/>
                <w:sz w:val="16"/>
                <w:szCs w:val="16"/>
              </w:rPr>
              <w:t>reference</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value</w:t>
            </w:r>
            <w:proofErr w:type="spellEnd"/>
          </w:p>
        </w:tc>
        <w:tc>
          <w:tcPr>
            <w:tcW w:w="437" w:type="pct"/>
            <w:tcBorders>
              <w:top w:val="single" w:sz="4" w:space="0" w:color="auto"/>
              <w:left w:val="single" w:sz="4" w:space="0" w:color="auto"/>
              <w:bottom w:val="single" w:sz="4" w:space="0" w:color="auto"/>
              <w:right w:val="single" w:sz="4" w:space="0" w:color="auto"/>
            </w:tcBorders>
            <w:hideMark/>
          </w:tcPr>
          <w:p w14:paraId="2C01D191"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Reference</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year</w:t>
            </w:r>
            <w:proofErr w:type="spellEnd"/>
          </w:p>
        </w:tc>
        <w:tc>
          <w:tcPr>
            <w:tcW w:w="436" w:type="pct"/>
            <w:tcBorders>
              <w:top w:val="single" w:sz="4" w:space="0" w:color="auto"/>
              <w:left w:val="single" w:sz="4" w:space="0" w:color="auto"/>
              <w:bottom w:val="single" w:sz="4" w:space="0" w:color="auto"/>
              <w:right w:val="single" w:sz="4" w:space="0" w:color="auto"/>
            </w:tcBorders>
          </w:tcPr>
          <w:p w14:paraId="5CD16304"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Target (2029)</w:t>
            </w:r>
          </w:p>
          <w:p w14:paraId="67D08B42" w14:textId="77777777" w:rsidR="00653571" w:rsidRPr="008C5F1C" w:rsidRDefault="00653571" w:rsidP="00534127">
            <w:pPr>
              <w:rPr>
                <w:rFonts w:ascii="Times New Roman" w:hAnsi="Times New Roman" w:cs="Times New Roman"/>
                <w:b/>
                <w:sz w:val="16"/>
                <w:szCs w:val="16"/>
              </w:rPr>
            </w:pPr>
          </w:p>
        </w:tc>
        <w:tc>
          <w:tcPr>
            <w:tcW w:w="336" w:type="pct"/>
            <w:tcBorders>
              <w:top w:val="single" w:sz="4" w:space="0" w:color="auto"/>
              <w:left w:val="single" w:sz="4" w:space="0" w:color="auto"/>
              <w:bottom w:val="single" w:sz="4" w:space="0" w:color="auto"/>
              <w:right w:val="single" w:sz="4" w:space="0" w:color="auto"/>
            </w:tcBorders>
            <w:hideMark/>
          </w:tcPr>
          <w:p w14:paraId="467B5804"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Source</w:t>
            </w:r>
            <w:proofErr w:type="spellEnd"/>
            <w:r w:rsidRPr="008C5F1C">
              <w:rPr>
                <w:rFonts w:ascii="Times New Roman" w:hAnsi="Times New Roman" w:cs="Times New Roman"/>
                <w:b/>
                <w:sz w:val="16"/>
                <w:szCs w:val="16"/>
              </w:rPr>
              <w:t xml:space="preserve"> of data [200]</w:t>
            </w:r>
          </w:p>
        </w:tc>
        <w:tc>
          <w:tcPr>
            <w:tcW w:w="463" w:type="pct"/>
            <w:tcBorders>
              <w:top w:val="single" w:sz="4" w:space="0" w:color="auto"/>
              <w:left w:val="single" w:sz="4" w:space="0" w:color="auto"/>
              <w:bottom w:val="single" w:sz="4" w:space="0" w:color="auto"/>
              <w:right w:val="single" w:sz="4" w:space="0" w:color="auto"/>
            </w:tcBorders>
            <w:hideMark/>
          </w:tcPr>
          <w:p w14:paraId="04EC60A8"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Comments</w:t>
            </w:r>
            <w:proofErr w:type="spellEnd"/>
            <w:r w:rsidRPr="008C5F1C">
              <w:rPr>
                <w:rFonts w:ascii="Times New Roman" w:hAnsi="Times New Roman" w:cs="Times New Roman"/>
                <w:b/>
                <w:sz w:val="16"/>
                <w:szCs w:val="16"/>
              </w:rPr>
              <w:t xml:space="preserve"> [200]</w:t>
            </w:r>
          </w:p>
        </w:tc>
      </w:tr>
      <w:tr w:rsidR="00653571" w:rsidRPr="008C5F1C" w14:paraId="7B055C53" w14:textId="77777777" w:rsidTr="00EF5438">
        <w:trPr>
          <w:trHeight w:val="434"/>
        </w:trPr>
        <w:tc>
          <w:tcPr>
            <w:tcW w:w="370" w:type="pct"/>
            <w:tcBorders>
              <w:top w:val="single" w:sz="4" w:space="0" w:color="auto"/>
              <w:left w:val="single" w:sz="4" w:space="0" w:color="auto"/>
              <w:bottom w:val="single" w:sz="4" w:space="0" w:color="auto"/>
              <w:right w:val="single" w:sz="4" w:space="0" w:color="auto"/>
            </w:tcBorders>
          </w:tcPr>
          <w:p w14:paraId="17916D4A" w14:textId="77777777" w:rsidR="00653571" w:rsidRPr="008C5F1C" w:rsidRDefault="00904C61" w:rsidP="00534127">
            <w:pPr>
              <w:rPr>
                <w:rFonts w:ascii="Times New Roman" w:hAnsi="Times New Roman" w:cs="Times New Roman"/>
                <w:iCs/>
                <w:sz w:val="16"/>
                <w:szCs w:val="16"/>
              </w:rPr>
            </w:pPr>
            <w:r w:rsidRPr="008C5F1C">
              <w:rPr>
                <w:rFonts w:ascii="Times New Roman" w:hAnsi="Times New Roman" w:cs="Times New Roman"/>
                <w:iCs/>
                <w:sz w:val="16"/>
                <w:szCs w:val="16"/>
              </w:rPr>
              <w:t>6</w:t>
            </w:r>
          </w:p>
        </w:tc>
        <w:tc>
          <w:tcPr>
            <w:tcW w:w="527" w:type="pct"/>
            <w:tcBorders>
              <w:top w:val="single" w:sz="4" w:space="0" w:color="auto"/>
              <w:left w:val="single" w:sz="4" w:space="0" w:color="auto"/>
              <w:bottom w:val="single" w:sz="4" w:space="0" w:color="auto"/>
              <w:right w:val="single" w:sz="4" w:space="0" w:color="auto"/>
            </w:tcBorders>
          </w:tcPr>
          <w:p w14:paraId="411A6F59" w14:textId="77777777" w:rsidR="00653571" w:rsidRPr="008C5F1C" w:rsidRDefault="00653571" w:rsidP="00534127">
            <w:pPr>
              <w:rPr>
                <w:rFonts w:ascii="Times New Roman" w:hAnsi="Times New Roman" w:cs="Times New Roman"/>
                <w:iCs/>
                <w:sz w:val="16"/>
                <w:szCs w:val="16"/>
              </w:rPr>
            </w:pPr>
            <w:r w:rsidRPr="008C5F1C">
              <w:rPr>
                <w:rFonts w:ascii="Times New Roman" w:hAnsi="Times New Roman" w:cs="Times New Roman"/>
                <w:bCs/>
                <w:iCs/>
                <w:sz w:val="16"/>
                <w:szCs w:val="16"/>
              </w:rPr>
              <w:t>e (ii) Favorizarea dezvolt</w:t>
            </w:r>
            <w:r w:rsidR="00BA7827" w:rsidRPr="008C5F1C">
              <w:rPr>
                <w:rFonts w:ascii="Times New Roman" w:hAnsi="Times New Roman" w:cs="Times New Roman"/>
                <w:bCs/>
                <w:iCs/>
                <w:sz w:val="16"/>
                <w:szCs w:val="16"/>
              </w:rPr>
              <w:t>ă</w:t>
            </w:r>
            <w:r w:rsidRPr="008C5F1C">
              <w:rPr>
                <w:rFonts w:ascii="Times New Roman" w:hAnsi="Times New Roman" w:cs="Times New Roman"/>
                <w:bCs/>
                <w:iCs/>
                <w:sz w:val="16"/>
                <w:szCs w:val="16"/>
              </w:rPr>
              <w:t xml:space="preserve">rii integrate sociale, economice </w:t>
            </w:r>
            <w:r w:rsidR="00106240" w:rsidRPr="008C5F1C">
              <w:rPr>
                <w:rFonts w:ascii="Times New Roman" w:hAnsi="Times New Roman" w:cs="Times New Roman"/>
                <w:bCs/>
                <w:iCs/>
                <w:sz w:val="16"/>
                <w:szCs w:val="16"/>
              </w:rPr>
              <w:t>ș</w:t>
            </w:r>
            <w:r w:rsidRPr="008C5F1C">
              <w:rPr>
                <w:rFonts w:ascii="Times New Roman" w:hAnsi="Times New Roman" w:cs="Times New Roman"/>
                <w:bCs/>
                <w:iCs/>
                <w:sz w:val="16"/>
                <w:szCs w:val="16"/>
              </w:rPr>
              <w:t xml:space="preserve">i de mediu la nivel local </w:t>
            </w:r>
            <w:r w:rsidR="00106240" w:rsidRPr="008C5F1C">
              <w:rPr>
                <w:rFonts w:ascii="Times New Roman" w:hAnsi="Times New Roman" w:cs="Times New Roman"/>
                <w:bCs/>
                <w:iCs/>
                <w:sz w:val="16"/>
                <w:szCs w:val="16"/>
              </w:rPr>
              <w:t>ș</w:t>
            </w:r>
            <w:r w:rsidRPr="008C5F1C">
              <w:rPr>
                <w:rFonts w:ascii="Times New Roman" w:hAnsi="Times New Roman" w:cs="Times New Roman"/>
                <w:bCs/>
                <w:iCs/>
                <w:sz w:val="16"/>
                <w:szCs w:val="16"/>
              </w:rPr>
              <w:t xml:space="preserve">i a patrimoniului cultural, turismului </w:t>
            </w:r>
            <w:r w:rsidR="00106240" w:rsidRPr="008C5F1C">
              <w:rPr>
                <w:rFonts w:ascii="Times New Roman" w:hAnsi="Times New Roman" w:cs="Times New Roman"/>
                <w:bCs/>
                <w:iCs/>
                <w:sz w:val="16"/>
                <w:szCs w:val="16"/>
              </w:rPr>
              <w:t>ș</w:t>
            </w:r>
            <w:r w:rsidRPr="008C5F1C">
              <w:rPr>
                <w:rFonts w:ascii="Times New Roman" w:hAnsi="Times New Roman" w:cs="Times New Roman"/>
                <w:bCs/>
                <w:iCs/>
                <w:sz w:val="16"/>
                <w:szCs w:val="16"/>
              </w:rPr>
              <w:t>i securit</w:t>
            </w:r>
            <w:r w:rsidR="00BA7827" w:rsidRPr="008C5F1C">
              <w:rPr>
                <w:rFonts w:ascii="Times New Roman" w:hAnsi="Times New Roman" w:cs="Times New Roman"/>
                <w:bCs/>
                <w:iCs/>
                <w:sz w:val="16"/>
                <w:szCs w:val="16"/>
              </w:rPr>
              <w:t>ă</w:t>
            </w:r>
            <w:r w:rsidR="00E22FF2" w:rsidRPr="008C5F1C">
              <w:rPr>
                <w:rFonts w:ascii="Times New Roman" w:hAnsi="Times New Roman" w:cs="Times New Roman"/>
                <w:bCs/>
                <w:iCs/>
                <w:sz w:val="16"/>
                <w:szCs w:val="16"/>
              </w:rPr>
              <w:t>ț</w:t>
            </w:r>
            <w:r w:rsidRPr="008C5F1C">
              <w:rPr>
                <w:rFonts w:ascii="Times New Roman" w:hAnsi="Times New Roman" w:cs="Times New Roman"/>
                <w:bCs/>
                <w:iCs/>
                <w:sz w:val="16"/>
                <w:szCs w:val="16"/>
              </w:rPr>
              <w:t>ii în afara zonelor urbane</w:t>
            </w:r>
          </w:p>
        </w:tc>
        <w:tc>
          <w:tcPr>
            <w:tcW w:w="305" w:type="pct"/>
            <w:tcBorders>
              <w:top w:val="single" w:sz="4" w:space="0" w:color="auto"/>
              <w:left w:val="single" w:sz="4" w:space="0" w:color="auto"/>
              <w:bottom w:val="single" w:sz="4" w:space="0" w:color="auto"/>
              <w:right w:val="single" w:sz="4" w:space="0" w:color="auto"/>
            </w:tcBorders>
          </w:tcPr>
          <w:p w14:paraId="2E2E7D67" w14:textId="77777777" w:rsidR="00653571" w:rsidRPr="008C5F1C" w:rsidRDefault="00653571" w:rsidP="00534127">
            <w:pPr>
              <w:rPr>
                <w:rFonts w:ascii="Times New Roman" w:hAnsi="Times New Roman" w:cs="Times New Roman"/>
                <w:iCs/>
                <w:sz w:val="16"/>
                <w:szCs w:val="16"/>
              </w:rPr>
            </w:pPr>
            <w:r w:rsidRPr="008C5F1C">
              <w:rPr>
                <w:rFonts w:ascii="Times New Roman" w:hAnsi="Times New Roman" w:cs="Times New Roman"/>
                <w:noProof/>
                <w:sz w:val="16"/>
                <w:szCs w:val="16"/>
              </w:rPr>
              <w:t>FEDR</w:t>
            </w:r>
          </w:p>
        </w:tc>
        <w:tc>
          <w:tcPr>
            <w:tcW w:w="424" w:type="pct"/>
            <w:tcBorders>
              <w:top w:val="single" w:sz="4" w:space="0" w:color="auto"/>
              <w:left w:val="single" w:sz="4" w:space="0" w:color="auto"/>
              <w:bottom w:val="single" w:sz="4" w:space="0" w:color="auto"/>
              <w:right w:val="single" w:sz="4" w:space="0" w:color="auto"/>
            </w:tcBorders>
          </w:tcPr>
          <w:p w14:paraId="488DAA9D" w14:textId="77777777" w:rsidR="00653571" w:rsidRPr="008C5F1C" w:rsidRDefault="00653571" w:rsidP="00534127">
            <w:pPr>
              <w:rPr>
                <w:rFonts w:ascii="Times New Roman" w:hAnsi="Times New Roman" w:cs="Times New Roman"/>
                <w:iCs/>
                <w:sz w:val="16"/>
                <w:szCs w:val="16"/>
              </w:rPr>
            </w:pPr>
            <w:r w:rsidRPr="008C5F1C">
              <w:rPr>
                <w:rFonts w:ascii="Times New Roman" w:hAnsi="Times New Roman" w:cs="Times New Roman"/>
                <w:noProof/>
                <w:sz w:val="16"/>
                <w:szCs w:val="16"/>
              </w:rPr>
              <w:t>Mai pu</w:t>
            </w:r>
            <w:r w:rsidR="00E22FF2" w:rsidRPr="008C5F1C">
              <w:rPr>
                <w:rFonts w:ascii="Times New Roman" w:hAnsi="Times New Roman" w:cs="Times New Roman"/>
                <w:noProof/>
                <w:sz w:val="16"/>
                <w:szCs w:val="16"/>
              </w:rPr>
              <w:t>ț</w:t>
            </w:r>
            <w:r w:rsidRPr="008C5F1C">
              <w:rPr>
                <w:rFonts w:ascii="Times New Roman" w:hAnsi="Times New Roman" w:cs="Times New Roman"/>
                <w:noProof/>
                <w:sz w:val="16"/>
                <w:szCs w:val="16"/>
              </w:rPr>
              <w:t>in dezvoltate</w:t>
            </w:r>
          </w:p>
        </w:tc>
        <w:tc>
          <w:tcPr>
            <w:tcW w:w="264" w:type="pct"/>
            <w:tcBorders>
              <w:top w:val="single" w:sz="4" w:space="0" w:color="auto"/>
              <w:left w:val="single" w:sz="4" w:space="0" w:color="auto"/>
              <w:bottom w:val="single" w:sz="4" w:space="0" w:color="auto"/>
              <w:right w:val="single" w:sz="4" w:space="0" w:color="auto"/>
            </w:tcBorders>
          </w:tcPr>
          <w:p w14:paraId="7DD72CD6" w14:textId="77777777" w:rsidR="00653571" w:rsidRPr="008C5F1C" w:rsidRDefault="00653571" w:rsidP="00534127">
            <w:pPr>
              <w:rPr>
                <w:rFonts w:ascii="Times New Roman" w:hAnsi="Times New Roman" w:cs="Times New Roman"/>
                <w:iCs/>
                <w:sz w:val="16"/>
                <w:szCs w:val="16"/>
              </w:rPr>
            </w:pPr>
            <w:r w:rsidRPr="008C5F1C">
              <w:rPr>
                <w:rFonts w:ascii="Times New Roman" w:hAnsi="Times New Roman" w:cs="Times New Roman"/>
                <w:iCs/>
                <w:sz w:val="16"/>
                <w:szCs w:val="16"/>
              </w:rPr>
              <w:t xml:space="preserve">RCR 77 </w:t>
            </w:r>
          </w:p>
          <w:p w14:paraId="42E00BD9" w14:textId="77777777" w:rsidR="00653571" w:rsidRPr="008C5F1C" w:rsidRDefault="00653571" w:rsidP="00534127">
            <w:pPr>
              <w:rPr>
                <w:rFonts w:ascii="Times New Roman" w:hAnsi="Times New Roman" w:cs="Times New Roman"/>
                <w:iCs/>
                <w:sz w:val="16"/>
                <w:szCs w:val="16"/>
              </w:rPr>
            </w:pPr>
          </w:p>
        </w:tc>
        <w:tc>
          <w:tcPr>
            <w:tcW w:w="458" w:type="pct"/>
            <w:tcBorders>
              <w:top w:val="single" w:sz="4" w:space="0" w:color="auto"/>
              <w:left w:val="single" w:sz="4" w:space="0" w:color="auto"/>
              <w:bottom w:val="single" w:sz="4" w:space="0" w:color="auto"/>
              <w:right w:val="single" w:sz="4" w:space="0" w:color="auto"/>
            </w:tcBorders>
          </w:tcPr>
          <w:p w14:paraId="28335249" w14:textId="77777777" w:rsidR="00653571" w:rsidRPr="008C5F1C" w:rsidRDefault="00653571" w:rsidP="00534127">
            <w:pPr>
              <w:rPr>
                <w:rFonts w:ascii="Times New Roman" w:hAnsi="Times New Roman" w:cs="Times New Roman"/>
                <w:iCs/>
                <w:sz w:val="16"/>
                <w:szCs w:val="16"/>
              </w:rPr>
            </w:pPr>
            <w:r w:rsidRPr="008C5F1C">
              <w:rPr>
                <w:rFonts w:ascii="Times New Roman" w:hAnsi="Times New Roman" w:cs="Times New Roman"/>
                <w:iCs/>
                <w:sz w:val="16"/>
                <w:szCs w:val="16"/>
              </w:rPr>
              <w:t xml:space="preserve">RCR 77 – </w:t>
            </w:r>
            <w:r w:rsidR="002A5FA8" w:rsidRPr="008C5F1C">
              <w:rPr>
                <w:rFonts w:ascii="Times New Roman" w:hAnsi="Times New Roman" w:cs="Times New Roman"/>
                <w:iCs/>
                <w:sz w:val="16"/>
                <w:szCs w:val="16"/>
              </w:rPr>
              <w:t xml:space="preserve">  Vizitatori </w:t>
            </w:r>
            <w:r w:rsidRPr="008C5F1C">
              <w:rPr>
                <w:rFonts w:ascii="Times New Roman" w:hAnsi="Times New Roman" w:cs="Times New Roman"/>
                <w:iCs/>
                <w:sz w:val="16"/>
                <w:szCs w:val="16"/>
              </w:rPr>
              <w:t xml:space="preserve"> </w:t>
            </w:r>
            <w:bookmarkStart w:id="129" w:name="_Hlk40557005"/>
            <w:r w:rsidRPr="008C5F1C">
              <w:rPr>
                <w:rFonts w:ascii="Times New Roman" w:hAnsi="Times New Roman" w:cs="Times New Roman"/>
                <w:iCs/>
                <w:sz w:val="16"/>
                <w:szCs w:val="16"/>
              </w:rPr>
              <w:t xml:space="preserve">în siturile </w:t>
            </w:r>
            <w:r w:rsidR="002A5FA8" w:rsidRPr="008C5F1C">
              <w:rPr>
                <w:rFonts w:ascii="Times New Roman" w:hAnsi="Times New Roman" w:cs="Times New Roman"/>
                <w:iCs/>
                <w:sz w:val="16"/>
                <w:szCs w:val="16"/>
              </w:rPr>
              <w:t xml:space="preserve">culturale si turistice </w:t>
            </w:r>
            <w:r w:rsidRPr="008C5F1C">
              <w:rPr>
                <w:rFonts w:ascii="Times New Roman" w:hAnsi="Times New Roman" w:cs="Times New Roman"/>
                <w:iCs/>
                <w:sz w:val="16"/>
                <w:szCs w:val="16"/>
              </w:rPr>
              <w:t>care beneficiaz</w:t>
            </w:r>
            <w:r w:rsidR="00BA7827" w:rsidRPr="008C5F1C">
              <w:rPr>
                <w:rFonts w:ascii="Times New Roman" w:hAnsi="Times New Roman" w:cs="Times New Roman"/>
                <w:iCs/>
                <w:sz w:val="16"/>
                <w:szCs w:val="16"/>
              </w:rPr>
              <w:t>ă</w:t>
            </w:r>
            <w:r w:rsidRPr="008C5F1C">
              <w:rPr>
                <w:rFonts w:ascii="Times New Roman" w:hAnsi="Times New Roman" w:cs="Times New Roman"/>
                <w:iCs/>
                <w:sz w:val="16"/>
                <w:szCs w:val="16"/>
              </w:rPr>
              <w:t xml:space="preserve"> de sprijin</w:t>
            </w:r>
            <w:bookmarkEnd w:id="129"/>
          </w:p>
          <w:p w14:paraId="53E874D0" w14:textId="77777777" w:rsidR="00653571" w:rsidRPr="008C5F1C" w:rsidRDefault="00653571" w:rsidP="00534127">
            <w:pPr>
              <w:rPr>
                <w:rFonts w:ascii="Times New Roman" w:hAnsi="Times New Roman" w:cs="Times New Roman"/>
                <w:iCs/>
                <w:sz w:val="16"/>
                <w:szCs w:val="16"/>
              </w:rPr>
            </w:pPr>
          </w:p>
        </w:tc>
        <w:tc>
          <w:tcPr>
            <w:tcW w:w="560" w:type="pct"/>
            <w:tcBorders>
              <w:top w:val="single" w:sz="4" w:space="0" w:color="auto"/>
              <w:left w:val="single" w:sz="4" w:space="0" w:color="auto"/>
              <w:bottom w:val="single" w:sz="4" w:space="0" w:color="auto"/>
              <w:right w:val="single" w:sz="4" w:space="0" w:color="auto"/>
            </w:tcBorders>
          </w:tcPr>
          <w:p w14:paraId="17D6358B" w14:textId="77777777" w:rsidR="00653571" w:rsidRPr="008C5F1C" w:rsidRDefault="00494FF5" w:rsidP="00534127">
            <w:pPr>
              <w:rPr>
                <w:rFonts w:ascii="Times New Roman" w:hAnsi="Times New Roman" w:cs="Times New Roman"/>
                <w:iCs/>
                <w:sz w:val="16"/>
                <w:szCs w:val="16"/>
              </w:rPr>
            </w:pPr>
            <w:r w:rsidRPr="008C5F1C">
              <w:rPr>
                <w:rFonts w:ascii="Times New Roman" w:hAnsi="Times New Roman" w:cs="Times New Roman"/>
                <w:iCs/>
                <w:sz w:val="16"/>
                <w:szCs w:val="16"/>
              </w:rPr>
              <w:t>Vizitatori / an</w:t>
            </w:r>
          </w:p>
        </w:tc>
        <w:tc>
          <w:tcPr>
            <w:tcW w:w="416" w:type="pct"/>
            <w:tcBorders>
              <w:top w:val="single" w:sz="4" w:space="0" w:color="auto"/>
              <w:left w:val="single" w:sz="4" w:space="0" w:color="auto"/>
              <w:bottom w:val="single" w:sz="4" w:space="0" w:color="auto"/>
              <w:right w:val="single" w:sz="4" w:space="0" w:color="auto"/>
            </w:tcBorders>
          </w:tcPr>
          <w:p w14:paraId="0FD0D124" w14:textId="67685EC3" w:rsidR="00653571" w:rsidRPr="008C5F1C" w:rsidRDefault="00EF5438" w:rsidP="00534127">
            <w:pPr>
              <w:rPr>
                <w:rFonts w:ascii="Times New Roman" w:hAnsi="Times New Roman" w:cs="Times New Roman"/>
                <w:iCs/>
                <w:sz w:val="16"/>
                <w:szCs w:val="16"/>
              </w:rPr>
            </w:pPr>
            <w:r w:rsidRPr="008C5F1C">
              <w:rPr>
                <w:rFonts w:ascii="Times New Roman" w:hAnsi="Times New Roman" w:cs="Times New Roman"/>
                <w:iCs/>
                <w:sz w:val="16"/>
                <w:szCs w:val="16"/>
              </w:rPr>
              <w:t>103.102</w:t>
            </w:r>
          </w:p>
        </w:tc>
        <w:tc>
          <w:tcPr>
            <w:tcW w:w="437" w:type="pct"/>
            <w:tcBorders>
              <w:top w:val="single" w:sz="4" w:space="0" w:color="auto"/>
              <w:left w:val="single" w:sz="4" w:space="0" w:color="auto"/>
              <w:bottom w:val="single" w:sz="4" w:space="0" w:color="auto"/>
              <w:right w:val="single" w:sz="4" w:space="0" w:color="auto"/>
            </w:tcBorders>
          </w:tcPr>
          <w:p w14:paraId="58F41C08" w14:textId="0CA8AED2" w:rsidR="00653571" w:rsidRPr="003D4173" w:rsidRDefault="00EF5438" w:rsidP="00534127">
            <w:pPr>
              <w:rPr>
                <w:rFonts w:ascii="Times New Roman" w:hAnsi="Times New Roman" w:cs="Times New Roman"/>
                <w:bCs/>
                <w:iCs/>
                <w:sz w:val="16"/>
                <w:szCs w:val="16"/>
              </w:rPr>
            </w:pPr>
            <w:r w:rsidRPr="003D4173">
              <w:rPr>
                <w:rFonts w:ascii="Times New Roman" w:hAnsi="Times New Roman" w:cs="Times New Roman"/>
                <w:bCs/>
                <w:iCs/>
                <w:sz w:val="16"/>
                <w:szCs w:val="16"/>
              </w:rPr>
              <w:t>2019</w:t>
            </w:r>
          </w:p>
        </w:tc>
        <w:tc>
          <w:tcPr>
            <w:tcW w:w="436" w:type="pct"/>
            <w:tcBorders>
              <w:top w:val="single" w:sz="4" w:space="0" w:color="auto"/>
              <w:left w:val="single" w:sz="4" w:space="0" w:color="auto"/>
              <w:bottom w:val="single" w:sz="4" w:space="0" w:color="auto"/>
              <w:right w:val="single" w:sz="4" w:space="0" w:color="auto"/>
            </w:tcBorders>
          </w:tcPr>
          <w:p w14:paraId="27E44376" w14:textId="57D1B759" w:rsidR="00653571" w:rsidRPr="003D4173" w:rsidRDefault="00EF5438" w:rsidP="00534127">
            <w:pPr>
              <w:rPr>
                <w:rFonts w:ascii="Times New Roman" w:hAnsi="Times New Roman" w:cs="Times New Roman"/>
                <w:bCs/>
                <w:iCs/>
                <w:sz w:val="16"/>
                <w:szCs w:val="16"/>
              </w:rPr>
            </w:pPr>
            <w:r w:rsidRPr="003D4173">
              <w:rPr>
                <w:rFonts w:ascii="Times New Roman" w:hAnsi="Times New Roman" w:cs="Times New Roman"/>
                <w:bCs/>
                <w:iCs/>
                <w:sz w:val="16"/>
                <w:szCs w:val="16"/>
              </w:rPr>
              <w:t>120.000</w:t>
            </w:r>
          </w:p>
        </w:tc>
        <w:tc>
          <w:tcPr>
            <w:tcW w:w="336" w:type="pct"/>
            <w:tcBorders>
              <w:top w:val="single" w:sz="4" w:space="0" w:color="auto"/>
              <w:left w:val="single" w:sz="4" w:space="0" w:color="auto"/>
              <w:bottom w:val="single" w:sz="4" w:space="0" w:color="auto"/>
              <w:right w:val="single" w:sz="4" w:space="0" w:color="auto"/>
            </w:tcBorders>
          </w:tcPr>
          <w:p w14:paraId="7AFCD690" w14:textId="77777777" w:rsidR="00653571" w:rsidRPr="003D4173" w:rsidRDefault="00653571" w:rsidP="00534127">
            <w:pPr>
              <w:rPr>
                <w:rFonts w:ascii="Times New Roman" w:hAnsi="Times New Roman" w:cs="Times New Roman"/>
                <w:bCs/>
                <w:iCs/>
                <w:sz w:val="16"/>
                <w:szCs w:val="16"/>
              </w:rPr>
            </w:pPr>
          </w:p>
        </w:tc>
        <w:tc>
          <w:tcPr>
            <w:tcW w:w="463" w:type="pct"/>
            <w:tcBorders>
              <w:top w:val="single" w:sz="4" w:space="0" w:color="auto"/>
              <w:left w:val="single" w:sz="4" w:space="0" w:color="auto"/>
              <w:bottom w:val="single" w:sz="4" w:space="0" w:color="auto"/>
              <w:right w:val="single" w:sz="4" w:space="0" w:color="auto"/>
            </w:tcBorders>
          </w:tcPr>
          <w:p w14:paraId="50C04434" w14:textId="77777777" w:rsidR="00653571" w:rsidRPr="008C5F1C" w:rsidRDefault="00653571" w:rsidP="00534127">
            <w:pPr>
              <w:rPr>
                <w:rFonts w:ascii="Times New Roman" w:hAnsi="Times New Roman" w:cs="Times New Roman"/>
                <w:iCs/>
                <w:sz w:val="16"/>
                <w:szCs w:val="16"/>
              </w:rPr>
            </w:pPr>
          </w:p>
        </w:tc>
      </w:tr>
    </w:tbl>
    <w:p w14:paraId="17B3C967" w14:textId="77777777" w:rsidR="00653571" w:rsidRPr="008C5F1C" w:rsidRDefault="00653571" w:rsidP="00653571">
      <w:pPr>
        <w:rPr>
          <w:rFonts w:ascii="Times New Roman" w:hAnsi="Times New Roman" w:cs="Times New Roman"/>
          <w:b/>
          <w:iCs/>
        </w:rPr>
      </w:pPr>
      <w:r w:rsidRPr="008C5F1C">
        <w:rPr>
          <w:rFonts w:ascii="Times New Roman" w:hAnsi="Times New Roman" w:cs="Times New Roman"/>
          <w:i/>
        </w:rPr>
        <w:t xml:space="preserve">[Point 2.1.1.3 in </w:t>
      </w:r>
      <w:proofErr w:type="spellStart"/>
      <w:r w:rsidRPr="008C5F1C">
        <w:rPr>
          <w:rFonts w:ascii="Times New Roman" w:hAnsi="Times New Roman" w:cs="Times New Roman"/>
          <w:i/>
        </w:rPr>
        <w:t>the</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Commission</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proposal</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has</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been</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moved</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up</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following</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changes</w:t>
      </w:r>
      <w:proofErr w:type="spellEnd"/>
      <w:r w:rsidRPr="008C5F1C">
        <w:rPr>
          <w:rFonts w:ascii="Times New Roman" w:hAnsi="Times New Roman" w:cs="Times New Roman"/>
          <w:i/>
        </w:rPr>
        <w:t xml:space="preserve"> in </w:t>
      </w:r>
      <w:proofErr w:type="spellStart"/>
      <w:r w:rsidRPr="008C5F1C">
        <w:rPr>
          <w:rFonts w:ascii="Times New Roman" w:hAnsi="Times New Roman" w:cs="Times New Roman"/>
          <w:i/>
        </w:rPr>
        <w:t>Article</w:t>
      </w:r>
      <w:proofErr w:type="spellEnd"/>
      <w:r w:rsidRPr="008C5F1C">
        <w:rPr>
          <w:rFonts w:ascii="Times New Roman" w:hAnsi="Times New Roman" w:cs="Times New Roman"/>
          <w:i/>
        </w:rPr>
        <w:t xml:space="preserve"> 17(3)(c) CPR </w:t>
      </w:r>
      <w:proofErr w:type="spellStart"/>
      <w:r w:rsidRPr="008C5F1C">
        <w:rPr>
          <w:rFonts w:ascii="Times New Roman" w:hAnsi="Times New Roman" w:cs="Times New Roman"/>
          <w:i/>
        </w:rPr>
        <w:t>and</w:t>
      </w:r>
      <w:proofErr w:type="spellEnd"/>
      <w:r w:rsidRPr="008C5F1C">
        <w:rPr>
          <w:rFonts w:ascii="Times New Roman" w:hAnsi="Times New Roman" w:cs="Times New Roman"/>
          <w:i/>
        </w:rPr>
        <w:t xml:space="preserve"> it </w:t>
      </w:r>
      <w:proofErr w:type="spellStart"/>
      <w:r w:rsidRPr="008C5F1C">
        <w:rPr>
          <w:rFonts w:ascii="Times New Roman" w:hAnsi="Times New Roman" w:cs="Times New Roman"/>
          <w:i/>
        </w:rPr>
        <w:t>is</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now</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point</w:t>
      </w:r>
      <w:proofErr w:type="spellEnd"/>
      <w:r w:rsidRPr="008C5F1C">
        <w:rPr>
          <w:rFonts w:ascii="Times New Roman" w:hAnsi="Times New Roman" w:cs="Times New Roman"/>
          <w:i/>
        </w:rPr>
        <w:t xml:space="preserve"> 2.1.1.bis]</w:t>
      </w:r>
    </w:p>
    <w:p w14:paraId="67422199" w14:textId="77777777" w:rsidR="00653571" w:rsidRPr="008C5F1C" w:rsidRDefault="00653571" w:rsidP="00653571">
      <w:pPr>
        <w:rPr>
          <w:rFonts w:ascii="Times New Roman" w:hAnsi="Times New Roman" w:cs="Times New Roman"/>
          <w:b/>
        </w:rPr>
      </w:pPr>
      <w:r w:rsidRPr="008C5F1C">
        <w:rPr>
          <w:rFonts w:ascii="Times New Roman" w:hAnsi="Times New Roman" w:cs="Times New Roman"/>
          <w:b/>
        </w:rPr>
        <w:t xml:space="preserve">2.B.1.2. </w:t>
      </w:r>
      <w:proofErr w:type="spellStart"/>
      <w:r w:rsidRPr="008C5F1C">
        <w:rPr>
          <w:rFonts w:ascii="Times New Roman" w:hAnsi="Times New Roman" w:cs="Times New Roman"/>
          <w:b/>
        </w:rPr>
        <w:t>Indicators</w:t>
      </w:r>
      <w:proofErr w:type="spellEnd"/>
      <w:r w:rsidRPr="008C5F1C">
        <w:rPr>
          <w:rFonts w:ascii="Times New Roman" w:hAnsi="Times New Roman" w:cs="Times New Roman"/>
          <w:b/>
        </w:rPr>
        <w:t xml:space="preserve"> </w:t>
      </w:r>
    </w:p>
    <w:p w14:paraId="6F0FD8B9" w14:textId="77777777" w:rsidR="00653571" w:rsidRPr="008C5F1C" w:rsidRDefault="00653571" w:rsidP="00653571">
      <w:pPr>
        <w:rPr>
          <w:rFonts w:ascii="Times New Roman" w:hAnsi="Times New Roman" w:cs="Times New Roman"/>
          <w:b/>
          <w:bCs/>
        </w:rPr>
      </w:pPr>
      <w:r w:rsidRPr="008C5F1C">
        <w:rPr>
          <w:rFonts w:ascii="Times New Roman" w:hAnsi="Times New Roman" w:cs="Times New Roman"/>
          <w:b/>
        </w:rPr>
        <w:t xml:space="preserve">Output </w:t>
      </w:r>
      <w:proofErr w:type="spellStart"/>
      <w:r w:rsidRPr="008C5F1C">
        <w:rPr>
          <w:rFonts w:ascii="Times New Roman" w:hAnsi="Times New Roman" w:cs="Times New Roman"/>
          <w:b/>
        </w:rPr>
        <w:t>indicators</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with</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the</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corresponding</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milestones</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and</w:t>
      </w:r>
      <w:proofErr w:type="spellEnd"/>
      <w:r w:rsidRPr="008C5F1C">
        <w:rPr>
          <w:rFonts w:ascii="Times New Roman" w:hAnsi="Times New Roman" w:cs="Times New Roman"/>
          <w:b/>
        </w:rPr>
        <w:t xml:space="preserve"> </w:t>
      </w:r>
      <w:proofErr w:type="spellStart"/>
      <w:r w:rsidRPr="008C5F1C">
        <w:rPr>
          <w:rFonts w:ascii="Times New Roman" w:hAnsi="Times New Roman" w:cs="Times New Roman"/>
          <w:b/>
        </w:rPr>
        <w:t>targets</w:t>
      </w:r>
      <w:proofErr w:type="spellEnd"/>
      <w:r w:rsidRPr="008C5F1C">
        <w:rPr>
          <w:rFonts w:ascii="Times New Roman" w:hAnsi="Times New Roman" w:cs="Times New Roman"/>
          <w:b/>
        </w:rPr>
        <w:t xml:space="preserve"> – </w:t>
      </w:r>
      <w:proofErr w:type="spellStart"/>
      <w:r w:rsidRPr="008C5F1C">
        <w:rPr>
          <w:rFonts w:ascii="Times New Roman" w:hAnsi="Times New Roman" w:cs="Times New Roman"/>
          <w:b/>
        </w:rPr>
        <w:t>Article</w:t>
      </w:r>
      <w:proofErr w:type="spellEnd"/>
      <w:r w:rsidRPr="008C5F1C">
        <w:rPr>
          <w:rFonts w:ascii="Times New Roman" w:hAnsi="Times New Roman" w:cs="Times New Roman"/>
          <w:b/>
        </w:rPr>
        <w:t xml:space="preserve"> 17(3)(e)bis(ii)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8"/>
        <w:gridCol w:w="1095"/>
        <w:gridCol w:w="581"/>
        <w:gridCol w:w="847"/>
        <w:gridCol w:w="403"/>
        <w:gridCol w:w="2281"/>
        <w:gridCol w:w="1194"/>
        <w:gridCol w:w="1117"/>
        <w:gridCol w:w="1352"/>
      </w:tblGrid>
      <w:tr w:rsidR="00653571" w:rsidRPr="008C5F1C" w14:paraId="12579A1E" w14:textId="77777777" w:rsidTr="00534127">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4DFA31DC" w14:textId="77777777" w:rsidR="00653571" w:rsidRPr="008C5F1C" w:rsidRDefault="00653571" w:rsidP="00534127">
            <w:pPr>
              <w:rPr>
                <w:rFonts w:ascii="Times New Roman" w:hAnsi="Times New Roman" w:cs="Times New Roman"/>
                <w:b/>
              </w:rPr>
            </w:pPr>
            <w:r w:rsidRPr="008C5F1C">
              <w:rPr>
                <w:rFonts w:ascii="Times New Roman" w:hAnsi="Times New Roman" w:cs="Times New Roman"/>
                <w:b/>
                <w:iCs/>
              </w:rPr>
              <w:t xml:space="preserve">Table 2: Output </w:t>
            </w:r>
            <w:proofErr w:type="spellStart"/>
            <w:r w:rsidRPr="008C5F1C">
              <w:rPr>
                <w:rFonts w:ascii="Times New Roman" w:hAnsi="Times New Roman" w:cs="Times New Roman"/>
                <w:b/>
                <w:iCs/>
              </w:rPr>
              <w:t>indicators</w:t>
            </w:r>
            <w:proofErr w:type="spellEnd"/>
          </w:p>
        </w:tc>
      </w:tr>
      <w:tr w:rsidR="00653571" w:rsidRPr="008C5F1C" w14:paraId="24F8B32B" w14:textId="77777777" w:rsidTr="00534127">
        <w:trPr>
          <w:trHeight w:val="1647"/>
        </w:trPr>
        <w:tc>
          <w:tcPr>
            <w:tcW w:w="391" w:type="pct"/>
            <w:tcBorders>
              <w:top w:val="single" w:sz="4" w:space="0" w:color="auto"/>
              <w:left w:val="single" w:sz="4" w:space="0" w:color="auto"/>
              <w:bottom w:val="single" w:sz="4" w:space="0" w:color="auto"/>
              <w:right w:val="single" w:sz="4" w:space="0" w:color="auto"/>
            </w:tcBorders>
            <w:hideMark/>
          </w:tcPr>
          <w:p w14:paraId="45C03888"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lastRenderedPageBreak/>
              <w:t>Priority</w:t>
            </w:r>
            <w:proofErr w:type="spellEnd"/>
            <w:r w:rsidRPr="008C5F1C">
              <w:rPr>
                <w:rFonts w:ascii="Times New Roman" w:hAnsi="Times New Roman" w:cs="Times New Roman"/>
                <w:b/>
                <w:sz w:val="16"/>
                <w:szCs w:val="16"/>
              </w:rPr>
              <w:t xml:space="preserve"> </w:t>
            </w:r>
          </w:p>
        </w:tc>
        <w:tc>
          <w:tcPr>
            <w:tcW w:w="570" w:type="pct"/>
            <w:tcBorders>
              <w:top w:val="single" w:sz="4" w:space="0" w:color="auto"/>
              <w:left w:val="single" w:sz="4" w:space="0" w:color="auto"/>
              <w:bottom w:val="single" w:sz="4" w:space="0" w:color="auto"/>
              <w:right w:val="single" w:sz="4" w:space="0" w:color="auto"/>
            </w:tcBorders>
            <w:hideMark/>
          </w:tcPr>
          <w:p w14:paraId="7A4585C1"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 xml:space="preserve">Specific </w:t>
            </w:r>
            <w:proofErr w:type="spellStart"/>
            <w:r w:rsidRPr="008C5F1C">
              <w:rPr>
                <w:rFonts w:ascii="Times New Roman" w:hAnsi="Times New Roman" w:cs="Times New Roman"/>
                <w:b/>
                <w:sz w:val="16"/>
                <w:szCs w:val="16"/>
              </w:rPr>
              <w:t>objective</w:t>
            </w:r>
            <w:proofErr w:type="spellEnd"/>
            <w:r w:rsidRPr="008C5F1C">
              <w:rPr>
                <w:rFonts w:ascii="Times New Roman" w:hAnsi="Times New Roman" w:cs="Times New Roman"/>
                <w:b/>
                <w:sz w:val="16"/>
                <w:szCs w:val="16"/>
              </w:rPr>
              <w:t xml:space="preserve"> (Investment for </w:t>
            </w:r>
            <w:proofErr w:type="spellStart"/>
            <w:r w:rsidRPr="008C5F1C">
              <w:rPr>
                <w:rFonts w:ascii="Times New Roman" w:hAnsi="Times New Roman" w:cs="Times New Roman"/>
                <w:b/>
                <w:sz w:val="16"/>
                <w:szCs w:val="16"/>
              </w:rPr>
              <w:t>Jobs</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and</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Growth</w:t>
            </w:r>
            <w:proofErr w:type="spellEnd"/>
            <w:r w:rsidRPr="008C5F1C">
              <w:rPr>
                <w:rFonts w:ascii="Times New Roman" w:hAnsi="Times New Roman" w:cs="Times New Roman"/>
                <w:b/>
                <w:sz w:val="16"/>
                <w:szCs w:val="16"/>
              </w:rPr>
              <w:t xml:space="preserve"> </w:t>
            </w:r>
            <w:proofErr w:type="spellStart"/>
            <w:r w:rsidRPr="008C5F1C">
              <w:rPr>
                <w:rFonts w:ascii="Times New Roman" w:hAnsi="Times New Roman" w:cs="Times New Roman"/>
                <w:b/>
                <w:sz w:val="16"/>
                <w:szCs w:val="16"/>
              </w:rPr>
              <w:t>goal</w:t>
            </w:r>
            <w:proofErr w:type="spellEnd"/>
            <w:r w:rsidRPr="008C5F1C">
              <w:rPr>
                <w:rFonts w:ascii="Times New Roman" w:hAnsi="Times New Roman" w:cs="Times New Roman"/>
                <w:b/>
                <w:sz w:val="16"/>
                <w:szCs w:val="16"/>
              </w:rPr>
              <w:t xml:space="preserve"> EMFF)</w:t>
            </w:r>
          </w:p>
        </w:tc>
        <w:tc>
          <w:tcPr>
            <w:tcW w:w="300" w:type="pct"/>
            <w:tcBorders>
              <w:top w:val="single" w:sz="4" w:space="0" w:color="auto"/>
              <w:left w:val="single" w:sz="4" w:space="0" w:color="auto"/>
              <w:bottom w:val="single" w:sz="4" w:space="0" w:color="auto"/>
              <w:right w:val="single" w:sz="4" w:space="0" w:color="auto"/>
            </w:tcBorders>
            <w:hideMark/>
          </w:tcPr>
          <w:p w14:paraId="582940D6"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Fund</w:t>
            </w:r>
          </w:p>
        </w:tc>
        <w:tc>
          <w:tcPr>
            <w:tcW w:w="440" w:type="pct"/>
            <w:tcBorders>
              <w:top w:val="single" w:sz="4" w:space="0" w:color="auto"/>
              <w:left w:val="single" w:sz="4" w:space="0" w:color="auto"/>
              <w:bottom w:val="single" w:sz="4" w:space="0" w:color="auto"/>
              <w:right w:val="single" w:sz="4" w:space="0" w:color="auto"/>
            </w:tcBorders>
            <w:hideMark/>
          </w:tcPr>
          <w:p w14:paraId="41A9382B"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Category</w:t>
            </w:r>
            <w:proofErr w:type="spellEnd"/>
            <w:r w:rsidRPr="008C5F1C">
              <w:rPr>
                <w:rFonts w:ascii="Times New Roman" w:hAnsi="Times New Roman" w:cs="Times New Roman"/>
                <w:b/>
                <w:sz w:val="16"/>
                <w:szCs w:val="16"/>
              </w:rPr>
              <w:t xml:space="preserve"> of </w:t>
            </w:r>
            <w:proofErr w:type="spellStart"/>
            <w:r w:rsidRPr="008C5F1C">
              <w:rPr>
                <w:rFonts w:ascii="Times New Roman" w:hAnsi="Times New Roman" w:cs="Times New Roman"/>
                <w:b/>
                <w:sz w:val="16"/>
                <w:szCs w:val="16"/>
              </w:rPr>
              <w:t>region</w:t>
            </w:r>
            <w:proofErr w:type="spellEnd"/>
          </w:p>
        </w:tc>
        <w:tc>
          <w:tcPr>
            <w:tcW w:w="208" w:type="pct"/>
            <w:tcBorders>
              <w:top w:val="single" w:sz="4" w:space="0" w:color="auto"/>
              <w:left w:val="single" w:sz="4" w:space="0" w:color="auto"/>
              <w:bottom w:val="single" w:sz="4" w:space="0" w:color="auto"/>
              <w:right w:val="single" w:sz="4" w:space="0" w:color="auto"/>
            </w:tcBorders>
            <w:hideMark/>
          </w:tcPr>
          <w:p w14:paraId="13DCAF14"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ID [5]</w:t>
            </w:r>
          </w:p>
        </w:tc>
        <w:tc>
          <w:tcPr>
            <w:tcW w:w="1186" w:type="pct"/>
            <w:tcBorders>
              <w:top w:val="single" w:sz="4" w:space="0" w:color="auto"/>
              <w:left w:val="single" w:sz="4" w:space="0" w:color="auto"/>
              <w:bottom w:val="single" w:sz="4" w:space="0" w:color="auto"/>
              <w:right w:val="single" w:sz="4" w:space="0" w:color="auto"/>
            </w:tcBorders>
            <w:hideMark/>
          </w:tcPr>
          <w:p w14:paraId="1435437F"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 xml:space="preserve">Indicator [255] </w:t>
            </w:r>
          </w:p>
        </w:tc>
        <w:tc>
          <w:tcPr>
            <w:tcW w:w="621" w:type="pct"/>
            <w:tcBorders>
              <w:top w:val="single" w:sz="4" w:space="0" w:color="auto"/>
              <w:left w:val="single" w:sz="4" w:space="0" w:color="auto"/>
              <w:bottom w:val="single" w:sz="4" w:space="0" w:color="auto"/>
              <w:right w:val="single" w:sz="4" w:space="0" w:color="auto"/>
            </w:tcBorders>
            <w:hideMark/>
          </w:tcPr>
          <w:p w14:paraId="5A6B1F93"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Measurement</w:t>
            </w:r>
            <w:proofErr w:type="spellEnd"/>
            <w:r w:rsidRPr="008C5F1C">
              <w:rPr>
                <w:rFonts w:ascii="Times New Roman" w:hAnsi="Times New Roman" w:cs="Times New Roman"/>
                <w:b/>
                <w:sz w:val="16"/>
                <w:szCs w:val="16"/>
              </w:rPr>
              <w:t xml:space="preserve"> unit</w:t>
            </w:r>
          </w:p>
        </w:tc>
        <w:tc>
          <w:tcPr>
            <w:tcW w:w="581" w:type="pct"/>
            <w:tcBorders>
              <w:top w:val="single" w:sz="4" w:space="0" w:color="auto"/>
              <w:left w:val="single" w:sz="4" w:space="0" w:color="auto"/>
              <w:bottom w:val="single" w:sz="4" w:space="0" w:color="auto"/>
              <w:right w:val="single" w:sz="4" w:space="0" w:color="auto"/>
            </w:tcBorders>
          </w:tcPr>
          <w:p w14:paraId="5AA72C55" w14:textId="77777777" w:rsidR="00653571" w:rsidRPr="008C5F1C" w:rsidRDefault="00653571" w:rsidP="00534127">
            <w:pPr>
              <w:rPr>
                <w:rFonts w:ascii="Times New Roman" w:hAnsi="Times New Roman" w:cs="Times New Roman"/>
                <w:b/>
                <w:sz w:val="16"/>
                <w:szCs w:val="16"/>
              </w:rPr>
            </w:pPr>
            <w:proofErr w:type="spellStart"/>
            <w:r w:rsidRPr="008C5F1C">
              <w:rPr>
                <w:rFonts w:ascii="Times New Roman" w:hAnsi="Times New Roman" w:cs="Times New Roman"/>
                <w:b/>
                <w:sz w:val="16"/>
                <w:szCs w:val="16"/>
              </w:rPr>
              <w:t>Milestone</w:t>
            </w:r>
            <w:proofErr w:type="spellEnd"/>
            <w:r w:rsidRPr="008C5F1C">
              <w:rPr>
                <w:rFonts w:ascii="Times New Roman" w:hAnsi="Times New Roman" w:cs="Times New Roman"/>
                <w:b/>
                <w:sz w:val="16"/>
                <w:szCs w:val="16"/>
              </w:rPr>
              <w:t xml:space="preserve"> (2024)</w:t>
            </w:r>
          </w:p>
          <w:p w14:paraId="5A5CA23A" w14:textId="77777777" w:rsidR="00653571" w:rsidRPr="008C5F1C" w:rsidRDefault="00653571" w:rsidP="00534127">
            <w:pPr>
              <w:rPr>
                <w:rFonts w:ascii="Times New Roman" w:hAnsi="Times New Roman" w:cs="Times New Roman"/>
                <w:b/>
                <w:sz w:val="16"/>
                <w:szCs w:val="16"/>
              </w:rPr>
            </w:pPr>
          </w:p>
        </w:tc>
        <w:tc>
          <w:tcPr>
            <w:tcW w:w="703" w:type="pct"/>
            <w:tcBorders>
              <w:top w:val="single" w:sz="4" w:space="0" w:color="auto"/>
              <w:left w:val="single" w:sz="4" w:space="0" w:color="auto"/>
              <w:bottom w:val="single" w:sz="4" w:space="0" w:color="auto"/>
              <w:right w:val="single" w:sz="4" w:space="0" w:color="auto"/>
            </w:tcBorders>
          </w:tcPr>
          <w:p w14:paraId="2EC873BF" w14:textId="77777777" w:rsidR="00653571" w:rsidRPr="008C5F1C" w:rsidRDefault="00653571" w:rsidP="00534127">
            <w:pPr>
              <w:rPr>
                <w:rFonts w:ascii="Times New Roman" w:hAnsi="Times New Roman" w:cs="Times New Roman"/>
                <w:b/>
                <w:sz w:val="16"/>
                <w:szCs w:val="16"/>
              </w:rPr>
            </w:pPr>
            <w:r w:rsidRPr="008C5F1C">
              <w:rPr>
                <w:rFonts w:ascii="Times New Roman" w:hAnsi="Times New Roman" w:cs="Times New Roman"/>
                <w:b/>
                <w:sz w:val="16"/>
                <w:szCs w:val="16"/>
              </w:rPr>
              <w:t>Target (2029)</w:t>
            </w:r>
          </w:p>
          <w:p w14:paraId="5B0D36B5" w14:textId="77777777" w:rsidR="00653571" w:rsidRPr="008C5F1C" w:rsidRDefault="00653571" w:rsidP="00534127">
            <w:pPr>
              <w:rPr>
                <w:rFonts w:ascii="Times New Roman" w:hAnsi="Times New Roman" w:cs="Times New Roman"/>
                <w:b/>
                <w:sz w:val="16"/>
                <w:szCs w:val="16"/>
              </w:rPr>
            </w:pPr>
          </w:p>
        </w:tc>
      </w:tr>
      <w:tr w:rsidR="00653571" w:rsidRPr="008C5F1C" w14:paraId="48B31F85" w14:textId="77777777" w:rsidTr="00534127">
        <w:trPr>
          <w:trHeight w:val="340"/>
        </w:trPr>
        <w:tc>
          <w:tcPr>
            <w:tcW w:w="391" w:type="pct"/>
            <w:tcBorders>
              <w:top w:val="single" w:sz="4" w:space="0" w:color="auto"/>
              <w:left w:val="single" w:sz="4" w:space="0" w:color="auto"/>
              <w:bottom w:val="single" w:sz="4" w:space="0" w:color="auto"/>
              <w:right w:val="single" w:sz="4" w:space="0" w:color="auto"/>
            </w:tcBorders>
          </w:tcPr>
          <w:p w14:paraId="73FE444C" w14:textId="77777777" w:rsidR="00653571" w:rsidRPr="008C5F1C" w:rsidRDefault="00653571" w:rsidP="00534127">
            <w:pPr>
              <w:rPr>
                <w:rFonts w:ascii="Times New Roman" w:hAnsi="Times New Roman" w:cs="Times New Roman"/>
                <w:bCs/>
                <w:iCs/>
                <w:sz w:val="16"/>
                <w:szCs w:val="16"/>
              </w:rPr>
            </w:pPr>
          </w:p>
        </w:tc>
        <w:tc>
          <w:tcPr>
            <w:tcW w:w="570" w:type="pct"/>
            <w:tcBorders>
              <w:top w:val="single" w:sz="4" w:space="0" w:color="auto"/>
              <w:left w:val="single" w:sz="4" w:space="0" w:color="auto"/>
              <w:bottom w:val="single" w:sz="4" w:space="0" w:color="auto"/>
              <w:right w:val="single" w:sz="4" w:space="0" w:color="auto"/>
            </w:tcBorders>
          </w:tcPr>
          <w:p w14:paraId="7C8F02FA" w14:textId="77777777" w:rsidR="00653571" w:rsidRPr="008C5F1C" w:rsidRDefault="00653571" w:rsidP="00534127">
            <w:pPr>
              <w:rPr>
                <w:rFonts w:ascii="Times New Roman" w:hAnsi="Times New Roman" w:cs="Times New Roman"/>
                <w:bCs/>
                <w:iCs/>
                <w:sz w:val="16"/>
                <w:szCs w:val="16"/>
              </w:rPr>
            </w:pPr>
          </w:p>
        </w:tc>
        <w:tc>
          <w:tcPr>
            <w:tcW w:w="300" w:type="pct"/>
            <w:tcBorders>
              <w:top w:val="single" w:sz="4" w:space="0" w:color="auto"/>
              <w:left w:val="single" w:sz="4" w:space="0" w:color="auto"/>
              <w:bottom w:val="single" w:sz="4" w:space="0" w:color="auto"/>
              <w:right w:val="single" w:sz="4" w:space="0" w:color="auto"/>
            </w:tcBorders>
          </w:tcPr>
          <w:p w14:paraId="15723C44" w14:textId="77777777" w:rsidR="00653571" w:rsidRPr="008C5F1C" w:rsidRDefault="00653571" w:rsidP="00534127">
            <w:pPr>
              <w:rPr>
                <w:rFonts w:ascii="Times New Roman" w:hAnsi="Times New Roman" w:cs="Times New Roman"/>
                <w:bCs/>
                <w:iCs/>
                <w:sz w:val="16"/>
                <w:szCs w:val="16"/>
              </w:rPr>
            </w:pPr>
          </w:p>
        </w:tc>
        <w:tc>
          <w:tcPr>
            <w:tcW w:w="440" w:type="pct"/>
            <w:tcBorders>
              <w:top w:val="single" w:sz="4" w:space="0" w:color="auto"/>
              <w:left w:val="single" w:sz="4" w:space="0" w:color="auto"/>
              <w:bottom w:val="single" w:sz="4" w:space="0" w:color="auto"/>
              <w:right w:val="single" w:sz="4" w:space="0" w:color="auto"/>
            </w:tcBorders>
          </w:tcPr>
          <w:p w14:paraId="5A7EB187" w14:textId="77777777" w:rsidR="00653571" w:rsidRPr="008C5F1C" w:rsidRDefault="00653571" w:rsidP="00534127">
            <w:pPr>
              <w:rPr>
                <w:rFonts w:ascii="Times New Roman" w:hAnsi="Times New Roman" w:cs="Times New Roman"/>
                <w:bCs/>
                <w:iCs/>
                <w:sz w:val="16"/>
                <w:szCs w:val="16"/>
              </w:rPr>
            </w:pPr>
          </w:p>
        </w:tc>
        <w:tc>
          <w:tcPr>
            <w:tcW w:w="208" w:type="pct"/>
            <w:tcBorders>
              <w:top w:val="single" w:sz="4" w:space="0" w:color="auto"/>
              <w:left w:val="single" w:sz="4" w:space="0" w:color="auto"/>
              <w:bottom w:val="single" w:sz="4" w:space="0" w:color="auto"/>
              <w:right w:val="single" w:sz="4" w:space="0" w:color="auto"/>
            </w:tcBorders>
          </w:tcPr>
          <w:p w14:paraId="496D640E" w14:textId="77777777" w:rsidR="00653571" w:rsidRPr="008C5F1C" w:rsidRDefault="00653571" w:rsidP="00534127">
            <w:pPr>
              <w:rPr>
                <w:rFonts w:ascii="Times New Roman" w:hAnsi="Times New Roman" w:cs="Times New Roman"/>
                <w:bCs/>
                <w:iCs/>
                <w:sz w:val="16"/>
                <w:szCs w:val="16"/>
              </w:rPr>
            </w:pPr>
          </w:p>
        </w:tc>
        <w:tc>
          <w:tcPr>
            <w:tcW w:w="1186" w:type="pct"/>
            <w:tcBorders>
              <w:top w:val="single" w:sz="4" w:space="0" w:color="auto"/>
              <w:left w:val="single" w:sz="4" w:space="0" w:color="auto"/>
              <w:bottom w:val="single" w:sz="4" w:space="0" w:color="auto"/>
              <w:right w:val="single" w:sz="4" w:space="0" w:color="auto"/>
            </w:tcBorders>
          </w:tcPr>
          <w:p w14:paraId="04A44907" w14:textId="77777777" w:rsidR="00653571" w:rsidRPr="008C5F1C" w:rsidRDefault="00653571" w:rsidP="00534127">
            <w:pPr>
              <w:rPr>
                <w:rFonts w:ascii="Times New Roman" w:hAnsi="Times New Roman" w:cs="Times New Roman"/>
                <w:bCs/>
                <w:iCs/>
                <w:sz w:val="16"/>
                <w:szCs w:val="16"/>
              </w:rPr>
            </w:pPr>
          </w:p>
        </w:tc>
        <w:tc>
          <w:tcPr>
            <w:tcW w:w="621" w:type="pct"/>
            <w:tcBorders>
              <w:top w:val="single" w:sz="4" w:space="0" w:color="auto"/>
              <w:left w:val="single" w:sz="4" w:space="0" w:color="auto"/>
              <w:bottom w:val="single" w:sz="4" w:space="0" w:color="auto"/>
              <w:right w:val="single" w:sz="4" w:space="0" w:color="auto"/>
            </w:tcBorders>
          </w:tcPr>
          <w:p w14:paraId="2D924026" w14:textId="77777777" w:rsidR="00653571" w:rsidRPr="008C5F1C" w:rsidRDefault="00653571" w:rsidP="00534127">
            <w:pPr>
              <w:rPr>
                <w:rFonts w:ascii="Times New Roman" w:hAnsi="Times New Roman" w:cs="Times New Roman"/>
                <w:bCs/>
                <w:iCs/>
                <w:sz w:val="16"/>
                <w:szCs w:val="16"/>
              </w:rPr>
            </w:pPr>
          </w:p>
        </w:tc>
        <w:tc>
          <w:tcPr>
            <w:tcW w:w="581" w:type="pct"/>
            <w:tcBorders>
              <w:top w:val="single" w:sz="4" w:space="0" w:color="auto"/>
              <w:left w:val="single" w:sz="4" w:space="0" w:color="auto"/>
              <w:bottom w:val="single" w:sz="4" w:space="0" w:color="auto"/>
              <w:right w:val="single" w:sz="4" w:space="0" w:color="auto"/>
            </w:tcBorders>
          </w:tcPr>
          <w:p w14:paraId="5EB3CAE5" w14:textId="77777777" w:rsidR="00653571" w:rsidRPr="008C5F1C" w:rsidRDefault="00653571" w:rsidP="00534127">
            <w:pPr>
              <w:rPr>
                <w:rFonts w:ascii="Times New Roman" w:hAnsi="Times New Roman" w:cs="Times New Roman"/>
                <w:bCs/>
                <w:iCs/>
                <w:sz w:val="16"/>
                <w:szCs w:val="16"/>
              </w:rPr>
            </w:pPr>
          </w:p>
        </w:tc>
        <w:tc>
          <w:tcPr>
            <w:tcW w:w="703" w:type="pct"/>
            <w:tcBorders>
              <w:top w:val="single" w:sz="4" w:space="0" w:color="auto"/>
              <w:left w:val="single" w:sz="4" w:space="0" w:color="auto"/>
              <w:bottom w:val="single" w:sz="4" w:space="0" w:color="auto"/>
              <w:right w:val="single" w:sz="4" w:space="0" w:color="auto"/>
            </w:tcBorders>
          </w:tcPr>
          <w:p w14:paraId="327B8BE8" w14:textId="77777777" w:rsidR="00653571" w:rsidRPr="008C5F1C" w:rsidRDefault="00653571" w:rsidP="00534127">
            <w:pPr>
              <w:rPr>
                <w:rFonts w:ascii="Times New Roman" w:hAnsi="Times New Roman" w:cs="Times New Roman"/>
                <w:bCs/>
                <w:iCs/>
                <w:sz w:val="16"/>
                <w:szCs w:val="16"/>
              </w:rPr>
            </w:pPr>
          </w:p>
        </w:tc>
      </w:tr>
    </w:tbl>
    <w:p w14:paraId="1ACCFBCC" w14:textId="77777777" w:rsidR="00653571" w:rsidRPr="008C5F1C" w:rsidRDefault="00653571" w:rsidP="00653571">
      <w:pPr>
        <w:rPr>
          <w:rFonts w:ascii="Times New Roman" w:hAnsi="Times New Roman" w:cs="Times New Roman"/>
          <w:b/>
        </w:rPr>
      </w:pPr>
    </w:p>
    <w:p w14:paraId="44E489B7" w14:textId="77777777" w:rsidR="00653571" w:rsidRPr="008C5F1C" w:rsidRDefault="00653571" w:rsidP="00653571">
      <w:pPr>
        <w:rPr>
          <w:rFonts w:ascii="Times New Roman" w:hAnsi="Times New Roman" w:cs="Times New Roman"/>
          <w:bCs/>
          <w:i/>
        </w:rPr>
      </w:pPr>
      <w:r w:rsidRPr="008C5F1C">
        <w:rPr>
          <w:rFonts w:ascii="Times New Roman" w:hAnsi="Times New Roman" w:cs="Times New Roman"/>
          <w:b/>
          <w:iCs/>
        </w:rPr>
        <w:t xml:space="preserve">2.B.1.3. Indicative </w:t>
      </w:r>
      <w:proofErr w:type="spellStart"/>
      <w:r w:rsidRPr="008C5F1C">
        <w:rPr>
          <w:rFonts w:ascii="Times New Roman" w:hAnsi="Times New Roman" w:cs="Times New Roman"/>
          <w:b/>
          <w:iCs/>
        </w:rPr>
        <w:t>breakdown</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the</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programmed</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resources</w:t>
      </w:r>
      <w:proofErr w:type="spellEnd"/>
      <w:r w:rsidRPr="008C5F1C">
        <w:rPr>
          <w:rFonts w:ascii="Times New Roman" w:hAnsi="Times New Roman" w:cs="Times New Roman"/>
          <w:b/>
          <w:iCs/>
        </w:rPr>
        <w:t xml:space="preserve"> (EU) </w:t>
      </w:r>
      <w:proofErr w:type="spellStart"/>
      <w:r w:rsidRPr="008C5F1C">
        <w:rPr>
          <w:rFonts w:ascii="Times New Roman" w:hAnsi="Times New Roman" w:cs="Times New Roman"/>
          <w:b/>
          <w:iCs/>
        </w:rPr>
        <w:t>by</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type</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intervention</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i/>
          <w:iCs/>
        </w:rPr>
        <w:t>Reference</w:t>
      </w:r>
      <w:proofErr w:type="spellEnd"/>
      <w:r w:rsidRPr="008C5F1C">
        <w:rPr>
          <w:rFonts w:ascii="Times New Roman" w:hAnsi="Times New Roman" w:cs="Times New Roman"/>
          <w:i/>
          <w:iCs/>
        </w:rPr>
        <w:t xml:space="preserve"> </w:t>
      </w:r>
      <w:proofErr w:type="spellStart"/>
      <w:r w:rsidRPr="008C5F1C">
        <w:rPr>
          <w:rFonts w:ascii="Times New Roman" w:hAnsi="Times New Roman" w:cs="Times New Roman"/>
          <w:i/>
        </w:rPr>
        <w:t>Article</w:t>
      </w:r>
      <w:proofErr w:type="spellEnd"/>
      <w:r w:rsidRPr="008C5F1C">
        <w:rPr>
          <w:rFonts w:ascii="Times New Roman" w:hAnsi="Times New Roman" w:cs="Times New Roman"/>
          <w:i/>
        </w:rPr>
        <w:t xml:space="preserve"> 17(3)(e)bis(iv)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2257"/>
        <w:gridCol w:w="1053"/>
        <w:gridCol w:w="2175"/>
      </w:tblGrid>
      <w:tr w:rsidR="00653571" w:rsidRPr="008C5F1C" w14:paraId="7AC179D0" w14:textId="77777777" w:rsidTr="00534127">
        <w:tc>
          <w:tcPr>
            <w:tcW w:w="8468" w:type="dxa"/>
            <w:gridSpan w:val="5"/>
            <w:tcBorders>
              <w:top w:val="single" w:sz="4" w:space="0" w:color="auto"/>
              <w:left w:val="single" w:sz="4" w:space="0" w:color="auto"/>
              <w:bottom w:val="single" w:sz="4" w:space="0" w:color="auto"/>
              <w:right w:val="single" w:sz="4" w:space="0" w:color="auto"/>
            </w:tcBorders>
            <w:hideMark/>
          </w:tcPr>
          <w:p w14:paraId="0E840BB3"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Table 8: </w:t>
            </w:r>
            <w:proofErr w:type="spellStart"/>
            <w:r w:rsidRPr="008C5F1C">
              <w:rPr>
                <w:rFonts w:ascii="Times New Roman" w:hAnsi="Times New Roman" w:cs="Times New Roman"/>
                <w:b/>
                <w:iCs/>
              </w:rPr>
              <w:t>Dimension</w:t>
            </w:r>
            <w:proofErr w:type="spellEnd"/>
            <w:r w:rsidRPr="008C5F1C">
              <w:rPr>
                <w:rFonts w:ascii="Times New Roman" w:hAnsi="Times New Roman" w:cs="Times New Roman"/>
                <w:b/>
                <w:iCs/>
              </w:rPr>
              <w:t xml:space="preserve"> 1 – </w:t>
            </w:r>
            <w:proofErr w:type="spellStart"/>
            <w:r w:rsidRPr="008C5F1C">
              <w:rPr>
                <w:rFonts w:ascii="Times New Roman" w:hAnsi="Times New Roman" w:cs="Times New Roman"/>
                <w:b/>
                <w:iCs/>
              </w:rPr>
              <w:t>intervention</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field</w:t>
            </w:r>
            <w:proofErr w:type="spellEnd"/>
          </w:p>
        </w:tc>
      </w:tr>
      <w:tr w:rsidR="00653571" w:rsidRPr="008C5F1C" w14:paraId="1D25886F" w14:textId="77777777" w:rsidTr="00534127">
        <w:tc>
          <w:tcPr>
            <w:tcW w:w="1599" w:type="dxa"/>
            <w:tcBorders>
              <w:top w:val="single" w:sz="4" w:space="0" w:color="auto"/>
              <w:left w:val="single" w:sz="4" w:space="0" w:color="auto"/>
              <w:bottom w:val="single" w:sz="4" w:space="0" w:color="auto"/>
              <w:right w:val="single" w:sz="4" w:space="0" w:color="auto"/>
            </w:tcBorders>
            <w:hideMark/>
          </w:tcPr>
          <w:p w14:paraId="6B6B0BB5"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Priority</w:t>
            </w:r>
            <w:proofErr w:type="spellEnd"/>
            <w:r w:rsidRPr="008C5F1C">
              <w:rPr>
                <w:rFonts w:ascii="Times New Roman" w:hAnsi="Times New Roman" w:cs="Times New Roman"/>
                <w:b/>
                <w:iCs/>
              </w:rPr>
              <w:t xml:space="preserve"> No</w:t>
            </w:r>
          </w:p>
        </w:tc>
        <w:tc>
          <w:tcPr>
            <w:tcW w:w="1384" w:type="dxa"/>
            <w:tcBorders>
              <w:top w:val="single" w:sz="4" w:space="0" w:color="auto"/>
              <w:left w:val="single" w:sz="4" w:space="0" w:color="auto"/>
              <w:bottom w:val="single" w:sz="4" w:space="0" w:color="auto"/>
              <w:right w:val="single" w:sz="4" w:space="0" w:color="auto"/>
            </w:tcBorders>
            <w:hideMark/>
          </w:tcPr>
          <w:p w14:paraId="04AD155F"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Fund</w:t>
            </w:r>
          </w:p>
        </w:tc>
        <w:tc>
          <w:tcPr>
            <w:tcW w:w="2257" w:type="dxa"/>
            <w:tcBorders>
              <w:top w:val="single" w:sz="4" w:space="0" w:color="auto"/>
              <w:left w:val="single" w:sz="4" w:space="0" w:color="auto"/>
              <w:bottom w:val="single" w:sz="4" w:space="0" w:color="auto"/>
              <w:right w:val="single" w:sz="4" w:space="0" w:color="auto"/>
            </w:tcBorders>
            <w:hideMark/>
          </w:tcPr>
          <w:p w14:paraId="7F197F4D"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Category</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region</w:t>
            </w:r>
            <w:proofErr w:type="spellEnd"/>
          </w:p>
        </w:tc>
        <w:tc>
          <w:tcPr>
            <w:tcW w:w="1053" w:type="dxa"/>
            <w:tcBorders>
              <w:top w:val="single" w:sz="4" w:space="0" w:color="auto"/>
              <w:left w:val="single" w:sz="4" w:space="0" w:color="auto"/>
              <w:bottom w:val="single" w:sz="4" w:space="0" w:color="auto"/>
              <w:right w:val="single" w:sz="4" w:space="0" w:color="auto"/>
            </w:tcBorders>
            <w:hideMark/>
          </w:tcPr>
          <w:p w14:paraId="1035AA1B"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Code </w:t>
            </w:r>
          </w:p>
        </w:tc>
        <w:tc>
          <w:tcPr>
            <w:tcW w:w="2175" w:type="dxa"/>
            <w:tcBorders>
              <w:top w:val="single" w:sz="4" w:space="0" w:color="auto"/>
              <w:left w:val="single" w:sz="4" w:space="0" w:color="auto"/>
              <w:bottom w:val="single" w:sz="4" w:space="0" w:color="auto"/>
              <w:right w:val="single" w:sz="4" w:space="0" w:color="auto"/>
            </w:tcBorders>
            <w:hideMark/>
          </w:tcPr>
          <w:p w14:paraId="75CB8E78"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Amount</w:t>
            </w:r>
            <w:proofErr w:type="spellEnd"/>
            <w:r w:rsidRPr="008C5F1C">
              <w:rPr>
                <w:rFonts w:ascii="Times New Roman" w:hAnsi="Times New Roman" w:cs="Times New Roman"/>
                <w:b/>
                <w:iCs/>
              </w:rPr>
              <w:t xml:space="preserve"> (EUR)</w:t>
            </w:r>
          </w:p>
        </w:tc>
      </w:tr>
      <w:tr w:rsidR="00653571" w:rsidRPr="008C5F1C" w14:paraId="519AB7AC" w14:textId="77777777" w:rsidTr="00534127">
        <w:tc>
          <w:tcPr>
            <w:tcW w:w="1599" w:type="dxa"/>
            <w:tcBorders>
              <w:top w:val="single" w:sz="4" w:space="0" w:color="auto"/>
              <w:left w:val="single" w:sz="4" w:space="0" w:color="auto"/>
              <w:bottom w:val="single" w:sz="4" w:space="0" w:color="auto"/>
              <w:right w:val="single" w:sz="4" w:space="0" w:color="auto"/>
            </w:tcBorders>
          </w:tcPr>
          <w:p w14:paraId="43EFC119" w14:textId="77777777" w:rsidR="00653571" w:rsidRPr="008C5F1C" w:rsidRDefault="00653571" w:rsidP="00534127">
            <w:pPr>
              <w:rPr>
                <w:rFonts w:ascii="Times New Roman" w:hAnsi="Times New Roman" w:cs="Times New Roman"/>
                <w:iCs/>
              </w:rPr>
            </w:pPr>
          </w:p>
        </w:tc>
        <w:tc>
          <w:tcPr>
            <w:tcW w:w="1384" w:type="dxa"/>
            <w:tcBorders>
              <w:top w:val="single" w:sz="4" w:space="0" w:color="auto"/>
              <w:left w:val="single" w:sz="4" w:space="0" w:color="auto"/>
              <w:bottom w:val="single" w:sz="4" w:space="0" w:color="auto"/>
              <w:right w:val="single" w:sz="4" w:space="0" w:color="auto"/>
            </w:tcBorders>
          </w:tcPr>
          <w:p w14:paraId="5FCFAD74" w14:textId="77777777" w:rsidR="00653571" w:rsidRPr="008C5F1C" w:rsidRDefault="00653571" w:rsidP="00534127">
            <w:pPr>
              <w:rPr>
                <w:rFonts w:ascii="Times New Roman" w:hAnsi="Times New Roman" w:cs="Times New Roman"/>
                <w:b/>
                <w:iCs/>
              </w:rPr>
            </w:pPr>
          </w:p>
        </w:tc>
        <w:tc>
          <w:tcPr>
            <w:tcW w:w="2257" w:type="dxa"/>
            <w:tcBorders>
              <w:top w:val="single" w:sz="4" w:space="0" w:color="auto"/>
              <w:left w:val="single" w:sz="4" w:space="0" w:color="auto"/>
              <w:bottom w:val="single" w:sz="4" w:space="0" w:color="auto"/>
              <w:right w:val="single" w:sz="4" w:space="0" w:color="auto"/>
            </w:tcBorders>
          </w:tcPr>
          <w:p w14:paraId="3D3E1F05" w14:textId="77777777" w:rsidR="00653571" w:rsidRPr="008C5F1C" w:rsidRDefault="00653571" w:rsidP="00534127">
            <w:pPr>
              <w:rPr>
                <w:rFonts w:ascii="Times New Roman" w:hAnsi="Times New Roman" w:cs="Times New Roman"/>
                <w:b/>
                <w:iCs/>
              </w:rPr>
            </w:pPr>
          </w:p>
        </w:tc>
        <w:tc>
          <w:tcPr>
            <w:tcW w:w="1053" w:type="dxa"/>
            <w:tcBorders>
              <w:top w:val="single" w:sz="4" w:space="0" w:color="auto"/>
              <w:left w:val="single" w:sz="4" w:space="0" w:color="auto"/>
              <w:bottom w:val="single" w:sz="4" w:space="0" w:color="auto"/>
              <w:right w:val="single" w:sz="4" w:space="0" w:color="auto"/>
            </w:tcBorders>
          </w:tcPr>
          <w:p w14:paraId="1338E187" w14:textId="77777777" w:rsidR="00653571" w:rsidRPr="008C5F1C" w:rsidRDefault="00653571" w:rsidP="00534127">
            <w:pPr>
              <w:rPr>
                <w:rFonts w:ascii="Times New Roman" w:hAnsi="Times New Roman" w:cs="Times New Roman"/>
                <w:b/>
                <w:iCs/>
              </w:rPr>
            </w:pPr>
          </w:p>
        </w:tc>
        <w:tc>
          <w:tcPr>
            <w:tcW w:w="2175" w:type="dxa"/>
            <w:tcBorders>
              <w:top w:val="single" w:sz="4" w:space="0" w:color="auto"/>
              <w:left w:val="single" w:sz="4" w:space="0" w:color="auto"/>
              <w:bottom w:val="single" w:sz="4" w:space="0" w:color="auto"/>
              <w:right w:val="single" w:sz="4" w:space="0" w:color="auto"/>
            </w:tcBorders>
          </w:tcPr>
          <w:p w14:paraId="0830C24D" w14:textId="77777777" w:rsidR="00653571" w:rsidRPr="008C5F1C" w:rsidRDefault="00653571" w:rsidP="00534127">
            <w:pPr>
              <w:rPr>
                <w:rFonts w:ascii="Times New Roman" w:hAnsi="Times New Roman" w:cs="Times New Roman"/>
                <w:b/>
                <w:iCs/>
              </w:rPr>
            </w:pPr>
          </w:p>
        </w:tc>
      </w:tr>
    </w:tbl>
    <w:p w14:paraId="37852810" w14:textId="77777777" w:rsidR="00653571" w:rsidRPr="008C5F1C" w:rsidRDefault="00653571" w:rsidP="00653571">
      <w:pPr>
        <w:rPr>
          <w:rFonts w:ascii="Times New Roman" w:hAnsi="Times New Roman" w:cs="Times New Roman"/>
        </w:rPr>
      </w:pPr>
    </w:p>
    <w:p w14:paraId="0A5EBAD8" w14:textId="77777777" w:rsidR="00653571" w:rsidRPr="008C5F1C" w:rsidRDefault="00653571" w:rsidP="00653571">
      <w:pPr>
        <w:rPr>
          <w:rFonts w:ascii="Times New Roman" w:hAnsi="Times New Roman" w:cs="Times New Roman"/>
        </w:rPr>
      </w:pPr>
      <w:r w:rsidRPr="008C5F1C">
        <w:rPr>
          <w:rFonts w:ascii="Times New Roman" w:hAnsi="Times New Roman" w:cs="Times New Roman"/>
        </w:rPr>
        <w:br w:type="page"/>
      </w:r>
    </w:p>
    <w:p w14:paraId="6F329974" w14:textId="77777777" w:rsidR="00653571" w:rsidRPr="008C5F1C" w:rsidRDefault="00653571" w:rsidP="00653571">
      <w:pPr>
        <w:pStyle w:val="Heading1"/>
        <w:numPr>
          <w:ilvl w:val="0"/>
          <w:numId w:val="0"/>
        </w:numPr>
        <w:ind w:left="851" w:hanging="851"/>
        <w:rPr>
          <w:rFonts w:cs="Times New Roman"/>
          <w:lang w:val="ro-RO"/>
        </w:rPr>
      </w:pPr>
      <w:bookmarkStart w:id="130" w:name="_Toc39840947"/>
      <w:r w:rsidRPr="008C5F1C">
        <w:rPr>
          <w:rFonts w:cs="Times New Roman"/>
          <w:lang w:val="ro-RO"/>
        </w:rPr>
        <w:lastRenderedPageBreak/>
        <w:t>2.B.2 Asisten</w:t>
      </w:r>
      <w:r w:rsidR="00E22FF2" w:rsidRPr="008C5F1C">
        <w:rPr>
          <w:rFonts w:cs="Times New Roman"/>
          <w:lang w:val="ro-RO"/>
        </w:rPr>
        <w:t>ț</w:t>
      </w:r>
      <w:r w:rsidR="00BA7827" w:rsidRPr="008C5F1C">
        <w:rPr>
          <w:rFonts w:cs="Times New Roman"/>
          <w:lang w:val="ro-RO"/>
        </w:rPr>
        <w:t>ă</w:t>
      </w:r>
      <w:r w:rsidRPr="008C5F1C">
        <w:rPr>
          <w:rFonts w:cs="Times New Roman"/>
          <w:lang w:val="ro-RO"/>
        </w:rPr>
        <w:t xml:space="preserve"> tehnic</w:t>
      </w:r>
      <w:bookmarkEnd w:id="130"/>
      <w:r w:rsidR="00BA7827" w:rsidRPr="008C5F1C">
        <w:rPr>
          <w:rFonts w:cs="Times New Roman"/>
          <w:lang w:val="ro-RO"/>
        </w:rPr>
        <w:t>ă</w:t>
      </w:r>
    </w:p>
    <w:p w14:paraId="0335DEB2" w14:textId="77777777" w:rsidR="00653571" w:rsidRPr="008C5F1C" w:rsidRDefault="00653571" w:rsidP="00653571">
      <w:pPr>
        <w:rPr>
          <w:rFonts w:ascii="Times New Roman" w:hAnsi="Times New Roman" w:cs="Times New Roman"/>
          <w:bCs/>
          <w:i/>
        </w:rPr>
      </w:pPr>
      <w:proofErr w:type="spellStart"/>
      <w:r w:rsidRPr="008C5F1C">
        <w:rPr>
          <w:rFonts w:ascii="Times New Roman" w:hAnsi="Times New Roman" w:cs="Times New Roman"/>
          <w:bCs/>
          <w:i/>
        </w:rPr>
        <w:t>Reference</w:t>
      </w:r>
      <w:proofErr w:type="spellEnd"/>
      <w:r w:rsidRPr="008C5F1C">
        <w:rPr>
          <w:rFonts w:ascii="Times New Roman" w:hAnsi="Times New Roman" w:cs="Times New Roman"/>
          <w:bCs/>
          <w:i/>
        </w:rPr>
        <w:t xml:space="preserve">: </w:t>
      </w:r>
      <w:proofErr w:type="spellStart"/>
      <w:r w:rsidRPr="008C5F1C">
        <w:rPr>
          <w:rFonts w:ascii="Times New Roman" w:hAnsi="Times New Roman" w:cs="Times New Roman"/>
          <w:bCs/>
          <w:i/>
        </w:rPr>
        <w:t>Article</w:t>
      </w:r>
      <w:proofErr w:type="spellEnd"/>
      <w:r w:rsidRPr="008C5F1C">
        <w:rPr>
          <w:rFonts w:ascii="Times New Roman" w:hAnsi="Times New Roman" w:cs="Times New Roman"/>
          <w:bCs/>
          <w:i/>
        </w:rPr>
        <w:t xml:space="preserve"> 17(3)(e) </w:t>
      </w:r>
    </w:p>
    <w:p w14:paraId="44AD0757" w14:textId="77777777" w:rsidR="00653571" w:rsidRPr="008C5F1C" w:rsidRDefault="00653571" w:rsidP="00653571">
      <w:pPr>
        <w:pStyle w:val="Heading2"/>
        <w:numPr>
          <w:ilvl w:val="0"/>
          <w:numId w:val="0"/>
        </w:numPr>
        <w:ind w:left="851" w:hanging="851"/>
        <w:rPr>
          <w:rFonts w:cs="Times New Roman"/>
          <w:lang w:val="ro-RO"/>
        </w:rPr>
      </w:pPr>
      <w:bookmarkStart w:id="131" w:name="_Toc39840948"/>
      <w:r w:rsidRPr="008C5F1C">
        <w:rPr>
          <w:rFonts w:cs="Times New Roman"/>
          <w:lang w:val="ro-RO"/>
        </w:rPr>
        <w:t xml:space="preserve">2.B.2.1 </w:t>
      </w:r>
      <w:proofErr w:type="spellStart"/>
      <w:r w:rsidRPr="008C5F1C">
        <w:rPr>
          <w:rFonts w:cs="Times New Roman"/>
          <w:lang w:val="ro-RO"/>
        </w:rPr>
        <w:t>Description</w:t>
      </w:r>
      <w:proofErr w:type="spellEnd"/>
      <w:r w:rsidRPr="008C5F1C">
        <w:rPr>
          <w:rFonts w:cs="Times New Roman"/>
          <w:lang w:val="ro-RO"/>
        </w:rPr>
        <w:t xml:space="preserve"> of </w:t>
      </w:r>
      <w:proofErr w:type="spellStart"/>
      <w:r w:rsidRPr="008C5F1C">
        <w:rPr>
          <w:rFonts w:cs="Times New Roman"/>
          <w:lang w:val="ro-RO"/>
        </w:rPr>
        <w:t>technical</w:t>
      </w:r>
      <w:proofErr w:type="spellEnd"/>
      <w:r w:rsidRPr="008C5F1C">
        <w:rPr>
          <w:rFonts w:cs="Times New Roman"/>
          <w:lang w:val="ro-RO"/>
        </w:rPr>
        <w:t xml:space="preserve"> </w:t>
      </w:r>
      <w:proofErr w:type="spellStart"/>
      <w:r w:rsidRPr="008C5F1C">
        <w:rPr>
          <w:rFonts w:cs="Times New Roman"/>
          <w:lang w:val="ro-RO"/>
        </w:rPr>
        <w:t>assistance</w:t>
      </w:r>
      <w:proofErr w:type="spellEnd"/>
      <w:r w:rsidRPr="008C5F1C">
        <w:rPr>
          <w:rFonts w:cs="Times New Roman"/>
          <w:lang w:val="ro-RO"/>
        </w:rPr>
        <w:t xml:space="preserve"> </w:t>
      </w:r>
      <w:proofErr w:type="spellStart"/>
      <w:r w:rsidRPr="008C5F1C">
        <w:rPr>
          <w:rFonts w:cs="Times New Roman"/>
          <w:lang w:val="ro-RO"/>
        </w:rPr>
        <w:t>under</w:t>
      </w:r>
      <w:proofErr w:type="spellEnd"/>
      <w:r w:rsidRPr="008C5F1C">
        <w:rPr>
          <w:rFonts w:cs="Times New Roman"/>
          <w:lang w:val="ro-RO"/>
        </w:rPr>
        <w:t xml:space="preserve"> </w:t>
      </w:r>
      <w:proofErr w:type="spellStart"/>
      <w:r w:rsidRPr="008C5F1C">
        <w:rPr>
          <w:rFonts w:cs="Times New Roman"/>
          <w:lang w:val="ro-RO"/>
        </w:rPr>
        <w:t>financing</w:t>
      </w:r>
      <w:proofErr w:type="spellEnd"/>
      <w:r w:rsidRPr="008C5F1C">
        <w:rPr>
          <w:rFonts w:cs="Times New Roman"/>
          <w:lang w:val="ro-RO"/>
        </w:rPr>
        <w:t xml:space="preserve"> </w:t>
      </w:r>
      <w:proofErr w:type="spellStart"/>
      <w:r w:rsidRPr="008C5F1C">
        <w:rPr>
          <w:rFonts w:cs="Times New Roman"/>
          <w:lang w:val="ro-RO"/>
        </w:rPr>
        <w:t>not</w:t>
      </w:r>
      <w:proofErr w:type="spellEnd"/>
      <w:r w:rsidRPr="008C5F1C">
        <w:rPr>
          <w:rFonts w:cs="Times New Roman"/>
          <w:lang w:val="ro-RO"/>
        </w:rPr>
        <w:t xml:space="preserve"> </w:t>
      </w:r>
      <w:proofErr w:type="spellStart"/>
      <w:r w:rsidRPr="008C5F1C">
        <w:rPr>
          <w:rFonts w:cs="Times New Roman"/>
          <w:lang w:val="ro-RO"/>
        </w:rPr>
        <w:t>linked</w:t>
      </w:r>
      <w:proofErr w:type="spellEnd"/>
      <w:r w:rsidRPr="008C5F1C">
        <w:rPr>
          <w:rFonts w:cs="Times New Roman"/>
          <w:lang w:val="ro-RO"/>
        </w:rPr>
        <w:t xml:space="preserve"> </w:t>
      </w:r>
      <w:proofErr w:type="spellStart"/>
      <w:r w:rsidRPr="008C5F1C">
        <w:rPr>
          <w:rFonts w:cs="Times New Roman"/>
          <w:lang w:val="ro-RO"/>
        </w:rPr>
        <w:t>to</w:t>
      </w:r>
      <w:proofErr w:type="spellEnd"/>
      <w:r w:rsidRPr="008C5F1C">
        <w:rPr>
          <w:rFonts w:cs="Times New Roman"/>
          <w:lang w:val="ro-RO"/>
        </w:rPr>
        <w:t xml:space="preserve"> </w:t>
      </w:r>
      <w:proofErr w:type="spellStart"/>
      <w:r w:rsidRPr="008C5F1C">
        <w:rPr>
          <w:rFonts w:cs="Times New Roman"/>
          <w:lang w:val="ro-RO"/>
        </w:rPr>
        <w:t>costs</w:t>
      </w:r>
      <w:proofErr w:type="spellEnd"/>
      <w:r w:rsidRPr="008C5F1C">
        <w:rPr>
          <w:rFonts w:cs="Times New Roman"/>
          <w:lang w:val="ro-RO"/>
        </w:rPr>
        <w:t xml:space="preserve"> – </w:t>
      </w:r>
      <w:proofErr w:type="spellStart"/>
      <w:r w:rsidRPr="008C5F1C">
        <w:rPr>
          <w:rFonts w:cs="Times New Roman"/>
          <w:lang w:val="ro-RO"/>
        </w:rPr>
        <w:t>Article</w:t>
      </w:r>
      <w:proofErr w:type="spellEnd"/>
      <w:r w:rsidRPr="008C5F1C">
        <w:rPr>
          <w:rFonts w:cs="Times New Roman"/>
          <w:lang w:val="ro-RO"/>
        </w:rPr>
        <w:t xml:space="preserve"> 32</w:t>
      </w:r>
      <w:bookmarkEnd w:id="1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653571" w:rsidRPr="008C5F1C" w14:paraId="1657BB20" w14:textId="77777777" w:rsidTr="00534127">
        <w:tc>
          <w:tcPr>
            <w:tcW w:w="9288" w:type="dxa"/>
            <w:tcBorders>
              <w:top w:val="single" w:sz="4" w:space="0" w:color="auto"/>
              <w:left w:val="single" w:sz="4" w:space="0" w:color="auto"/>
              <w:bottom w:val="single" w:sz="4" w:space="0" w:color="auto"/>
              <w:right w:val="single" w:sz="4" w:space="0" w:color="auto"/>
            </w:tcBorders>
            <w:hideMark/>
          </w:tcPr>
          <w:p w14:paraId="523DF5D8" w14:textId="22DAB062" w:rsidR="00653571" w:rsidRPr="00EE349D" w:rsidRDefault="00653571" w:rsidP="00944DE3">
            <w:pPr>
              <w:spacing w:after="120" w:line="240" w:lineRule="auto"/>
              <w:rPr>
                <w:rFonts w:ascii="Times New Roman" w:hAnsi="Times New Roman" w:cs="Times New Roman"/>
              </w:rPr>
            </w:pPr>
            <w:r w:rsidRPr="00EE349D">
              <w:rPr>
                <w:rFonts w:ascii="Times New Roman" w:hAnsi="Times New Roman" w:cs="Times New Roman"/>
              </w:rPr>
              <w:t>Interven</w:t>
            </w:r>
            <w:r w:rsidR="00E22FF2" w:rsidRPr="00EE349D">
              <w:rPr>
                <w:rFonts w:ascii="Times New Roman" w:hAnsi="Times New Roman" w:cs="Times New Roman"/>
              </w:rPr>
              <w:t>ț</w:t>
            </w:r>
            <w:r w:rsidRPr="00EE349D">
              <w:rPr>
                <w:rFonts w:ascii="Times New Roman" w:hAnsi="Times New Roman" w:cs="Times New Roman"/>
              </w:rPr>
              <w:t>iile în domeniul asisten</w:t>
            </w:r>
            <w:r w:rsidR="00E22FF2" w:rsidRPr="00EE349D">
              <w:rPr>
                <w:rFonts w:ascii="Times New Roman" w:hAnsi="Times New Roman" w:cs="Times New Roman"/>
              </w:rPr>
              <w:t>ț</w:t>
            </w:r>
            <w:r w:rsidRPr="00EE349D">
              <w:rPr>
                <w:rFonts w:ascii="Times New Roman" w:hAnsi="Times New Roman" w:cs="Times New Roman"/>
              </w:rPr>
              <w:t xml:space="preserve">ei tehnice </w:t>
            </w:r>
            <w:r w:rsidR="00F81C00" w:rsidRPr="00EE349D">
              <w:rPr>
                <w:rFonts w:ascii="Times New Roman" w:hAnsi="Times New Roman" w:cs="Times New Roman"/>
              </w:rPr>
              <w:t>vizează a</w:t>
            </w:r>
            <w:r w:rsidRPr="00EE349D">
              <w:rPr>
                <w:rFonts w:ascii="Times New Roman" w:hAnsi="Times New Roman" w:cs="Times New Roman"/>
                <w:b/>
                <w:bCs/>
              </w:rPr>
              <w:t>sigurarea func</w:t>
            </w:r>
            <w:r w:rsidR="00E22FF2" w:rsidRPr="00EE349D">
              <w:rPr>
                <w:rFonts w:ascii="Times New Roman" w:hAnsi="Times New Roman" w:cs="Times New Roman"/>
                <w:b/>
                <w:bCs/>
              </w:rPr>
              <w:t>ț</w:t>
            </w:r>
            <w:r w:rsidRPr="00EE349D">
              <w:rPr>
                <w:rFonts w:ascii="Times New Roman" w:hAnsi="Times New Roman" w:cs="Times New Roman"/>
                <w:b/>
                <w:bCs/>
              </w:rPr>
              <w:t>ion</w:t>
            </w:r>
            <w:r w:rsidR="00BA7827" w:rsidRPr="00EE349D">
              <w:rPr>
                <w:rFonts w:ascii="Times New Roman" w:hAnsi="Times New Roman" w:cs="Times New Roman"/>
                <w:b/>
                <w:bCs/>
              </w:rPr>
              <w:t>ă</w:t>
            </w:r>
            <w:r w:rsidRPr="00EE349D">
              <w:rPr>
                <w:rFonts w:ascii="Times New Roman" w:hAnsi="Times New Roman" w:cs="Times New Roman"/>
                <w:b/>
                <w:bCs/>
              </w:rPr>
              <w:t>rii sistemului de management</w:t>
            </w:r>
            <w:r w:rsidR="00F81C00" w:rsidRPr="00EE349D">
              <w:rPr>
                <w:rFonts w:ascii="Times New Roman" w:hAnsi="Times New Roman" w:cs="Times New Roman"/>
                <w:b/>
                <w:bCs/>
              </w:rPr>
              <w:t xml:space="preserve">, </w:t>
            </w:r>
            <w:r w:rsidR="00F81C00" w:rsidRPr="00EE349D">
              <w:rPr>
                <w:rFonts w:ascii="Times New Roman" w:hAnsi="Times New Roman" w:cs="Times New Roman"/>
              </w:rPr>
              <w:t>prin intermediul următoarelor tipuri orientative de acțiuni:</w:t>
            </w:r>
          </w:p>
          <w:p w14:paraId="6685CE9E" w14:textId="791275FE" w:rsidR="00944DE3" w:rsidRPr="00EE349D" w:rsidRDefault="00653571" w:rsidP="00661AB3">
            <w:pPr>
              <w:pStyle w:val="ListParagraph"/>
              <w:numPr>
                <w:ilvl w:val="0"/>
                <w:numId w:val="61"/>
              </w:numPr>
              <w:spacing w:before="0" w:line="240" w:lineRule="auto"/>
              <w:ind w:left="714" w:hanging="357"/>
              <w:jc w:val="both"/>
              <w:rPr>
                <w:sz w:val="22"/>
                <w:lang w:val="ro-RO"/>
              </w:rPr>
            </w:pPr>
            <w:r w:rsidRPr="00EE349D">
              <w:rPr>
                <w:sz w:val="22"/>
                <w:lang w:val="ro-RO"/>
              </w:rPr>
              <w:t>Dezvoltarea capacit</w:t>
            </w:r>
            <w:r w:rsidR="00BA7827" w:rsidRPr="00EE349D">
              <w:rPr>
                <w:sz w:val="22"/>
                <w:lang w:val="ro-RO"/>
              </w:rPr>
              <w:t>ă</w:t>
            </w:r>
            <w:r w:rsidR="00E22FF2" w:rsidRPr="00EE349D">
              <w:rPr>
                <w:sz w:val="22"/>
                <w:lang w:val="ro-RO"/>
              </w:rPr>
              <w:t>ț</w:t>
            </w:r>
            <w:r w:rsidRPr="00EE349D">
              <w:rPr>
                <w:sz w:val="22"/>
                <w:lang w:val="ro-RO"/>
              </w:rPr>
              <w:t xml:space="preserve">ii administrative </w:t>
            </w:r>
            <w:r w:rsidR="00106240" w:rsidRPr="00EE349D">
              <w:rPr>
                <w:sz w:val="22"/>
                <w:lang w:val="ro-RO"/>
              </w:rPr>
              <w:t>ș</w:t>
            </w:r>
            <w:r w:rsidRPr="00EE349D">
              <w:rPr>
                <w:sz w:val="22"/>
                <w:lang w:val="ro-RO"/>
              </w:rPr>
              <w:t xml:space="preserve">i asigurarea instrumentelor necesare pentru coordonarea </w:t>
            </w:r>
            <w:r w:rsidR="00106240" w:rsidRPr="00EE349D">
              <w:rPr>
                <w:sz w:val="22"/>
                <w:lang w:val="ro-RO"/>
              </w:rPr>
              <w:t>ș</w:t>
            </w:r>
            <w:r w:rsidRPr="00EE349D">
              <w:rPr>
                <w:sz w:val="22"/>
                <w:lang w:val="ro-RO"/>
              </w:rPr>
              <w:t>i managementul POR</w:t>
            </w:r>
            <w:r w:rsidR="00F81C00" w:rsidRPr="00EE349D">
              <w:rPr>
                <w:sz w:val="22"/>
                <w:lang w:val="ro-RO"/>
              </w:rPr>
              <w:t xml:space="preserve"> NV</w:t>
            </w:r>
            <w:r w:rsidRPr="00EE349D">
              <w:rPr>
                <w:sz w:val="22"/>
                <w:lang w:val="ro-RO"/>
              </w:rPr>
              <w:t>.</w:t>
            </w:r>
          </w:p>
          <w:p w14:paraId="5EC53BBB" w14:textId="54459898" w:rsidR="00661AB3" w:rsidRPr="00EE349D" w:rsidRDefault="00F81C00" w:rsidP="00661AB3">
            <w:pPr>
              <w:pStyle w:val="ListParagraph"/>
              <w:numPr>
                <w:ilvl w:val="0"/>
                <w:numId w:val="61"/>
              </w:numPr>
              <w:spacing w:before="0" w:line="240" w:lineRule="auto"/>
              <w:ind w:left="714" w:hanging="357"/>
              <w:jc w:val="both"/>
              <w:rPr>
                <w:rFonts w:eastAsia="Times New Roman"/>
                <w:iCs/>
                <w:noProof/>
                <w:sz w:val="22"/>
                <w:lang w:val="ro-RO"/>
              </w:rPr>
            </w:pPr>
            <w:r w:rsidRPr="00EE349D">
              <w:rPr>
                <w:rFonts w:eastAsia="Times New Roman"/>
                <w:iCs/>
                <w:noProof/>
                <w:sz w:val="22"/>
              </w:rPr>
              <w:t>Sprijinirea AM POR NV pentru implementarea diferitelor etape ale POR NV, respectiv pregatire, selectie, verificare si monitorizare, evaluare, control si audit, prin finantarea cheltuielilor de personal, cheltuielilor cu deplasarea personalului implicat in coordonarea si managementul POR NV si a cheltuielilor administrative;</w:t>
            </w:r>
          </w:p>
          <w:p w14:paraId="51707666" w14:textId="0CFBDADC" w:rsidR="00944DE3" w:rsidRPr="00EE349D" w:rsidRDefault="00F81C00" w:rsidP="00661AB3">
            <w:pPr>
              <w:pStyle w:val="ListParagraph"/>
              <w:numPr>
                <w:ilvl w:val="0"/>
                <w:numId w:val="61"/>
              </w:numPr>
              <w:spacing w:before="0" w:line="240" w:lineRule="auto"/>
              <w:ind w:left="714" w:hanging="357"/>
              <w:jc w:val="both"/>
              <w:rPr>
                <w:noProof/>
                <w:sz w:val="22"/>
              </w:rPr>
            </w:pPr>
            <w:r w:rsidRPr="00EE349D">
              <w:rPr>
                <w:rFonts w:eastAsia="Times New Roman"/>
                <w:iCs/>
                <w:noProof/>
                <w:sz w:val="22"/>
              </w:rPr>
              <w:t>Achizitionare/construire/modernizare sedii necesare desfășurării activităților AM POR NV;</w:t>
            </w:r>
          </w:p>
          <w:p w14:paraId="57FDE3E7" w14:textId="3507E305" w:rsidR="00661AB3" w:rsidRPr="00EE349D" w:rsidRDefault="00F81C00" w:rsidP="00661AB3">
            <w:pPr>
              <w:pStyle w:val="ListParagraph"/>
              <w:numPr>
                <w:ilvl w:val="0"/>
                <w:numId w:val="61"/>
              </w:numPr>
              <w:spacing w:before="0" w:line="240" w:lineRule="auto"/>
              <w:ind w:left="714" w:hanging="357"/>
              <w:jc w:val="both"/>
              <w:rPr>
                <w:rFonts w:eastAsia="Times New Roman"/>
                <w:iCs/>
                <w:noProof/>
                <w:sz w:val="22"/>
                <w:lang w:val="ro-RO"/>
              </w:rPr>
            </w:pPr>
            <w:r w:rsidRPr="00EE349D">
              <w:rPr>
                <w:rFonts w:eastAsia="Times New Roman"/>
                <w:iCs/>
                <w:noProof/>
                <w:sz w:val="22"/>
              </w:rPr>
              <w:t>Achizitia si instalarea echipamentelor IT si birotice, achizitia si dezvoltarea programelor informatice necesare pentru managementul si implementarea POR NV;</w:t>
            </w:r>
          </w:p>
          <w:p w14:paraId="7606BB6B" w14:textId="0A9CFA08" w:rsidR="00661AB3" w:rsidRPr="00EE349D" w:rsidRDefault="00F81C00" w:rsidP="00661AB3">
            <w:pPr>
              <w:pStyle w:val="ListParagraph"/>
              <w:numPr>
                <w:ilvl w:val="0"/>
                <w:numId w:val="61"/>
              </w:numPr>
              <w:spacing w:before="0" w:line="240" w:lineRule="auto"/>
              <w:ind w:left="714" w:hanging="357"/>
              <w:jc w:val="both"/>
              <w:rPr>
                <w:rFonts w:eastAsia="Times New Roman"/>
                <w:iCs/>
                <w:noProof/>
                <w:sz w:val="22"/>
              </w:rPr>
            </w:pPr>
            <w:r w:rsidRPr="00EE349D">
              <w:rPr>
                <w:rFonts w:eastAsia="Times New Roman"/>
                <w:iCs/>
                <w:noProof/>
                <w:sz w:val="22"/>
              </w:rPr>
              <w:t>Achizitia de bunuri (active fixe corporale, obiecte de inventar, materiale consumabile etc) si servicii necesare desfasurarii activitatilor specifice implementarii POR NV;</w:t>
            </w:r>
          </w:p>
          <w:p w14:paraId="538DB9D9" w14:textId="4330B5C2" w:rsidR="00661AB3" w:rsidRPr="00EE349D" w:rsidRDefault="00F81C00" w:rsidP="00661AB3">
            <w:pPr>
              <w:pStyle w:val="ListParagraph"/>
              <w:numPr>
                <w:ilvl w:val="0"/>
                <w:numId w:val="61"/>
              </w:numPr>
              <w:spacing w:before="0" w:line="240" w:lineRule="auto"/>
              <w:ind w:left="714" w:hanging="357"/>
              <w:jc w:val="both"/>
              <w:rPr>
                <w:rFonts w:eastAsia="Times New Roman"/>
                <w:iCs/>
                <w:noProof/>
                <w:sz w:val="22"/>
              </w:rPr>
            </w:pPr>
            <w:r w:rsidRPr="00EE349D">
              <w:rPr>
                <w:rFonts w:eastAsia="Times New Roman"/>
                <w:iCs/>
                <w:noProof/>
                <w:sz w:val="22"/>
              </w:rPr>
              <w:t>Sprijinirea organizatorica si logistica a Comitetului de Monitorizare a POR NV si a altor comitete/ grupuri de lucru implicate in implementarea POR NV;</w:t>
            </w:r>
          </w:p>
          <w:p w14:paraId="5085EDA7" w14:textId="3EB9BDCD" w:rsidR="00661AB3" w:rsidRPr="00EE349D" w:rsidRDefault="00F81C00" w:rsidP="00661AB3">
            <w:pPr>
              <w:pStyle w:val="ListParagraph"/>
              <w:numPr>
                <w:ilvl w:val="0"/>
                <w:numId w:val="61"/>
              </w:numPr>
              <w:spacing w:before="0" w:line="240" w:lineRule="auto"/>
              <w:ind w:left="714" w:hanging="357"/>
              <w:jc w:val="both"/>
              <w:rPr>
                <w:iCs/>
                <w:noProof/>
                <w:sz w:val="22"/>
              </w:rPr>
            </w:pPr>
            <w:r w:rsidRPr="00EE349D">
              <w:rPr>
                <w:rFonts w:eastAsia="Times New Roman"/>
                <w:iCs/>
                <w:noProof/>
                <w:sz w:val="22"/>
              </w:rPr>
              <w:t>Elaborarea de studii si analize specifice POR NV si PDR NV;</w:t>
            </w:r>
            <w:r w:rsidRPr="00EE349D">
              <w:rPr>
                <w:rFonts w:eastAsia="Times New Roman"/>
                <w:sz w:val="22"/>
                <w:lang w:eastAsia="en-GB"/>
              </w:rPr>
              <w:t xml:space="preserve"> </w:t>
            </w:r>
          </w:p>
          <w:p w14:paraId="7B4B98F9" w14:textId="76B331A5" w:rsidR="00661AB3" w:rsidRPr="00EE349D" w:rsidRDefault="00F81C00" w:rsidP="00661AB3">
            <w:pPr>
              <w:pStyle w:val="ListParagraph"/>
              <w:numPr>
                <w:ilvl w:val="0"/>
                <w:numId w:val="61"/>
              </w:numPr>
              <w:spacing w:before="0" w:line="240" w:lineRule="auto"/>
              <w:ind w:left="714" w:hanging="357"/>
              <w:jc w:val="both"/>
              <w:rPr>
                <w:rFonts w:eastAsia="Times New Roman"/>
                <w:iCs/>
                <w:noProof/>
                <w:sz w:val="22"/>
                <w:lang w:val="ro-RO"/>
              </w:rPr>
            </w:pPr>
            <w:r w:rsidRPr="00EE349D">
              <w:rPr>
                <w:rFonts w:eastAsia="Times New Roman"/>
                <w:iCs/>
                <w:noProof/>
                <w:sz w:val="22"/>
              </w:rPr>
              <w:t>Sprijinirea pregatirii / implementarii/monitorizarii POR NV si PDR NV, inclusiv pregatirea urmatoarei perioade de programare (studii, analize, pregatirea portofoliilor de proiecte);</w:t>
            </w:r>
          </w:p>
          <w:p w14:paraId="222F90C5" w14:textId="2BB207E1" w:rsidR="00F81C00" w:rsidRPr="00EE349D" w:rsidRDefault="00F81C00" w:rsidP="00661AB3">
            <w:pPr>
              <w:pStyle w:val="ListParagraph"/>
              <w:numPr>
                <w:ilvl w:val="0"/>
                <w:numId w:val="61"/>
              </w:numPr>
              <w:spacing w:before="0" w:line="240" w:lineRule="auto"/>
              <w:ind w:left="714" w:hanging="357"/>
              <w:jc w:val="both"/>
              <w:rPr>
                <w:rFonts w:eastAsia="Times New Roman"/>
                <w:iCs/>
                <w:noProof/>
                <w:sz w:val="22"/>
              </w:rPr>
            </w:pPr>
            <w:r w:rsidRPr="00EE349D">
              <w:rPr>
                <w:rFonts w:eastAsia="Times New Roman"/>
                <w:iCs/>
                <w:noProof/>
                <w:sz w:val="22"/>
              </w:rPr>
              <w:t>Sprijinirea activitatilor de informare si comunicare specifice POR NV (dezvoltarea si gestionarea instrumentelor de comunicare, inclusiv pagina web dedicata programului, realizarea si distribuirea materialelor informative si promovare, organizarea de evenimente de informare si promovare, implementarea de campanii de promovare, organizarea activitatii de helpdesk etc). Activitatile de comunicare si informare vor fi realizate conform planului de comunicare AMPOR NV.</w:t>
            </w:r>
          </w:p>
          <w:p w14:paraId="4D6D7116" w14:textId="77777777" w:rsidR="00462FC9" w:rsidRPr="00EE349D" w:rsidRDefault="001C270D" w:rsidP="00661AB3">
            <w:pPr>
              <w:spacing w:after="120" w:line="240" w:lineRule="auto"/>
              <w:jc w:val="both"/>
              <w:rPr>
                <w:rFonts w:ascii="Times New Roman" w:hAnsi="Times New Roman" w:cs="Times New Roman"/>
              </w:rPr>
            </w:pPr>
            <w:r w:rsidRPr="00EE349D">
              <w:rPr>
                <w:rFonts w:ascii="Times New Roman" w:hAnsi="Times New Roman" w:cs="Times New Roman"/>
              </w:rPr>
              <w:t>Cheltuielile realizate în cadrul acestei axe prioritare vor fi rambursate pentru costuri directe, în conformitate cu art.30 (4) al RDC</w:t>
            </w:r>
          </w:p>
          <w:p w14:paraId="7A982A83" w14:textId="77777777" w:rsidR="00E161F2" w:rsidRPr="00EE349D" w:rsidRDefault="00E161F2" w:rsidP="00661AB3">
            <w:pPr>
              <w:spacing w:after="120" w:line="240" w:lineRule="auto"/>
              <w:jc w:val="both"/>
              <w:rPr>
                <w:rFonts w:ascii="Times New Roman" w:hAnsi="Times New Roman" w:cs="Times New Roman"/>
              </w:rPr>
            </w:pPr>
            <w:r w:rsidRPr="00EE349D">
              <w:rPr>
                <w:rFonts w:ascii="Times New Roman" w:hAnsi="Times New Roman" w:cs="Times New Roman"/>
              </w:rPr>
              <w:t>Beneficiari poten</w:t>
            </w:r>
            <w:r w:rsidR="00E22FF2" w:rsidRPr="00EE349D">
              <w:rPr>
                <w:rFonts w:ascii="Times New Roman" w:hAnsi="Times New Roman" w:cs="Times New Roman"/>
              </w:rPr>
              <w:t>ț</w:t>
            </w:r>
            <w:r w:rsidRPr="00EE349D">
              <w:rPr>
                <w:rFonts w:ascii="Times New Roman" w:hAnsi="Times New Roman" w:cs="Times New Roman"/>
              </w:rPr>
              <w:t>iali:</w:t>
            </w:r>
          </w:p>
          <w:p w14:paraId="3AA3D568" w14:textId="77777777" w:rsidR="00E161F2" w:rsidRPr="00EE349D" w:rsidRDefault="00E161F2" w:rsidP="00661AB3">
            <w:pPr>
              <w:spacing w:after="120" w:line="240" w:lineRule="auto"/>
              <w:jc w:val="both"/>
              <w:rPr>
                <w:rFonts w:ascii="Times New Roman" w:hAnsi="Times New Roman" w:cs="Times New Roman"/>
              </w:rPr>
            </w:pPr>
            <w:r w:rsidRPr="00EE349D">
              <w:rPr>
                <w:rFonts w:ascii="Times New Roman" w:hAnsi="Times New Roman" w:cs="Times New Roman"/>
              </w:rPr>
              <w:t>- Entit</w:t>
            </w:r>
            <w:r w:rsidR="00BA7827" w:rsidRPr="00EE349D">
              <w:rPr>
                <w:rFonts w:ascii="Times New Roman" w:hAnsi="Times New Roman" w:cs="Times New Roman"/>
              </w:rPr>
              <w:t>ă</w:t>
            </w:r>
            <w:r w:rsidR="00E22FF2" w:rsidRPr="00EE349D">
              <w:rPr>
                <w:rFonts w:ascii="Times New Roman" w:hAnsi="Times New Roman" w:cs="Times New Roman"/>
              </w:rPr>
              <w:t>ț</w:t>
            </w:r>
            <w:r w:rsidRPr="00EE349D">
              <w:rPr>
                <w:rFonts w:ascii="Times New Roman" w:hAnsi="Times New Roman" w:cs="Times New Roman"/>
              </w:rPr>
              <w:t xml:space="preserve">i din cadrul sistemului de management </w:t>
            </w:r>
            <w:r w:rsidR="00106240" w:rsidRPr="00EE349D">
              <w:rPr>
                <w:rFonts w:ascii="Times New Roman" w:hAnsi="Times New Roman" w:cs="Times New Roman"/>
              </w:rPr>
              <w:t>ș</w:t>
            </w:r>
            <w:r w:rsidRPr="00EE349D">
              <w:rPr>
                <w:rFonts w:ascii="Times New Roman" w:hAnsi="Times New Roman" w:cs="Times New Roman"/>
              </w:rPr>
              <w:t>i control al POR NV</w:t>
            </w:r>
          </w:p>
          <w:p w14:paraId="3A3ECD53" w14:textId="07B58F3C" w:rsidR="00E161F2" w:rsidRPr="00EE349D" w:rsidRDefault="00E161F2" w:rsidP="00661AB3">
            <w:pPr>
              <w:spacing w:after="120" w:line="240" w:lineRule="auto"/>
              <w:jc w:val="both"/>
              <w:rPr>
                <w:rFonts w:ascii="Times New Roman" w:hAnsi="Times New Roman" w:cs="Times New Roman"/>
              </w:rPr>
            </w:pPr>
            <w:r w:rsidRPr="00EE349D">
              <w:rPr>
                <w:rFonts w:ascii="Times New Roman" w:hAnsi="Times New Roman" w:cs="Times New Roman"/>
              </w:rPr>
              <w:t>- CM POR N</w:t>
            </w:r>
            <w:r w:rsidR="008055DD" w:rsidRPr="00EE349D">
              <w:rPr>
                <w:rFonts w:ascii="Times New Roman" w:hAnsi="Times New Roman" w:cs="Times New Roman"/>
              </w:rPr>
              <w:t>ord-</w:t>
            </w:r>
            <w:r w:rsidRPr="00EE349D">
              <w:rPr>
                <w:rFonts w:ascii="Times New Roman" w:hAnsi="Times New Roman" w:cs="Times New Roman"/>
              </w:rPr>
              <w:t>V</w:t>
            </w:r>
            <w:r w:rsidR="008055DD" w:rsidRPr="00EE349D">
              <w:rPr>
                <w:rFonts w:ascii="Times New Roman" w:hAnsi="Times New Roman" w:cs="Times New Roman"/>
              </w:rPr>
              <w:t>est</w:t>
            </w:r>
            <w:r w:rsidRPr="00EE349D">
              <w:rPr>
                <w:rFonts w:ascii="Times New Roman" w:hAnsi="Times New Roman" w:cs="Times New Roman"/>
              </w:rPr>
              <w:t xml:space="preserve"> </w:t>
            </w:r>
          </w:p>
        </w:tc>
      </w:tr>
    </w:tbl>
    <w:p w14:paraId="3EB28986" w14:textId="77777777" w:rsidR="00653571" w:rsidRPr="008C5F1C" w:rsidRDefault="00653571" w:rsidP="00653571">
      <w:pPr>
        <w:rPr>
          <w:rFonts w:ascii="Times New Roman" w:hAnsi="Times New Roman" w:cs="Times New Roman"/>
          <w:b/>
          <w:sz w:val="12"/>
          <w:szCs w:val="12"/>
          <w:u w:val="single"/>
        </w:rPr>
      </w:pPr>
    </w:p>
    <w:p w14:paraId="6252BDC8" w14:textId="77777777" w:rsidR="00653571" w:rsidRPr="008C5F1C" w:rsidRDefault="00653571" w:rsidP="00653571">
      <w:pPr>
        <w:pStyle w:val="Heading2"/>
        <w:numPr>
          <w:ilvl w:val="0"/>
          <w:numId w:val="0"/>
        </w:numPr>
        <w:ind w:left="851" w:hanging="851"/>
        <w:rPr>
          <w:rFonts w:cs="Times New Roman"/>
          <w:lang w:val="ro-RO"/>
        </w:rPr>
      </w:pPr>
      <w:bookmarkStart w:id="132" w:name="_Toc39840949"/>
      <w:r w:rsidRPr="008C5F1C">
        <w:rPr>
          <w:rFonts w:cs="Times New Roman"/>
          <w:lang w:val="ro-RO"/>
        </w:rPr>
        <w:t xml:space="preserve">2.B.2.2. Indicative </w:t>
      </w:r>
      <w:proofErr w:type="spellStart"/>
      <w:r w:rsidRPr="008C5F1C">
        <w:rPr>
          <w:rFonts w:cs="Times New Roman"/>
          <w:lang w:val="ro-RO"/>
        </w:rPr>
        <w:t>breakdown</w:t>
      </w:r>
      <w:proofErr w:type="spellEnd"/>
      <w:r w:rsidRPr="008C5F1C">
        <w:rPr>
          <w:rFonts w:cs="Times New Roman"/>
          <w:lang w:val="ro-RO"/>
        </w:rPr>
        <w:t xml:space="preserve"> of </w:t>
      </w:r>
      <w:proofErr w:type="spellStart"/>
      <w:r w:rsidRPr="008C5F1C">
        <w:rPr>
          <w:rFonts w:cs="Times New Roman"/>
          <w:lang w:val="ro-RO"/>
        </w:rPr>
        <w:t>the</w:t>
      </w:r>
      <w:proofErr w:type="spellEnd"/>
      <w:r w:rsidRPr="008C5F1C">
        <w:rPr>
          <w:rFonts w:cs="Times New Roman"/>
          <w:lang w:val="ro-RO"/>
        </w:rPr>
        <w:t xml:space="preserve"> </w:t>
      </w:r>
      <w:proofErr w:type="spellStart"/>
      <w:r w:rsidRPr="008C5F1C">
        <w:rPr>
          <w:rFonts w:cs="Times New Roman"/>
          <w:lang w:val="ro-RO"/>
        </w:rPr>
        <w:t>programmed</w:t>
      </w:r>
      <w:proofErr w:type="spellEnd"/>
      <w:r w:rsidRPr="008C5F1C">
        <w:rPr>
          <w:rFonts w:cs="Times New Roman"/>
          <w:lang w:val="ro-RO"/>
        </w:rPr>
        <w:t xml:space="preserve"> </w:t>
      </w:r>
      <w:proofErr w:type="spellStart"/>
      <w:r w:rsidRPr="008C5F1C">
        <w:rPr>
          <w:rFonts w:cs="Times New Roman"/>
          <w:lang w:val="ro-RO"/>
        </w:rPr>
        <w:t>resources</w:t>
      </w:r>
      <w:proofErr w:type="spellEnd"/>
      <w:r w:rsidRPr="008C5F1C">
        <w:rPr>
          <w:rFonts w:cs="Times New Roman"/>
          <w:lang w:val="ro-RO"/>
        </w:rPr>
        <w:t xml:space="preserve"> (EU) </w:t>
      </w:r>
      <w:proofErr w:type="spellStart"/>
      <w:r w:rsidRPr="008C5F1C">
        <w:rPr>
          <w:rFonts w:cs="Times New Roman"/>
          <w:lang w:val="ro-RO"/>
        </w:rPr>
        <w:t>by</w:t>
      </w:r>
      <w:proofErr w:type="spellEnd"/>
      <w:r w:rsidRPr="008C5F1C">
        <w:rPr>
          <w:rFonts w:cs="Times New Roman"/>
          <w:lang w:val="ro-RO"/>
        </w:rPr>
        <w:t xml:space="preserve"> </w:t>
      </w:r>
      <w:proofErr w:type="spellStart"/>
      <w:r w:rsidRPr="008C5F1C">
        <w:rPr>
          <w:rFonts w:cs="Times New Roman"/>
          <w:lang w:val="ro-RO"/>
        </w:rPr>
        <w:t>type</w:t>
      </w:r>
      <w:proofErr w:type="spellEnd"/>
      <w:r w:rsidRPr="008C5F1C">
        <w:rPr>
          <w:rFonts w:cs="Times New Roman"/>
          <w:lang w:val="ro-RO"/>
        </w:rPr>
        <w:t xml:space="preserve"> of </w:t>
      </w:r>
      <w:proofErr w:type="spellStart"/>
      <w:r w:rsidRPr="008C5F1C">
        <w:rPr>
          <w:rFonts w:cs="Times New Roman"/>
          <w:lang w:val="ro-RO"/>
        </w:rPr>
        <w:t>intervention</w:t>
      </w:r>
      <w:bookmarkEnd w:id="132"/>
      <w:proofErr w:type="spellEnd"/>
    </w:p>
    <w:p w14:paraId="1B479546" w14:textId="77777777" w:rsidR="00653571" w:rsidRPr="008C5F1C" w:rsidRDefault="00653571" w:rsidP="00653571">
      <w:pPr>
        <w:rPr>
          <w:rFonts w:ascii="Times New Roman" w:hAnsi="Times New Roman" w:cs="Times New Roman"/>
          <w:bCs/>
          <w:i/>
        </w:rPr>
      </w:pPr>
      <w:proofErr w:type="spellStart"/>
      <w:r w:rsidRPr="008C5F1C">
        <w:rPr>
          <w:rFonts w:ascii="Times New Roman" w:hAnsi="Times New Roman" w:cs="Times New Roman"/>
          <w:bCs/>
          <w:i/>
        </w:rPr>
        <w:t>Reference</w:t>
      </w:r>
      <w:proofErr w:type="spellEnd"/>
      <w:r w:rsidRPr="008C5F1C">
        <w:rPr>
          <w:rFonts w:ascii="Times New Roman" w:hAnsi="Times New Roman" w:cs="Times New Roman"/>
          <w:bCs/>
          <w:i/>
        </w:rPr>
        <w:t xml:space="preserve">: </w:t>
      </w:r>
      <w:proofErr w:type="spellStart"/>
      <w:r w:rsidRPr="008C5F1C">
        <w:rPr>
          <w:rFonts w:ascii="Times New Roman" w:hAnsi="Times New Roman" w:cs="Times New Roman"/>
          <w:bCs/>
          <w:i/>
        </w:rPr>
        <w:t>Article</w:t>
      </w:r>
      <w:proofErr w:type="spellEnd"/>
      <w:r w:rsidRPr="008C5F1C">
        <w:rPr>
          <w:rFonts w:ascii="Times New Roman" w:hAnsi="Times New Roman" w:cs="Times New Roman"/>
          <w:bCs/>
          <w:i/>
        </w:rPr>
        <w:t xml:space="preserve"> 17(3)(e) </w:t>
      </w:r>
    </w:p>
    <w:tbl>
      <w:tblPr>
        <w:tblW w:w="9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
        <w:gridCol w:w="988"/>
        <w:gridCol w:w="1586"/>
        <w:gridCol w:w="4114"/>
        <w:gridCol w:w="1706"/>
        <w:gridCol w:w="8"/>
      </w:tblGrid>
      <w:tr w:rsidR="001A64EA" w:rsidRPr="008C5F1C" w14:paraId="548090FA" w14:textId="77777777" w:rsidTr="001A64EA">
        <w:tc>
          <w:tcPr>
            <w:tcW w:w="9364" w:type="dxa"/>
            <w:gridSpan w:val="6"/>
            <w:tcBorders>
              <w:top w:val="single" w:sz="4" w:space="0" w:color="auto"/>
              <w:left w:val="single" w:sz="4" w:space="0" w:color="auto"/>
              <w:bottom w:val="single" w:sz="4" w:space="0" w:color="auto"/>
              <w:right w:val="single" w:sz="4" w:space="0" w:color="auto"/>
            </w:tcBorders>
            <w:hideMark/>
          </w:tcPr>
          <w:p w14:paraId="24365C53"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Table 8: </w:t>
            </w:r>
            <w:proofErr w:type="spellStart"/>
            <w:r w:rsidRPr="008C5F1C">
              <w:rPr>
                <w:rFonts w:ascii="Times New Roman" w:hAnsi="Times New Roman" w:cs="Times New Roman"/>
                <w:b/>
                <w:iCs/>
              </w:rPr>
              <w:t>Dimension</w:t>
            </w:r>
            <w:proofErr w:type="spellEnd"/>
            <w:r w:rsidRPr="008C5F1C">
              <w:rPr>
                <w:rFonts w:ascii="Times New Roman" w:hAnsi="Times New Roman" w:cs="Times New Roman"/>
                <w:b/>
                <w:iCs/>
              </w:rPr>
              <w:t xml:space="preserve"> 1 – </w:t>
            </w:r>
            <w:proofErr w:type="spellStart"/>
            <w:r w:rsidRPr="008C5F1C">
              <w:rPr>
                <w:rFonts w:ascii="Times New Roman" w:hAnsi="Times New Roman" w:cs="Times New Roman"/>
                <w:b/>
                <w:iCs/>
              </w:rPr>
              <w:t>intervention</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field</w:t>
            </w:r>
            <w:proofErr w:type="spellEnd"/>
          </w:p>
        </w:tc>
      </w:tr>
      <w:tr w:rsidR="001A64EA" w:rsidRPr="008C5F1C" w14:paraId="732E61BF" w14:textId="77777777" w:rsidTr="001A64EA">
        <w:trPr>
          <w:gridAfter w:val="1"/>
          <w:wAfter w:w="8" w:type="dxa"/>
        </w:trPr>
        <w:tc>
          <w:tcPr>
            <w:tcW w:w="962" w:type="dxa"/>
            <w:tcBorders>
              <w:top w:val="single" w:sz="4" w:space="0" w:color="auto"/>
              <w:left w:val="single" w:sz="4" w:space="0" w:color="auto"/>
              <w:bottom w:val="single" w:sz="4" w:space="0" w:color="auto"/>
              <w:right w:val="single" w:sz="4" w:space="0" w:color="auto"/>
            </w:tcBorders>
            <w:hideMark/>
          </w:tcPr>
          <w:p w14:paraId="6346A2D5"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Priority</w:t>
            </w:r>
            <w:proofErr w:type="spellEnd"/>
            <w:r w:rsidRPr="008C5F1C">
              <w:rPr>
                <w:rFonts w:ascii="Times New Roman" w:hAnsi="Times New Roman" w:cs="Times New Roman"/>
                <w:b/>
                <w:iCs/>
              </w:rPr>
              <w:t xml:space="preserve"> No</w:t>
            </w:r>
          </w:p>
        </w:tc>
        <w:tc>
          <w:tcPr>
            <w:tcW w:w="988" w:type="dxa"/>
            <w:tcBorders>
              <w:top w:val="single" w:sz="4" w:space="0" w:color="auto"/>
              <w:left w:val="single" w:sz="4" w:space="0" w:color="auto"/>
              <w:bottom w:val="single" w:sz="4" w:space="0" w:color="auto"/>
              <w:right w:val="single" w:sz="4" w:space="0" w:color="auto"/>
            </w:tcBorders>
            <w:hideMark/>
          </w:tcPr>
          <w:p w14:paraId="27E1A151"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Fund</w:t>
            </w:r>
          </w:p>
        </w:tc>
        <w:tc>
          <w:tcPr>
            <w:tcW w:w="1586" w:type="dxa"/>
            <w:tcBorders>
              <w:top w:val="single" w:sz="4" w:space="0" w:color="auto"/>
              <w:left w:val="single" w:sz="4" w:space="0" w:color="auto"/>
              <w:bottom w:val="single" w:sz="4" w:space="0" w:color="auto"/>
              <w:right w:val="single" w:sz="4" w:space="0" w:color="auto"/>
            </w:tcBorders>
            <w:hideMark/>
          </w:tcPr>
          <w:p w14:paraId="15F67566"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Category</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region</w:t>
            </w:r>
            <w:proofErr w:type="spellEnd"/>
          </w:p>
        </w:tc>
        <w:tc>
          <w:tcPr>
            <w:tcW w:w="4114" w:type="dxa"/>
            <w:tcBorders>
              <w:top w:val="single" w:sz="4" w:space="0" w:color="auto"/>
              <w:left w:val="single" w:sz="4" w:space="0" w:color="auto"/>
              <w:bottom w:val="single" w:sz="4" w:space="0" w:color="auto"/>
              <w:right w:val="single" w:sz="4" w:space="0" w:color="auto"/>
            </w:tcBorders>
            <w:hideMark/>
          </w:tcPr>
          <w:p w14:paraId="2B027CC8" w14:textId="77777777" w:rsidR="00653571" w:rsidRPr="008C5F1C" w:rsidRDefault="00653571" w:rsidP="00534127">
            <w:pPr>
              <w:rPr>
                <w:rFonts w:ascii="Times New Roman" w:hAnsi="Times New Roman" w:cs="Times New Roman"/>
                <w:b/>
                <w:iCs/>
              </w:rPr>
            </w:pPr>
            <w:r w:rsidRPr="008C5F1C">
              <w:rPr>
                <w:rFonts w:ascii="Times New Roman" w:hAnsi="Times New Roman" w:cs="Times New Roman"/>
                <w:b/>
                <w:iCs/>
              </w:rPr>
              <w:t xml:space="preserve">Code </w:t>
            </w:r>
          </w:p>
        </w:tc>
        <w:tc>
          <w:tcPr>
            <w:tcW w:w="1706" w:type="dxa"/>
            <w:tcBorders>
              <w:top w:val="single" w:sz="4" w:space="0" w:color="auto"/>
              <w:left w:val="single" w:sz="4" w:space="0" w:color="auto"/>
              <w:bottom w:val="single" w:sz="4" w:space="0" w:color="auto"/>
              <w:right w:val="single" w:sz="4" w:space="0" w:color="auto"/>
            </w:tcBorders>
            <w:hideMark/>
          </w:tcPr>
          <w:p w14:paraId="1979DD60" w14:textId="77777777" w:rsidR="00653571" w:rsidRPr="008C5F1C" w:rsidRDefault="00653571" w:rsidP="00534127">
            <w:pPr>
              <w:rPr>
                <w:rFonts w:ascii="Times New Roman" w:hAnsi="Times New Roman" w:cs="Times New Roman"/>
                <w:b/>
                <w:iCs/>
              </w:rPr>
            </w:pPr>
            <w:proofErr w:type="spellStart"/>
            <w:r w:rsidRPr="008C5F1C">
              <w:rPr>
                <w:rFonts w:ascii="Times New Roman" w:hAnsi="Times New Roman" w:cs="Times New Roman"/>
                <w:b/>
                <w:iCs/>
              </w:rPr>
              <w:t>Amount</w:t>
            </w:r>
            <w:proofErr w:type="spellEnd"/>
            <w:r w:rsidRPr="008C5F1C">
              <w:rPr>
                <w:rFonts w:ascii="Times New Roman" w:hAnsi="Times New Roman" w:cs="Times New Roman"/>
                <w:b/>
                <w:iCs/>
              </w:rPr>
              <w:t xml:space="preserve"> (EUR)</w:t>
            </w:r>
          </w:p>
        </w:tc>
      </w:tr>
      <w:tr w:rsidR="001A64EA" w:rsidRPr="008C5F1C" w14:paraId="4A6F2BB7" w14:textId="77777777" w:rsidTr="001A64EA">
        <w:trPr>
          <w:gridAfter w:val="1"/>
          <w:wAfter w:w="8" w:type="dxa"/>
        </w:trPr>
        <w:tc>
          <w:tcPr>
            <w:tcW w:w="962" w:type="dxa"/>
            <w:vMerge w:val="restart"/>
            <w:tcBorders>
              <w:top w:val="single" w:sz="4" w:space="0" w:color="auto"/>
              <w:left w:val="single" w:sz="4" w:space="0" w:color="auto"/>
              <w:right w:val="single" w:sz="4" w:space="0" w:color="auto"/>
            </w:tcBorders>
          </w:tcPr>
          <w:p w14:paraId="5568CD3A" w14:textId="77777777" w:rsidR="001A64EA" w:rsidRPr="008C5F1C" w:rsidRDefault="001A64EA" w:rsidP="001A64EA">
            <w:pPr>
              <w:rPr>
                <w:rFonts w:ascii="Times New Roman" w:hAnsi="Times New Roman" w:cs="Times New Roman"/>
                <w:b/>
                <w:iCs/>
              </w:rPr>
            </w:pPr>
            <w:r w:rsidRPr="008C5F1C">
              <w:rPr>
                <w:rFonts w:ascii="Times New Roman" w:hAnsi="Times New Roman" w:cs="Times New Roman"/>
                <w:b/>
                <w:iCs/>
              </w:rPr>
              <w:t>7</w:t>
            </w:r>
          </w:p>
        </w:tc>
        <w:tc>
          <w:tcPr>
            <w:tcW w:w="988" w:type="dxa"/>
            <w:vMerge w:val="restart"/>
            <w:tcBorders>
              <w:top w:val="single" w:sz="4" w:space="0" w:color="auto"/>
              <w:left w:val="single" w:sz="4" w:space="0" w:color="auto"/>
              <w:right w:val="single" w:sz="4" w:space="0" w:color="auto"/>
            </w:tcBorders>
          </w:tcPr>
          <w:p w14:paraId="30961931" w14:textId="35A1D878" w:rsidR="001A64EA" w:rsidRPr="008C5F1C" w:rsidRDefault="001A64EA" w:rsidP="001A64EA">
            <w:pPr>
              <w:rPr>
                <w:rFonts w:ascii="Times New Roman" w:hAnsi="Times New Roman" w:cs="Times New Roman"/>
                <w:b/>
                <w:iCs/>
                <w:u w:val="single"/>
              </w:rPr>
            </w:pPr>
            <w:r w:rsidRPr="008C5F1C">
              <w:rPr>
                <w:rFonts w:ascii="Times New Roman" w:hAnsi="Times New Roman" w:cs="Times New Roman"/>
                <w:b/>
                <w:iCs/>
              </w:rPr>
              <w:t>ERDF</w:t>
            </w:r>
          </w:p>
        </w:tc>
        <w:tc>
          <w:tcPr>
            <w:tcW w:w="1586" w:type="dxa"/>
            <w:vMerge w:val="restart"/>
            <w:tcBorders>
              <w:top w:val="single" w:sz="4" w:space="0" w:color="auto"/>
              <w:left w:val="single" w:sz="4" w:space="0" w:color="auto"/>
              <w:right w:val="single" w:sz="4" w:space="0" w:color="auto"/>
            </w:tcBorders>
          </w:tcPr>
          <w:p w14:paraId="09512E97" w14:textId="457A1B09" w:rsidR="001A64EA" w:rsidRPr="008C5F1C" w:rsidRDefault="001A64EA" w:rsidP="001A64EA">
            <w:pPr>
              <w:rPr>
                <w:rFonts w:ascii="Times New Roman" w:hAnsi="Times New Roman" w:cs="Times New Roman"/>
                <w:b/>
                <w:iCs/>
                <w:u w:val="single"/>
              </w:rPr>
            </w:pPr>
            <w:proofErr w:type="spellStart"/>
            <w:r w:rsidRPr="008C5F1C">
              <w:rPr>
                <w:rFonts w:ascii="Times New Roman" w:hAnsi="Times New Roman" w:cs="Times New Roman"/>
                <w:b/>
                <w:iCs/>
              </w:rPr>
              <w:t>Less</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developed</w:t>
            </w:r>
            <w:proofErr w:type="spellEnd"/>
          </w:p>
        </w:tc>
        <w:tc>
          <w:tcPr>
            <w:tcW w:w="4114" w:type="dxa"/>
            <w:tcBorders>
              <w:top w:val="single" w:sz="4" w:space="0" w:color="auto"/>
              <w:left w:val="single" w:sz="4" w:space="0" w:color="auto"/>
              <w:bottom w:val="single" w:sz="4" w:space="0" w:color="auto"/>
              <w:right w:val="single" w:sz="4" w:space="0" w:color="auto"/>
            </w:tcBorders>
          </w:tcPr>
          <w:p w14:paraId="0A751CC4" w14:textId="77777777" w:rsidR="001A64EA" w:rsidRPr="00533593" w:rsidRDefault="001A64EA" w:rsidP="001A64EA">
            <w:pPr>
              <w:spacing w:after="120" w:line="240" w:lineRule="auto"/>
              <w:rPr>
                <w:rFonts w:ascii="Times New Roman" w:hAnsi="Times New Roman" w:cs="Times New Roman"/>
                <w:b/>
                <w:iCs/>
                <w:sz w:val="20"/>
                <w:szCs w:val="20"/>
              </w:rPr>
            </w:pPr>
            <w:r w:rsidRPr="00533593">
              <w:rPr>
                <w:rFonts w:ascii="Times New Roman" w:hAnsi="Times New Roman" w:cs="Times New Roman"/>
                <w:b/>
                <w:iCs/>
              </w:rPr>
              <w:t>132</w:t>
            </w:r>
            <w:r w:rsidRPr="00533593">
              <w:rPr>
                <w:rFonts w:ascii="Times New Roman" w:hAnsi="Times New Roman" w:cs="Times New Roman"/>
                <w:b/>
                <w:iCs/>
                <w:sz w:val="20"/>
                <w:szCs w:val="20"/>
              </w:rPr>
              <w:t xml:space="preserve"> </w:t>
            </w:r>
            <w:r w:rsidRPr="00533593">
              <w:rPr>
                <w:rFonts w:ascii="Times New Roman" w:hAnsi="Times New Roman" w:cs="Times New Roman"/>
                <w:noProof/>
                <w:sz w:val="20"/>
                <w:szCs w:val="20"/>
              </w:rPr>
              <w:t>Îmbunătățirea capacității autorităților responsabile de programe și a organismelor implicate în implementarea fondurilor</w:t>
            </w:r>
          </w:p>
        </w:tc>
        <w:tc>
          <w:tcPr>
            <w:tcW w:w="1706" w:type="dxa"/>
            <w:vMerge w:val="restart"/>
            <w:tcBorders>
              <w:top w:val="single" w:sz="4" w:space="0" w:color="auto"/>
              <w:left w:val="single" w:sz="4" w:space="0" w:color="auto"/>
              <w:right w:val="single" w:sz="4" w:space="0" w:color="auto"/>
            </w:tcBorders>
          </w:tcPr>
          <w:p w14:paraId="49DD50BC" w14:textId="2080C3ED" w:rsidR="001A64EA" w:rsidRPr="008C5F1C" w:rsidRDefault="001A64EA" w:rsidP="001A64EA">
            <w:pPr>
              <w:jc w:val="right"/>
              <w:rPr>
                <w:rFonts w:ascii="Times New Roman" w:hAnsi="Times New Roman" w:cs="Times New Roman"/>
                <w:b/>
                <w:iCs/>
              </w:rPr>
            </w:pPr>
            <w:r w:rsidRPr="008C5F1C">
              <w:rPr>
                <w:rFonts w:ascii="Times New Roman" w:hAnsi="Times New Roman" w:cs="Times New Roman"/>
                <w:b/>
                <w:iCs/>
              </w:rPr>
              <w:t>52.758.081</w:t>
            </w:r>
          </w:p>
        </w:tc>
      </w:tr>
      <w:tr w:rsidR="001A64EA" w:rsidRPr="008C5F1C" w14:paraId="0E2FCE27" w14:textId="77777777" w:rsidTr="001A64EA">
        <w:trPr>
          <w:gridAfter w:val="1"/>
          <w:wAfter w:w="8" w:type="dxa"/>
        </w:trPr>
        <w:tc>
          <w:tcPr>
            <w:tcW w:w="962" w:type="dxa"/>
            <w:vMerge/>
            <w:tcBorders>
              <w:left w:val="single" w:sz="4" w:space="0" w:color="auto"/>
              <w:right w:val="single" w:sz="4" w:space="0" w:color="auto"/>
            </w:tcBorders>
          </w:tcPr>
          <w:p w14:paraId="25ECE925" w14:textId="77777777" w:rsidR="00205B19" w:rsidRPr="008C5F1C" w:rsidRDefault="00205B19" w:rsidP="00534127">
            <w:pPr>
              <w:rPr>
                <w:rFonts w:ascii="Times New Roman" w:hAnsi="Times New Roman" w:cs="Times New Roman"/>
                <w:b/>
                <w:iCs/>
                <w:u w:val="single"/>
              </w:rPr>
            </w:pPr>
          </w:p>
        </w:tc>
        <w:tc>
          <w:tcPr>
            <w:tcW w:w="988" w:type="dxa"/>
            <w:vMerge/>
            <w:tcBorders>
              <w:left w:val="single" w:sz="4" w:space="0" w:color="auto"/>
              <w:right w:val="single" w:sz="4" w:space="0" w:color="auto"/>
            </w:tcBorders>
          </w:tcPr>
          <w:p w14:paraId="0CB8E5DE" w14:textId="77777777" w:rsidR="00205B19" w:rsidRPr="008C5F1C" w:rsidRDefault="00205B19" w:rsidP="00534127">
            <w:pPr>
              <w:rPr>
                <w:rFonts w:ascii="Times New Roman" w:hAnsi="Times New Roman" w:cs="Times New Roman"/>
                <w:b/>
                <w:iCs/>
                <w:u w:val="single"/>
              </w:rPr>
            </w:pPr>
          </w:p>
        </w:tc>
        <w:tc>
          <w:tcPr>
            <w:tcW w:w="1586" w:type="dxa"/>
            <w:vMerge/>
            <w:tcBorders>
              <w:left w:val="single" w:sz="4" w:space="0" w:color="auto"/>
              <w:right w:val="single" w:sz="4" w:space="0" w:color="auto"/>
            </w:tcBorders>
          </w:tcPr>
          <w:p w14:paraId="2C573CAF" w14:textId="77777777" w:rsidR="00205B19" w:rsidRPr="008C5F1C" w:rsidRDefault="00205B19" w:rsidP="00534127">
            <w:pPr>
              <w:rPr>
                <w:rFonts w:ascii="Times New Roman" w:hAnsi="Times New Roman" w:cs="Times New Roman"/>
                <w:b/>
                <w:iCs/>
                <w:u w:val="single"/>
              </w:rPr>
            </w:pPr>
          </w:p>
        </w:tc>
        <w:tc>
          <w:tcPr>
            <w:tcW w:w="4114" w:type="dxa"/>
            <w:tcBorders>
              <w:top w:val="single" w:sz="4" w:space="0" w:color="auto"/>
              <w:left w:val="single" w:sz="4" w:space="0" w:color="auto"/>
              <w:bottom w:val="single" w:sz="4" w:space="0" w:color="auto"/>
              <w:right w:val="single" w:sz="4" w:space="0" w:color="auto"/>
            </w:tcBorders>
          </w:tcPr>
          <w:p w14:paraId="29BFC08B" w14:textId="77777777" w:rsidR="00205B19" w:rsidRPr="00533593" w:rsidRDefault="00205B19" w:rsidP="001A64EA">
            <w:pPr>
              <w:spacing w:after="120" w:line="240" w:lineRule="auto"/>
              <w:rPr>
                <w:rFonts w:ascii="Times New Roman" w:hAnsi="Times New Roman" w:cs="Times New Roman"/>
                <w:b/>
                <w:iCs/>
                <w:sz w:val="20"/>
                <w:szCs w:val="20"/>
              </w:rPr>
            </w:pPr>
            <w:r w:rsidRPr="00533593">
              <w:rPr>
                <w:rFonts w:ascii="Times New Roman" w:hAnsi="Times New Roman" w:cs="Times New Roman"/>
                <w:b/>
                <w:iCs/>
              </w:rPr>
              <w:t>140</w:t>
            </w:r>
            <w:r w:rsidRPr="00533593">
              <w:rPr>
                <w:rFonts w:ascii="Times New Roman" w:hAnsi="Times New Roman" w:cs="Times New Roman"/>
                <w:b/>
                <w:iCs/>
                <w:sz w:val="20"/>
                <w:szCs w:val="20"/>
              </w:rPr>
              <w:t xml:space="preserve"> </w:t>
            </w:r>
            <w:r w:rsidRPr="00533593">
              <w:rPr>
                <w:rFonts w:ascii="Times New Roman" w:hAnsi="Times New Roman" w:cs="Times New Roman"/>
                <w:noProof/>
                <w:sz w:val="20"/>
                <w:szCs w:val="20"/>
              </w:rPr>
              <w:t>Informare și comunicare</w:t>
            </w:r>
          </w:p>
        </w:tc>
        <w:tc>
          <w:tcPr>
            <w:tcW w:w="1706" w:type="dxa"/>
            <w:vMerge/>
            <w:tcBorders>
              <w:left w:val="single" w:sz="4" w:space="0" w:color="auto"/>
              <w:right w:val="single" w:sz="4" w:space="0" w:color="auto"/>
            </w:tcBorders>
          </w:tcPr>
          <w:p w14:paraId="3C4A6C76" w14:textId="1B1C573C" w:rsidR="00205B19" w:rsidRPr="008C5F1C" w:rsidRDefault="00205B19" w:rsidP="000C2D9A">
            <w:pPr>
              <w:jc w:val="right"/>
              <w:rPr>
                <w:rFonts w:ascii="Times New Roman" w:hAnsi="Times New Roman" w:cs="Times New Roman"/>
                <w:b/>
                <w:iCs/>
              </w:rPr>
            </w:pPr>
          </w:p>
        </w:tc>
      </w:tr>
      <w:tr w:rsidR="001A64EA" w:rsidRPr="008C5F1C" w14:paraId="608FE162" w14:textId="77777777" w:rsidTr="001A64EA">
        <w:trPr>
          <w:gridAfter w:val="1"/>
          <w:wAfter w:w="8" w:type="dxa"/>
        </w:trPr>
        <w:tc>
          <w:tcPr>
            <w:tcW w:w="962" w:type="dxa"/>
            <w:vMerge/>
            <w:tcBorders>
              <w:left w:val="single" w:sz="4" w:space="0" w:color="auto"/>
              <w:right w:val="single" w:sz="4" w:space="0" w:color="auto"/>
            </w:tcBorders>
          </w:tcPr>
          <w:p w14:paraId="5B045521" w14:textId="77777777" w:rsidR="00205B19" w:rsidRPr="008C5F1C" w:rsidRDefault="00205B19" w:rsidP="00534127">
            <w:pPr>
              <w:rPr>
                <w:rFonts w:ascii="Times New Roman" w:hAnsi="Times New Roman" w:cs="Times New Roman"/>
                <w:b/>
                <w:iCs/>
                <w:u w:val="single"/>
              </w:rPr>
            </w:pPr>
          </w:p>
        </w:tc>
        <w:tc>
          <w:tcPr>
            <w:tcW w:w="988" w:type="dxa"/>
            <w:vMerge/>
            <w:tcBorders>
              <w:left w:val="single" w:sz="4" w:space="0" w:color="auto"/>
              <w:right w:val="single" w:sz="4" w:space="0" w:color="auto"/>
            </w:tcBorders>
          </w:tcPr>
          <w:p w14:paraId="5042BE36" w14:textId="77777777" w:rsidR="00205B19" w:rsidRPr="008C5F1C" w:rsidRDefault="00205B19" w:rsidP="00534127">
            <w:pPr>
              <w:rPr>
                <w:rFonts w:ascii="Times New Roman" w:hAnsi="Times New Roman" w:cs="Times New Roman"/>
                <w:b/>
                <w:iCs/>
                <w:u w:val="single"/>
              </w:rPr>
            </w:pPr>
          </w:p>
        </w:tc>
        <w:tc>
          <w:tcPr>
            <w:tcW w:w="1586" w:type="dxa"/>
            <w:vMerge/>
            <w:tcBorders>
              <w:left w:val="single" w:sz="4" w:space="0" w:color="auto"/>
              <w:right w:val="single" w:sz="4" w:space="0" w:color="auto"/>
            </w:tcBorders>
          </w:tcPr>
          <w:p w14:paraId="2B87F4AF" w14:textId="77777777" w:rsidR="00205B19" w:rsidRPr="008C5F1C" w:rsidRDefault="00205B19" w:rsidP="00534127">
            <w:pPr>
              <w:rPr>
                <w:rFonts w:ascii="Times New Roman" w:hAnsi="Times New Roman" w:cs="Times New Roman"/>
                <w:b/>
                <w:iCs/>
                <w:u w:val="single"/>
              </w:rPr>
            </w:pPr>
          </w:p>
        </w:tc>
        <w:tc>
          <w:tcPr>
            <w:tcW w:w="4114" w:type="dxa"/>
            <w:tcBorders>
              <w:top w:val="single" w:sz="4" w:space="0" w:color="auto"/>
              <w:left w:val="single" w:sz="4" w:space="0" w:color="auto"/>
              <w:bottom w:val="single" w:sz="4" w:space="0" w:color="auto"/>
              <w:right w:val="single" w:sz="4" w:space="0" w:color="auto"/>
            </w:tcBorders>
          </w:tcPr>
          <w:p w14:paraId="19C2B9F7" w14:textId="77777777" w:rsidR="00205B19" w:rsidRPr="00533593" w:rsidRDefault="00205B19" w:rsidP="001A64EA">
            <w:pPr>
              <w:spacing w:after="120" w:line="240" w:lineRule="auto"/>
              <w:rPr>
                <w:rFonts w:ascii="Times New Roman" w:hAnsi="Times New Roman" w:cs="Times New Roman"/>
                <w:b/>
                <w:iCs/>
                <w:sz w:val="20"/>
                <w:szCs w:val="20"/>
              </w:rPr>
            </w:pPr>
            <w:r w:rsidRPr="00533593">
              <w:rPr>
                <w:rFonts w:ascii="Times New Roman" w:hAnsi="Times New Roman" w:cs="Times New Roman"/>
                <w:b/>
                <w:iCs/>
              </w:rPr>
              <w:t>141</w:t>
            </w:r>
            <w:r w:rsidRPr="00533593">
              <w:rPr>
                <w:rFonts w:ascii="Times New Roman" w:hAnsi="Times New Roman" w:cs="Times New Roman"/>
                <w:b/>
                <w:iCs/>
                <w:sz w:val="20"/>
                <w:szCs w:val="20"/>
              </w:rPr>
              <w:t xml:space="preserve"> </w:t>
            </w:r>
            <w:r w:rsidRPr="00533593">
              <w:rPr>
                <w:rFonts w:ascii="Times New Roman" w:hAnsi="Times New Roman" w:cs="Times New Roman"/>
                <w:noProof/>
                <w:sz w:val="20"/>
                <w:szCs w:val="20"/>
              </w:rPr>
              <w:t>Pregătire, implementare, monitorizare și control</w:t>
            </w:r>
          </w:p>
        </w:tc>
        <w:tc>
          <w:tcPr>
            <w:tcW w:w="1706" w:type="dxa"/>
            <w:vMerge/>
            <w:tcBorders>
              <w:left w:val="single" w:sz="4" w:space="0" w:color="auto"/>
              <w:right w:val="single" w:sz="4" w:space="0" w:color="auto"/>
            </w:tcBorders>
          </w:tcPr>
          <w:p w14:paraId="5E64EAC8" w14:textId="294B4F92" w:rsidR="00205B19" w:rsidRPr="008C5F1C" w:rsidRDefault="00205B19" w:rsidP="000C2D9A">
            <w:pPr>
              <w:jc w:val="right"/>
              <w:rPr>
                <w:rFonts w:ascii="Times New Roman" w:hAnsi="Times New Roman" w:cs="Times New Roman"/>
                <w:b/>
                <w:iCs/>
              </w:rPr>
            </w:pPr>
          </w:p>
        </w:tc>
      </w:tr>
      <w:tr w:rsidR="001A64EA" w:rsidRPr="008C5F1C" w14:paraId="4272135D" w14:textId="77777777" w:rsidTr="001A64EA">
        <w:trPr>
          <w:gridAfter w:val="1"/>
          <w:wAfter w:w="8" w:type="dxa"/>
          <w:trHeight w:val="304"/>
        </w:trPr>
        <w:tc>
          <w:tcPr>
            <w:tcW w:w="962" w:type="dxa"/>
            <w:vMerge/>
            <w:tcBorders>
              <w:left w:val="single" w:sz="4" w:space="0" w:color="auto"/>
              <w:right w:val="single" w:sz="4" w:space="0" w:color="auto"/>
            </w:tcBorders>
          </w:tcPr>
          <w:p w14:paraId="0AC64791" w14:textId="77777777" w:rsidR="00205B19" w:rsidRPr="008C5F1C" w:rsidRDefault="00205B19" w:rsidP="00534127">
            <w:pPr>
              <w:rPr>
                <w:rFonts w:ascii="Times New Roman" w:hAnsi="Times New Roman" w:cs="Times New Roman"/>
                <w:b/>
                <w:iCs/>
                <w:u w:val="single"/>
              </w:rPr>
            </w:pPr>
          </w:p>
        </w:tc>
        <w:tc>
          <w:tcPr>
            <w:tcW w:w="988" w:type="dxa"/>
            <w:vMerge/>
            <w:tcBorders>
              <w:left w:val="single" w:sz="4" w:space="0" w:color="auto"/>
              <w:right w:val="single" w:sz="4" w:space="0" w:color="auto"/>
            </w:tcBorders>
          </w:tcPr>
          <w:p w14:paraId="73B44CC8" w14:textId="77777777" w:rsidR="00205B19" w:rsidRPr="008C5F1C" w:rsidRDefault="00205B19" w:rsidP="00534127">
            <w:pPr>
              <w:rPr>
                <w:rFonts w:ascii="Times New Roman" w:hAnsi="Times New Roman" w:cs="Times New Roman"/>
                <w:b/>
                <w:iCs/>
                <w:u w:val="single"/>
              </w:rPr>
            </w:pPr>
          </w:p>
        </w:tc>
        <w:tc>
          <w:tcPr>
            <w:tcW w:w="1586" w:type="dxa"/>
            <w:vMerge/>
            <w:tcBorders>
              <w:left w:val="single" w:sz="4" w:space="0" w:color="auto"/>
              <w:right w:val="single" w:sz="4" w:space="0" w:color="auto"/>
            </w:tcBorders>
          </w:tcPr>
          <w:p w14:paraId="66F27CF4" w14:textId="77777777" w:rsidR="00205B19" w:rsidRPr="008C5F1C" w:rsidRDefault="00205B19" w:rsidP="00534127">
            <w:pPr>
              <w:rPr>
                <w:rFonts w:ascii="Times New Roman" w:hAnsi="Times New Roman" w:cs="Times New Roman"/>
                <w:b/>
                <w:iCs/>
                <w:u w:val="single"/>
              </w:rPr>
            </w:pPr>
          </w:p>
        </w:tc>
        <w:tc>
          <w:tcPr>
            <w:tcW w:w="4114" w:type="dxa"/>
            <w:tcBorders>
              <w:top w:val="single" w:sz="4" w:space="0" w:color="auto"/>
              <w:left w:val="single" w:sz="4" w:space="0" w:color="auto"/>
              <w:right w:val="single" w:sz="4" w:space="0" w:color="auto"/>
            </w:tcBorders>
          </w:tcPr>
          <w:p w14:paraId="7FB096D8" w14:textId="77777777" w:rsidR="00205B19" w:rsidRPr="001A64EA" w:rsidRDefault="00205B19" w:rsidP="001A64EA">
            <w:pPr>
              <w:spacing w:after="120" w:line="240" w:lineRule="auto"/>
              <w:rPr>
                <w:rFonts w:ascii="Times New Roman" w:hAnsi="Times New Roman" w:cs="Times New Roman"/>
                <w:b/>
                <w:iCs/>
              </w:rPr>
            </w:pPr>
            <w:r w:rsidRPr="001A64EA">
              <w:rPr>
                <w:rFonts w:ascii="Times New Roman" w:hAnsi="Times New Roman" w:cs="Times New Roman"/>
                <w:b/>
                <w:iCs/>
              </w:rPr>
              <w:t xml:space="preserve">142 </w:t>
            </w:r>
            <w:r w:rsidRPr="00533593">
              <w:rPr>
                <w:rFonts w:ascii="Times New Roman" w:hAnsi="Times New Roman" w:cs="Times New Roman"/>
                <w:noProof/>
                <w:sz w:val="20"/>
                <w:szCs w:val="20"/>
              </w:rPr>
              <w:t>Evaluare și studii, colectare de date</w:t>
            </w:r>
          </w:p>
        </w:tc>
        <w:tc>
          <w:tcPr>
            <w:tcW w:w="1706" w:type="dxa"/>
            <w:vMerge/>
            <w:tcBorders>
              <w:left w:val="single" w:sz="4" w:space="0" w:color="auto"/>
              <w:right w:val="single" w:sz="4" w:space="0" w:color="auto"/>
            </w:tcBorders>
          </w:tcPr>
          <w:p w14:paraId="3497E67D" w14:textId="49386569" w:rsidR="00205B19" w:rsidRPr="008C5F1C" w:rsidRDefault="00205B19" w:rsidP="000C2D9A">
            <w:pPr>
              <w:jc w:val="right"/>
              <w:rPr>
                <w:rFonts w:ascii="Times New Roman" w:hAnsi="Times New Roman" w:cs="Times New Roman"/>
                <w:b/>
                <w:iCs/>
              </w:rPr>
            </w:pPr>
          </w:p>
        </w:tc>
      </w:tr>
    </w:tbl>
    <w:p w14:paraId="3D329E09" w14:textId="25E7C963" w:rsidR="00547F0D" w:rsidRPr="008C5F1C" w:rsidRDefault="00547F0D" w:rsidP="00653571">
      <w:pPr>
        <w:rPr>
          <w:rFonts w:ascii="Times New Roman" w:hAnsi="Times New Roman" w:cs="Times New Roman"/>
          <w:b/>
          <w:bCs/>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2682"/>
        <w:gridCol w:w="1843"/>
        <w:gridCol w:w="1863"/>
      </w:tblGrid>
      <w:tr w:rsidR="00A33332" w:rsidRPr="008C5F1C" w14:paraId="2A3B58A9" w14:textId="77777777" w:rsidTr="00C50E5A">
        <w:tc>
          <w:tcPr>
            <w:tcW w:w="9371" w:type="dxa"/>
            <w:gridSpan w:val="5"/>
            <w:tcBorders>
              <w:top w:val="single" w:sz="4" w:space="0" w:color="auto"/>
              <w:left w:val="single" w:sz="4" w:space="0" w:color="auto"/>
              <w:bottom w:val="single" w:sz="4" w:space="0" w:color="auto"/>
              <w:right w:val="single" w:sz="4" w:space="0" w:color="auto"/>
            </w:tcBorders>
            <w:hideMark/>
          </w:tcPr>
          <w:p w14:paraId="67BBC9D8" w14:textId="77777777" w:rsidR="00A33332" w:rsidRPr="008C5F1C" w:rsidRDefault="00A33332" w:rsidP="00C50E5A">
            <w:pPr>
              <w:rPr>
                <w:rFonts w:ascii="Times New Roman" w:hAnsi="Times New Roman" w:cs="Times New Roman"/>
                <w:b/>
                <w:iCs/>
              </w:rPr>
            </w:pPr>
            <w:r w:rsidRPr="008C5F1C">
              <w:rPr>
                <w:rFonts w:ascii="Times New Roman" w:hAnsi="Times New Roman" w:cs="Times New Roman"/>
                <w:b/>
                <w:iCs/>
              </w:rPr>
              <w:t xml:space="preserve">Table 5: </w:t>
            </w:r>
            <w:proofErr w:type="spellStart"/>
            <w:r w:rsidRPr="008C5F1C">
              <w:rPr>
                <w:rFonts w:ascii="Times New Roman" w:hAnsi="Times New Roman" w:cs="Times New Roman"/>
                <w:b/>
                <w:iCs/>
              </w:rPr>
              <w:t>Dimension</w:t>
            </w:r>
            <w:proofErr w:type="spellEnd"/>
            <w:r w:rsidRPr="008C5F1C">
              <w:rPr>
                <w:rFonts w:ascii="Times New Roman" w:hAnsi="Times New Roman" w:cs="Times New Roman"/>
                <w:b/>
                <w:iCs/>
              </w:rPr>
              <w:t xml:space="preserve"> 2 – </w:t>
            </w:r>
            <w:proofErr w:type="spellStart"/>
            <w:r w:rsidRPr="008C5F1C">
              <w:rPr>
                <w:rFonts w:ascii="Times New Roman" w:hAnsi="Times New Roman" w:cs="Times New Roman"/>
                <w:b/>
                <w:iCs/>
              </w:rPr>
              <w:t>form</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support</w:t>
            </w:r>
            <w:proofErr w:type="spellEnd"/>
          </w:p>
        </w:tc>
      </w:tr>
      <w:tr w:rsidR="00A33332" w:rsidRPr="008C5F1C" w14:paraId="380D2D57" w14:textId="77777777" w:rsidTr="00A33332">
        <w:tc>
          <w:tcPr>
            <w:tcW w:w="1599" w:type="dxa"/>
            <w:tcBorders>
              <w:top w:val="single" w:sz="4" w:space="0" w:color="auto"/>
              <w:left w:val="single" w:sz="4" w:space="0" w:color="auto"/>
              <w:bottom w:val="single" w:sz="4" w:space="0" w:color="auto"/>
              <w:right w:val="single" w:sz="4" w:space="0" w:color="auto"/>
            </w:tcBorders>
            <w:hideMark/>
          </w:tcPr>
          <w:p w14:paraId="41C5022B" w14:textId="77777777" w:rsidR="00A33332" w:rsidRPr="008C5F1C" w:rsidRDefault="00A33332" w:rsidP="00C50E5A">
            <w:pPr>
              <w:rPr>
                <w:rFonts w:ascii="Times New Roman" w:hAnsi="Times New Roman" w:cs="Times New Roman"/>
                <w:b/>
                <w:iCs/>
              </w:rPr>
            </w:pPr>
            <w:proofErr w:type="spellStart"/>
            <w:r w:rsidRPr="008C5F1C">
              <w:rPr>
                <w:rFonts w:ascii="Times New Roman" w:hAnsi="Times New Roman" w:cs="Times New Roman"/>
                <w:b/>
                <w:iCs/>
              </w:rPr>
              <w:t>Priority</w:t>
            </w:r>
            <w:proofErr w:type="spellEnd"/>
            <w:r w:rsidRPr="008C5F1C">
              <w:rPr>
                <w:rFonts w:ascii="Times New Roman" w:hAnsi="Times New Roman" w:cs="Times New Roman"/>
                <w:b/>
                <w:iCs/>
              </w:rPr>
              <w:t xml:space="preserve"> No</w:t>
            </w:r>
          </w:p>
        </w:tc>
        <w:tc>
          <w:tcPr>
            <w:tcW w:w="1384" w:type="dxa"/>
            <w:tcBorders>
              <w:top w:val="single" w:sz="4" w:space="0" w:color="auto"/>
              <w:left w:val="single" w:sz="4" w:space="0" w:color="auto"/>
              <w:bottom w:val="single" w:sz="4" w:space="0" w:color="auto"/>
              <w:right w:val="single" w:sz="4" w:space="0" w:color="auto"/>
            </w:tcBorders>
            <w:hideMark/>
          </w:tcPr>
          <w:p w14:paraId="3DF0FCFE" w14:textId="77777777" w:rsidR="00A33332" w:rsidRPr="008C5F1C" w:rsidRDefault="00A33332" w:rsidP="00C50E5A">
            <w:pPr>
              <w:rPr>
                <w:rFonts w:ascii="Times New Roman" w:hAnsi="Times New Roman" w:cs="Times New Roman"/>
                <w:b/>
                <w:iCs/>
              </w:rPr>
            </w:pPr>
            <w:r w:rsidRPr="008C5F1C">
              <w:rPr>
                <w:rFonts w:ascii="Times New Roman" w:hAnsi="Times New Roman" w:cs="Times New Roman"/>
                <w:b/>
                <w:iCs/>
              </w:rPr>
              <w:t>Fund</w:t>
            </w:r>
          </w:p>
        </w:tc>
        <w:tc>
          <w:tcPr>
            <w:tcW w:w="2682" w:type="dxa"/>
            <w:tcBorders>
              <w:top w:val="single" w:sz="4" w:space="0" w:color="auto"/>
              <w:left w:val="single" w:sz="4" w:space="0" w:color="auto"/>
              <w:bottom w:val="single" w:sz="4" w:space="0" w:color="auto"/>
              <w:right w:val="single" w:sz="4" w:space="0" w:color="auto"/>
            </w:tcBorders>
            <w:hideMark/>
          </w:tcPr>
          <w:p w14:paraId="61268027" w14:textId="77777777" w:rsidR="00A33332" w:rsidRPr="008C5F1C" w:rsidRDefault="00A33332" w:rsidP="00C50E5A">
            <w:pPr>
              <w:rPr>
                <w:rFonts w:ascii="Times New Roman" w:hAnsi="Times New Roman" w:cs="Times New Roman"/>
                <w:b/>
                <w:iCs/>
              </w:rPr>
            </w:pPr>
            <w:proofErr w:type="spellStart"/>
            <w:r w:rsidRPr="008C5F1C">
              <w:rPr>
                <w:rFonts w:ascii="Times New Roman" w:hAnsi="Times New Roman" w:cs="Times New Roman"/>
                <w:b/>
                <w:iCs/>
              </w:rPr>
              <w:t>Category</w:t>
            </w:r>
            <w:proofErr w:type="spellEnd"/>
            <w:r w:rsidRPr="008C5F1C">
              <w:rPr>
                <w:rFonts w:ascii="Times New Roman" w:hAnsi="Times New Roman" w:cs="Times New Roman"/>
                <w:b/>
                <w:iCs/>
              </w:rPr>
              <w:t xml:space="preserve"> of </w:t>
            </w:r>
            <w:proofErr w:type="spellStart"/>
            <w:r w:rsidRPr="008C5F1C">
              <w:rPr>
                <w:rFonts w:ascii="Times New Roman" w:hAnsi="Times New Roman" w:cs="Times New Roman"/>
                <w:b/>
                <w:iCs/>
              </w:rPr>
              <w:t>region</w:t>
            </w:r>
            <w:proofErr w:type="spellEnd"/>
            <w:r w:rsidRPr="008C5F1C">
              <w:rPr>
                <w:rFonts w:ascii="Times New Roman" w:hAnsi="Times New Roman" w:cs="Times New Roman"/>
                <w:b/>
                <w:iCs/>
                <w:vertAlign w:val="superscript"/>
              </w:rPr>
              <w:footnoteReference w:id="65"/>
            </w:r>
          </w:p>
        </w:tc>
        <w:tc>
          <w:tcPr>
            <w:tcW w:w="1843" w:type="dxa"/>
            <w:tcBorders>
              <w:top w:val="single" w:sz="4" w:space="0" w:color="auto"/>
              <w:left w:val="single" w:sz="4" w:space="0" w:color="auto"/>
              <w:bottom w:val="single" w:sz="4" w:space="0" w:color="auto"/>
              <w:right w:val="single" w:sz="4" w:space="0" w:color="auto"/>
            </w:tcBorders>
            <w:hideMark/>
          </w:tcPr>
          <w:p w14:paraId="1D0F36E1" w14:textId="77777777" w:rsidR="00A33332" w:rsidRPr="008C5F1C" w:rsidRDefault="00A33332" w:rsidP="00C50E5A">
            <w:pPr>
              <w:rPr>
                <w:rFonts w:ascii="Times New Roman" w:hAnsi="Times New Roman" w:cs="Times New Roman"/>
                <w:b/>
                <w:iCs/>
              </w:rPr>
            </w:pPr>
            <w:r w:rsidRPr="008C5F1C">
              <w:rPr>
                <w:rFonts w:ascii="Times New Roman" w:hAnsi="Times New Roman" w:cs="Times New Roman"/>
                <w:b/>
                <w:iCs/>
              </w:rPr>
              <w:t xml:space="preserve">Code </w:t>
            </w:r>
          </w:p>
        </w:tc>
        <w:tc>
          <w:tcPr>
            <w:tcW w:w="1863" w:type="dxa"/>
            <w:tcBorders>
              <w:top w:val="single" w:sz="4" w:space="0" w:color="auto"/>
              <w:left w:val="single" w:sz="4" w:space="0" w:color="auto"/>
              <w:bottom w:val="single" w:sz="4" w:space="0" w:color="auto"/>
              <w:right w:val="single" w:sz="4" w:space="0" w:color="auto"/>
            </w:tcBorders>
            <w:hideMark/>
          </w:tcPr>
          <w:p w14:paraId="6BB91FFD" w14:textId="77777777" w:rsidR="00A33332" w:rsidRPr="008C5F1C" w:rsidRDefault="00A33332" w:rsidP="00C50E5A">
            <w:pPr>
              <w:rPr>
                <w:rFonts w:ascii="Times New Roman" w:hAnsi="Times New Roman" w:cs="Times New Roman"/>
                <w:b/>
                <w:iCs/>
              </w:rPr>
            </w:pPr>
            <w:proofErr w:type="spellStart"/>
            <w:r w:rsidRPr="008C5F1C">
              <w:rPr>
                <w:rFonts w:ascii="Times New Roman" w:hAnsi="Times New Roman" w:cs="Times New Roman"/>
                <w:b/>
                <w:iCs/>
              </w:rPr>
              <w:t>Amount</w:t>
            </w:r>
            <w:proofErr w:type="spellEnd"/>
            <w:r w:rsidRPr="008C5F1C">
              <w:rPr>
                <w:rFonts w:ascii="Times New Roman" w:hAnsi="Times New Roman" w:cs="Times New Roman"/>
                <w:b/>
                <w:iCs/>
              </w:rPr>
              <w:t xml:space="preserve"> (EUR)</w:t>
            </w:r>
          </w:p>
        </w:tc>
      </w:tr>
      <w:tr w:rsidR="00A33332" w:rsidRPr="008C5F1C" w14:paraId="6E7866C2" w14:textId="77777777" w:rsidTr="00A33332">
        <w:tc>
          <w:tcPr>
            <w:tcW w:w="1599" w:type="dxa"/>
            <w:tcBorders>
              <w:top w:val="single" w:sz="4" w:space="0" w:color="auto"/>
              <w:left w:val="single" w:sz="4" w:space="0" w:color="auto"/>
              <w:bottom w:val="single" w:sz="4" w:space="0" w:color="auto"/>
              <w:right w:val="single" w:sz="4" w:space="0" w:color="auto"/>
            </w:tcBorders>
          </w:tcPr>
          <w:p w14:paraId="6C9122F7" w14:textId="6F32DADB" w:rsidR="00A33332" w:rsidRPr="008C5F1C" w:rsidRDefault="00A33332" w:rsidP="00C50E5A">
            <w:pPr>
              <w:rPr>
                <w:rFonts w:ascii="Times New Roman" w:hAnsi="Times New Roman" w:cs="Times New Roman"/>
                <w:b/>
                <w:bCs/>
                <w:iCs/>
              </w:rPr>
            </w:pPr>
            <w:r w:rsidRPr="008C5F1C">
              <w:rPr>
                <w:rFonts w:ascii="Times New Roman" w:hAnsi="Times New Roman" w:cs="Times New Roman"/>
                <w:b/>
                <w:bCs/>
                <w:iCs/>
              </w:rPr>
              <w:t>7</w:t>
            </w:r>
          </w:p>
        </w:tc>
        <w:tc>
          <w:tcPr>
            <w:tcW w:w="1384" w:type="dxa"/>
            <w:tcBorders>
              <w:top w:val="single" w:sz="4" w:space="0" w:color="auto"/>
              <w:left w:val="single" w:sz="4" w:space="0" w:color="auto"/>
              <w:bottom w:val="single" w:sz="4" w:space="0" w:color="auto"/>
              <w:right w:val="single" w:sz="4" w:space="0" w:color="auto"/>
            </w:tcBorders>
          </w:tcPr>
          <w:p w14:paraId="16F75F0F" w14:textId="77777777" w:rsidR="00A33332" w:rsidRPr="008C5F1C" w:rsidRDefault="00A33332" w:rsidP="00C50E5A">
            <w:pPr>
              <w:rPr>
                <w:rFonts w:ascii="Times New Roman" w:hAnsi="Times New Roman" w:cs="Times New Roman"/>
                <w:b/>
                <w:iCs/>
              </w:rPr>
            </w:pPr>
            <w:r w:rsidRPr="008C5F1C">
              <w:rPr>
                <w:rFonts w:ascii="Times New Roman" w:hAnsi="Times New Roman" w:cs="Times New Roman"/>
                <w:b/>
                <w:iCs/>
              </w:rPr>
              <w:t>ERDF</w:t>
            </w:r>
          </w:p>
        </w:tc>
        <w:tc>
          <w:tcPr>
            <w:tcW w:w="2682" w:type="dxa"/>
            <w:tcBorders>
              <w:top w:val="single" w:sz="4" w:space="0" w:color="auto"/>
              <w:left w:val="single" w:sz="4" w:space="0" w:color="auto"/>
              <w:bottom w:val="single" w:sz="4" w:space="0" w:color="auto"/>
              <w:right w:val="single" w:sz="4" w:space="0" w:color="auto"/>
            </w:tcBorders>
          </w:tcPr>
          <w:p w14:paraId="2B0689B5" w14:textId="77777777" w:rsidR="00A33332" w:rsidRPr="008C5F1C" w:rsidRDefault="00A33332" w:rsidP="00C50E5A">
            <w:pPr>
              <w:rPr>
                <w:rFonts w:ascii="Times New Roman" w:hAnsi="Times New Roman" w:cs="Times New Roman"/>
                <w:b/>
                <w:iCs/>
              </w:rPr>
            </w:pPr>
            <w:proofErr w:type="spellStart"/>
            <w:r w:rsidRPr="008C5F1C">
              <w:rPr>
                <w:rFonts w:ascii="Times New Roman" w:hAnsi="Times New Roman" w:cs="Times New Roman"/>
                <w:b/>
                <w:iCs/>
              </w:rPr>
              <w:t>Less</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developed</w:t>
            </w:r>
            <w:proofErr w:type="spellEnd"/>
          </w:p>
        </w:tc>
        <w:tc>
          <w:tcPr>
            <w:tcW w:w="1843" w:type="dxa"/>
            <w:tcBorders>
              <w:top w:val="single" w:sz="4" w:space="0" w:color="auto"/>
              <w:left w:val="single" w:sz="4" w:space="0" w:color="auto"/>
              <w:bottom w:val="single" w:sz="4" w:space="0" w:color="auto"/>
              <w:right w:val="single" w:sz="4" w:space="0" w:color="auto"/>
            </w:tcBorders>
          </w:tcPr>
          <w:p w14:paraId="34DDB4A1" w14:textId="10EA0CD9" w:rsidR="00A33332" w:rsidRPr="008C5F1C" w:rsidRDefault="00A33332" w:rsidP="00C50E5A">
            <w:pPr>
              <w:rPr>
                <w:rFonts w:ascii="Times New Roman" w:hAnsi="Times New Roman" w:cs="Times New Roman"/>
                <w:b/>
                <w:iCs/>
              </w:rPr>
            </w:pPr>
            <w:r w:rsidRPr="008C5F1C">
              <w:rPr>
                <w:rFonts w:ascii="Times New Roman" w:hAnsi="Times New Roman" w:cs="Times New Roman"/>
                <w:b/>
                <w:iCs/>
              </w:rPr>
              <w:t>TA</w:t>
            </w:r>
          </w:p>
        </w:tc>
        <w:tc>
          <w:tcPr>
            <w:tcW w:w="1863" w:type="dxa"/>
            <w:tcBorders>
              <w:top w:val="single" w:sz="4" w:space="0" w:color="auto"/>
              <w:left w:val="single" w:sz="4" w:space="0" w:color="auto"/>
              <w:bottom w:val="single" w:sz="4" w:space="0" w:color="auto"/>
              <w:right w:val="single" w:sz="4" w:space="0" w:color="auto"/>
            </w:tcBorders>
          </w:tcPr>
          <w:p w14:paraId="38675017" w14:textId="56D54A61" w:rsidR="00A33332" w:rsidRPr="008C5F1C" w:rsidRDefault="008D169D" w:rsidP="00C50E5A">
            <w:pPr>
              <w:jc w:val="right"/>
              <w:rPr>
                <w:rFonts w:ascii="Times New Roman" w:hAnsi="Times New Roman" w:cs="Times New Roman"/>
                <w:b/>
                <w:iCs/>
              </w:rPr>
            </w:pPr>
            <w:r w:rsidRPr="008C5F1C">
              <w:rPr>
                <w:rFonts w:ascii="Times New Roman" w:hAnsi="Times New Roman" w:cs="Times New Roman"/>
                <w:b/>
                <w:iCs/>
              </w:rPr>
              <w:t>52.758.081</w:t>
            </w:r>
          </w:p>
        </w:tc>
      </w:tr>
      <w:tr w:rsidR="00A33332" w:rsidRPr="008C5F1C" w14:paraId="2C122A0F" w14:textId="77777777" w:rsidTr="00A33332">
        <w:tc>
          <w:tcPr>
            <w:tcW w:w="1599" w:type="dxa"/>
            <w:tcBorders>
              <w:top w:val="single" w:sz="4" w:space="0" w:color="auto"/>
              <w:left w:val="single" w:sz="4" w:space="0" w:color="auto"/>
              <w:bottom w:val="single" w:sz="4" w:space="0" w:color="auto"/>
              <w:right w:val="single" w:sz="4" w:space="0" w:color="auto"/>
            </w:tcBorders>
          </w:tcPr>
          <w:p w14:paraId="1C0B099A" w14:textId="2D8BF4B1" w:rsidR="00A33332" w:rsidRPr="008C5F1C" w:rsidRDefault="00A33332" w:rsidP="00C50E5A">
            <w:pPr>
              <w:rPr>
                <w:rFonts w:ascii="Times New Roman" w:hAnsi="Times New Roman" w:cs="Times New Roman"/>
                <w:b/>
                <w:bCs/>
                <w:iCs/>
              </w:rPr>
            </w:pPr>
            <w:r w:rsidRPr="008C5F1C">
              <w:rPr>
                <w:rFonts w:ascii="Times New Roman" w:hAnsi="Times New Roman" w:cs="Times New Roman"/>
                <w:b/>
                <w:bCs/>
                <w:iCs/>
              </w:rPr>
              <w:t>7</w:t>
            </w:r>
          </w:p>
        </w:tc>
        <w:tc>
          <w:tcPr>
            <w:tcW w:w="1384" w:type="dxa"/>
            <w:tcBorders>
              <w:top w:val="single" w:sz="4" w:space="0" w:color="auto"/>
              <w:left w:val="single" w:sz="4" w:space="0" w:color="auto"/>
              <w:bottom w:val="single" w:sz="4" w:space="0" w:color="auto"/>
              <w:right w:val="single" w:sz="4" w:space="0" w:color="auto"/>
            </w:tcBorders>
          </w:tcPr>
          <w:p w14:paraId="6E7C2CCA" w14:textId="68E0BBDB" w:rsidR="00A33332" w:rsidRPr="008C5F1C" w:rsidRDefault="008D169D" w:rsidP="00C50E5A">
            <w:pPr>
              <w:rPr>
                <w:rFonts w:ascii="Times New Roman" w:hAnsi="Times New Roman" w:cs="Times New Roman"/>
                <w:b/>
                <w:iCs/>
              </w:rPr>
            </w:pPr>
            <w:r w:rsidRPr="008C5F1C">
              <w:rPr>
                <w:rFonts w:ascii="Times New Roman" w:hAnsi="Times New Roman" w:cs="Times New Roman"/>
                <w:b/>
                <w:iCs/>
              </w:rPr>
              <w:t>CN</w:t>
            </w:r>
          </w:p>
        </w:tc>
        <w:tc>
          <w:tcPr>
            <w:tcW w:w="2682" w:type="dxa"/>
            <w:tcBorders>
              <w:top w:val="single" w:sz="4" w:space="0" w:color="auto"/>
              <w:left w:val="single" w:sz="4" w:space="0" w:color="auto"/>
              <w:bottom w:val="single" w:sz="4" w:space="0" w:color="auto"/>
              <w:right w:val="single" w:sz="4" w:space="0" w:color="auto"/>
            </w:tcBorders>
          </w:tcPr>
          <w:p w14:paraId="2CCF250A" w14:textId="77777777" w:rsidR="00A33332" w:rsidRPr="008C5F1C" w:rsidRDefault="00A33332" w:rsidP="00C50E5A">
            <w:pPr>
              <w:rPr>
                <w:rFonts w:ascii="Times New Roman" w:hAnsi="Times New Roman" w:cs="Times New Roman"/>
                <w:b/>
                <w:iCs/>
              </w:rPr>
            </w:pPr>
            <w:proofErr w:type="spellStart"/>
            <w:r w:rsidRPr="008C5F1C">
              <w:rPr>
                <w:rFonts w:ascii="Times New Roman" w:hAnsi="Times New Roman" w:cs="Times New Roman"/>
                <w:b/>
                <w:iCs/>
              </w:rPr>
              <w:t>Less</w:t>
            </w:r>
            <w:proofErr w:type="spellEnd"/>
            <w:r w:rsidRPr="008C5F1C">
              <w:rPr>
                <w:rFonts w:ascii="Times New Roman" w:hAnsi="Times New Roman" w:cs="Times New Roman"/>
                <w:b/>
                <w:iCs/>
              </w:rPr>
              <w:t xml:space="preserve"> </w:t>
            </w:r>
            <w:proofErr w:type="spellStart"/>
            <w:r w:rsidRPr="008C5F1C">
              <w:rPr>
                <w:rFonts w:ascii="Times New Roman" w:hAnsi="Times New Roman" w:cs="Times New Roman"/>
                <w:b/>
                <w:iCs/>
              </w:rPr>
              <w:t>developed</w:t>
            </w:r>
            <w:proofErr w:type="spellEnd"/>
          </w:p>
        </w:tc>
        <w:tc>
          <w:tcPr>
            <w:tcW w:w="1843" w:type="dxa"/>
            <w:tcBorders>
              <w:top w:val="single" w:sz="4" w:space="0" w:color="auto"/>
              <w:left w:val="single" w:sz="4" w:space="0" w:color="auto"/>
              <w:bottom w:val="single" w:sz="4" w:space="0" w:color="auto"/>
              <w:right w:val="single" w:sz="4" w:space="0" w:color="auto"/>
            </w:tcBorders>
          </w:tcPr>
          <w:p w14:paraId="21CCBA97" w14:textId="6A4A79B4" w:rsidR="00A33332" w:rsidRPr="008C5F1C" w:rsidRDefault="00A33332" w:rsidP="00C50E5A">
            <w:pPr>
              <w:rPr>
                <w:rFonts w:ascii="Times New Roman" w:hAnsi="Times New Roman" w:cs="Times New Roman"/>
                <w:b/>
                <w:iCs/>
              </w:rPr>
            </w:pPr>
            <w:r w:rsidRPr="008C5F1C">
              <w:rPr>
                <w:rFonts w:ascii="Times New Roman" w:hAnsi="Times New Roman" w:cs="Times New Roman"/>
                <w:b/>
                <w:iCs/>
              </w:rPr>
              <w:t>TA</w:t>
            </w:r>
          </w:p>
        </w:tc>
        <w:tc>
          <w:tcPr>
            <w:tcW w:w="1863" w:type="dxa"/>
            <w:tcBorders>
              <w:top w:val="single" w:sz="4" w:space="0" w:color="auto"/>
              <w:left w:val="single" w:sz="4" w:space="0" w:color="auto"/>
              <w:bottom w:val="single" w:sz="4" w:space="0" w:color="auto"/>
              <w:right w:val="single" w:sz="4" w:space="0" w:color="auto"/>
            </w:tcBorders>
          </w:tcPr>
          <w:p w14:paraId="461EF10C" w14:textId="67BAF5EE" w:rsidR="00A33332" w:rsidRPr="008C5F1C" w:rsidRDefault="008D169D" w:rsidP="00C50E5A">
            <w:pPr>
              <w:jc w:val="right"/>
              <w:rPr>
                <w:rFonts w:ascii="Times New Roman" w:hAnsi="Times New Roman" w:cs="Times New Roman"/>
                <w:b/>
                <w:iCs/>
              </w:rPr>
            </w:pPr>
            <w:r w:rsidRPr="008C5F1C">
              <w:rPr>
                <w:rFonts w:ascii="Times New Roman" w:hAnsi="Times New Roman" w:cs="Times New Roman"/>
                <w:b/>
                <w:iCs/>
              </w:rPr>
              <w:t>9.310.250</w:t>
            </w:r>
          </w:p>
        </w:tc>
      </w:tr>
    </w:tbl>
    <w:p w14:paraId="59E58267" w14:textId="77777777" w:rsidR="00547F0D" w:rsidRPr="008C5F1C" w:rsidRDefault="00547F0D">
      <w:pPr>
        <w:spacing w:after="160" w:line="259" w:lineRule="auto"/>
        <w:rPr>
          <w:rFonts w:ascii="Times New Roman" w:hAnsi="Times New Roman" w:cs="Times New Roman"/>
          <w:b/>
          <w:bCs/>
        </w:rPr>
      </w:pPr>
      <w:r w:rsidRPr="008C5F1C">
        <w:rPr>
          <w:rFonts w:ascii="Times New Roman" w:hAnsi="Times New Roman" w:cs="Times New Roman"/>
          <w:b/>
          <w:bCs/>
        </w:rPr>
        <w:br w:type="page"/>
      </w:r>
    </w:p>
    <w:p w14:paraId="54C8A007" w14:textId="77777777" w:rsidR="00653571" w:rsidRPr="008C5F1C" w:rsidRDefault="00653571" w:rsidP="00653571">
      <w:pPr>
        <w:rPr>
          <w:rFonts w:ascii="Times New Roman" w:hAnsi="Times New Roman" w:cs="Times New Roman"/>
          <w:b/>
          <w:bCs/>
        </w:rPr>
      </w:pPr>
    </w:p>
    <w:p w14:paraId="2FB01AFD" w14:textId="77777777" w:rsidR="00653571" w:rsidRPr="008C5F1C" w:rsidRDefault="00653571" w:rsidP="00653571">
      <w:pPr>
        <w:pStyle w:val="Heading1"/>
        <w:numPr>
          <w:ilvl w:val="0"/>
          <w:numId w:val="0"/>
        </w:numPr>
        <w:ind w:left="851" w:hanging="851"/>
        <w:rPr>
          <w:rFonts w:cs="Times New Roman"/>
          <w:lang w:val="ro-RO"/>
        </w:rPr>
      </w:pPr>
      <w:bookmarkStart w:id="133" w:name="_Toc39840950"/>
      <w:r w:rsidRPr="008C5F1C">
        <w:rPr>
          <w:rStyle w:val="Heading1Char"/>
          <w:rFonts w:cs="Times New Roman"/>
          <w:bCs/>
          <w:lang w:val="ro-RO"/>
        </w:rPr>
        <w:t>3</w:t>
      </w:r>
      <w:r w:rsidRPr="008C5F1C">
        <w:rPr>
          <w:rFonts w:cs="Times New Roman"/>
          <w:b w:val="0"/>
          <w:bCs/>
          <w:lang w:val="ro-RO"/>
        </w:rPr>
        <w:t>. Financial</w:t>
      </w:r>
      <w:r w:rsidRPr="008C5F1C">
        <w:rPr>
          <w:rFonts w:cs="Times New Roman"/>
          <w:lang w:val="ro-RO"/>
        </w:rPr>
        <w:t xml:space="preserve"> plan</w:t>
      </w:r>
      <w:bookmarkEnd w:id="133"/>
    </w:p>
    <w:p w14:paraId="12082BB6" w14:textId="77777777" w:rsidR="00653571" w:rsidRPr="008C5F1C" w:rsidRDefault="00653571" w:rsidP="00653571">
      <w:pPr>
        <w:rPr>
          <w:rFonts w:ascii="Times New Roman" w:hAnsi="Times New Roman" w:cs="Times New Roman"/>
          <w:i/>
        </w:rPr>
      </w:pPr>
      <w:proofErr w:type="spellStart"/>
      <w:r w:rsidRPr="008C5F1C">
        <w:rPr>
          <w:rFonts w:ascii="Times New Roman" w:hAnsi="Times New Roman" w:cs="Times New Roman"/>
          <w:i/>
        </w:rPr>
        <w:t>Reference</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Article</w:t>
      </w:r>
      <w:proofErr w:type="spellEnd"/>
      <w:r w:rsidRPr="008C5F1C">
        <w:rPr>
          <w:rFonts w:ascii="Times New Roman" w:hAnsi="Times New Roman" w:cs="Times New Roman"/>
          <w:i/>
        </w:rPr>
        <w:t xml:space="preserve"> 17(3)(f)(i)-(iii); </w:t>
      </w:r>
      <w:proofErr w:type="spellStart"/>
      <w:r w:rsidRPr="008C5F1C">
        <w:rPr>
          <w:rFonts w:ascii="Times New Roman" w:hAnsi="Times New Roman" w:cs="Times New Roman"/>
          <w:i/>
        </w:rPr>
        <w:t>Article</w:t>
      </w:r>
      <w:proofErr w:type="spellEnd"/>
      <w:r w:rsidRPr="008C5F1C">
        <w:rPr>
          <w:rFonts w:ascii="Times New Roman" w:hAnsi="Times New Roman" w:cs="Times New Roman"/>
          <w:i/>
        </w:rPr>
        <w:t xml:space="preserve"> 106(1)-(3), </w:t>
      </w:r>
      <w:proofErr w:type="spellStart"/>
      <w:r w:rsidRPr="008C5F1C">
        <w:rPr>
          <w:rFonts w:ascii="Times New Roman" w:hAnsi="Times New Roman" w:cs="Times New Roman"/>
          <w:i/>
        </w:rPr>
        <w:t>Article</w:t>
      </w:r>
      <w:proofErr w:type="spellEnd"/>
      <w:r w:rsidRPr="008C5F1C">
        <w:rPr>
          <w:rFonts w:ascii="Times New Roman" w:hAnsi="Times New Roman" w:cs="Times New Roman"/>
          <w:i/>
        </w:rPr>
        <w:t xml:space="preserve"> 10; </w:t>
      </w:r>
      <w:proofErr w:type="spellStart"/>
      <w:r w:rsidRPr="008C5F1C">
        <w:rPr>
          <w:rFonts w:ascii="Times New Roman" w:hAnsi="Times New Roman" w:cs="Times New Roman"/>
          <w:i/>
        </w:rPr>
        <w:t>Article</w:t>
      </w:r>
      <w:proofErr w:type="spellEnd"/>
      <w:r w:rsidRPr="008C5F1C">
        <w:rPr>
          <w:rFonts w:ascii="Times New Roman" w:hAnsi="Times New Roman" w:cs="Times New Roman"/>
          <w:i/>
        </w:rPr>
        <w:t xml:space="preserve"> 21; CPR</w:t>
      </w:r>
    </w:p>
    <w:p w14:paraId="5E81A9C0" w14:textId="77777777" w:rsidR="00653571" w:rsidRPr="008C5F1C" w:rsidRDefault="00653571" w:rsidP="00653571">
      <w:pPr>
        <w:pStyle w:val="Heading2"/>
        <w:numPr>
          <w:ilvl w:val="0"/>
          <w:numId w:val="0"/>
        </w:numPr>
        <w:ind w:left="851" w:hanging="851"/>
        <w:rPr>
          <w:rFonts w:cs="Times New Roman"/>
          <w:lang w:val="ro-RO"/>
        </w:rPr>
      </w:pPr>
      <w:bookmarkStart w:id="134" w:name="_Toc39840951"/>
      <w:r w:rsidRPr="008C5F1C">
        <w:rPr>
          <w:rStyle w:val="Heading2Char"/>
          <w:rFonts w:cs="Times New Roman"/>
          <w:b/>
          <w:bCs/>
          <w:lang w:val="ro-RO"/>
        </w:rPr>
        <w:t xml:space="preserve">3.A </w:t>
      </w:r>
      <w:proofErr w:type="spellStart"/>
      <w:r w:rsidRPr="008C5F1C">
        <w:rPr>
          <w:rStyle w:val="Heading2Char"/>
          <w:rFonts w:cs="Times New Roman"/>
          <w:b/>
          <w:bCs/>
          <w:lang w:val="ro-RO"/>
        </w:rPr>
        <w:t>Transfers</w:t>
      </w:r>
      <w:proofErr w:type="spellEnd"/>
      <w:r w:rsidRPr="008C5F1C">
        <w:rPr>
          <w:rStyle w:val="Heading2Char"/>
          <w:rFonts w:cs="Times New Roman"/>
          <w:b/>
          <w:bCs/>
          <w:lang w:val="ro-RO"/>
        </w:rPr>
        <w:t xml:space="preserve"> </w:t>
      </w:r>
      <w:proofErr w:type="spellStart"/>
      <w:r w:rsidRPr="008C5F1C">
        <w:rPr>
          <w:rStyle w:val="Heading2Char"/>
          <w:rFonts w:cs="Times New Roman"/>
          <w:b/>
          <w:bCs/>
          <w:lang w:val="ro-RO"/>
        </w:rPr>
        <w:t>and</w:t>
      </w:r>
      <w:proofErr w:type="spellEnd"/>
      <w:r w:rsidRPr="008C5F1C">
        <w:rPr>
          <w:rStyle w:val="Heading2Char"/>
          <w:rFonts w:cs="Times New Roman"/>
          <w:b/>
          <w:bCs/>
          <w:lang w:val="ro-RO"/>
        </w:rPr>
        <w:t xml:space="preserve"> </w:t>
      </w:r>
      <w:proofErr w:type="spellStart"/>
      <w:r w:rsidRPr="008C5F1C">
        <w:rPr>
          <w:rStyle w:val="Heading2Char"/>
          <w:rFonts w:cs="Times New Roman"/>
          <w:b/>
          <w:bCs/>
          <w:lang w:val="ro-RO"/>
        </w:rPr>
        <w:t>contributions</w:t>
      </w:r>
      <w:proofErr w:type="spellEnd"/>
      <w:r w:rsidRPr="008C5F1C">
        <w:rPr>
          <w:rFonts w:cs="Times New Roman"/>
          <w:vertAlign w:val="superscript"/>
          <w:lang w:val="ro-RO"/>
        </w:rPr>
        <w:footnoteReference w:id="66"/>
      </w:r>
      <w:bookmarkEnd w:id="134"/>
    </w:p>
    <w:p w14:paraId="2F5A1347" w14:textId="77777777" w:rsidR="00653571" w:rsidRPr="008C5F1C" w:rsidRDefault="00653571" w:rsidP="00653571">
      <w:pPr>
        <w:rPr>
          <w:rFonts w:ascii="Times New Roman" w:hAnsi="Times New Roman" w:cs="Times New Roman"/>
          <w:i/>
        </w:rPr>
      </w:pPr>
      <w:proofErr w:type="spellStart"/>
      <w:r w:rsidRPr="008C5F1C">
        <w:rPr>
          <w:rFonts w:ascii="Times New Roman" w:hAnsi="Times New Roman" w:cs="Times New Roman"/>
          <w:i/>
        </w:rPr>
        <w:t>Reference</w:t>
      </w:r>
      <w:proofErr w:type="spellEnd"/>
      <w:r w:rsidRPr="008C5F1C">
        <w:rPr>
          <w:rFonts w:ascii="Times New Roman" w:hAnsi="Times New Roman" w:cs="Times New Roman"/>
          <w:i/>
        </w:rPr>
        <w:t xml:space="preserve">: </w:t>
      </w:r>
      <w:proofErr w:type="spellStart"/>
      <w:r w:rsidRPr="008C5F1C">
        <w:rPr>
          <w:rFonts w:ascii="Times New Roman" w:hAnsi="Times New Roman" w:cs="Times New Roman"/>
          <w:i/>
        </w:rPr>
        <w:t>Article</w:t>
      </w:r>
      <w:proofErr w:type="spellEnd"/>
      <w:r w:rsidRPr="008C5F1C">
        <w:rPr>
          <w:rFonts w:ascii="Times New Roman" w:hAnsi="Times New Roman" w:cs="Times New Roman"/>
          <w:i/>
        </w:rPr>
        <w:t xml:space="preserve"> 10; </w:t>
      </w:r>
      <w:proofErr w:type="spellStart"/>
      <w:r w:rsidRPr="008C5F1C">
        <w:rPr>
          <w:rFonts w:ascii="Times New Roman" w:hAnsi="Times New Roman" w:cs="Times New Roman"/>
          <w:i/>
        </w:rPr>
        <w:t>Article</w:t>
      </w:r>
      <w:proofErr w:type="spellEnd"/>
      <w:r w:rsidRPr="008C5F1C">
        <w:rPr>
          <w:rFonts w:ascii="Times New Roman" w:hAnsi="Times New Roman" w:cs="Times New Roman"/>
          <w:i/>
        </w:rPr>
        <w:t xml:space="preserve"> 21; CPR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53571" w:rsidRPr="008C5F1C" w14:paraId="4677B501" w14:textId="77777777" w:rsidTr="00534127">
        <w:tc>
          <w:tcPr>
            <w:tcW w:w="9322" w:type="dxa"/>
            <w:tcBorders>
              <w:top w:val="single" w:sz="4" w:space="0" w:color="auto"/>
              <w:left w:val="single" w:sz="4" w:space="0" w:color="auto"/>
              <w:bottom w:val="single" w:sz="4" w:space="0" w:color="auto"/>
              <w:right w:val="single" w:sz="4" w:space="0" w:color="auto"/>
            </w:tcBorders>
            <w:hideMark/>
          </w:tcPr>
          <w:p w14:paraId="2DA24D2E" w14:textId="77777777" w:rsidR="00653571" w:rsidRPr="008C5F1C" w:rsidRDefault="00653571" w:rsidP="00534127">
            <w:pPr>
              <w:rPr>
                <w:rFonts w:ascii="Times New Roman" w:hAnsi="Times New Roman" w:cs="Times New Roman"/>
              </w:rPr>
            </w:pPr>
            <w:r w:rsidRPr="008C5F1C">
              <w:rPr>
                <w:rFonts w:ascii="Times New Roman" w:hAnsi="Times New Roman" w:cs="Times New Roman"/>
              </w:rPr>
              <w:fldChar w:fldCharType="begin">
                <w:ffData>
                  <w:name w:val="Check1"/>
                  <w:enabled/>
                  <w:calcOnExit w:val="0"/>
                  <w:checkBox>
                    <w:sizeAuto/>
                    <w:default w:val="0"/>
                  </w:checkBox>
                </w:ffData>
              </w:fldChar>
            </w:r>
            <w:r w:rsidRPr="008C5F1C">
              <w:rPr>
                <w:rFonts w:ascii="Times New Roman" w:hAnsi="Times New Roman" w:cs="Times New Roman"/>
              </w:rPr>
              <w:instrText xml:space="preserve"> FORMCHECKBOX </w:instrText>
            </w:r>
            <w:r w:rsidR="00AD12F7">
              <w:rPr>
                <w:rFonts w:ascii="Times New Roman" w:hAnsi="Times New Roman" w:cs="Times New Roman"/>
              </w:rPr>
            </w:r>
            <w:r w:rsidR="00AD12F7">
              <w:rPr>
                <w:rFonts w:ascii="Times New Roman" w:hAnsi="Times New Roman" w:cs="Times New Roman"/>
              </w:rPr>
              <w:fldChar w:fldCharType="separate"/>
            </w:r>
            <w:r w:rsidRPr="008C5F1C">
              <w:rPr>
                <w:rFonts w:ascii="Times New Roman" w:hAnsi="Times New Roman" w:cs="Times New Roman"/>
              </w:rPr>
              <w:fldChar w:fldCharType="end"/>
            </w:r>
            <w:r w:rsidRPr="008C5F1C">
              <w:rPr>
                <w:rFonts w:ascii="Times New Roman" w:hAnsi="Times New Roman" w:cs="Times New Roman"/>
              </w:rPr>
              <w:t xml:space="preserve"> </w:t>
            </w:r>
            <w:proofErr w:type="spellStart"/>
            <w:r w:rsidRPr="008C5F1C">
              <w:rPr>
                <w:rFonts w:ascii="Times New Roman" w:hAnsi="Times New Roman" w:cs="Times New Roman"/>
              </w:rPr>
              <w:t>Programme</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amendment</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related</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to</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Article</w:t>
            </w:r>
            <w:proofErr w:type="spellEnd"/>
            <w:r w:rsidRPr="008C5F1C">
              <w:rPr>
                <w:rFonts w:ascii="Times New Roman" w:hAnsi="Times New Roman" w:cs="Times New Roman"/>
              </w:rPr>
              <w:t xml:space="preserve"> 10, CPR (</w:t>
            </w:r>
            <w:proofErr w:type="spellStart"/>
            <w:r w:rsidRPr="008C5F1C">
              <w:rPr>
                <w:rFonts w:ascii="Times New Roman" w:hAnsi="Times New Roman" w:cs="Times New Roman"/>
              </w:rPr>
              <w:t>contribution</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to</w:t>
            </w:r>
            <w:proofErr w:type="spellEnd"/>
            <w:r w:rsidRPr="008C5F1C">
              <w:rPr>
                <w:rFonts w:ascii="Times New Roman" w:hAnsi="Times New Roman" w:cs="Times New Roman"/>
              </w:rPr>
              <w:t xml:space="preserve"> Invest EU)</w:t>
            </w:r>
          </w:p>
        </w:tc>
      </w:tr>
      <w:tr w:rsidR="00653571" w:rsidRPr="008C5F1C" w14:paraId="1A2FB34D" w14:textId="77777777" w:rsidTr="00534127">
        <w:tc>
          <w:tcPr>
            <w:tcW w:w="9322" w:type="dxa"/>
            <w:tcBorders>
              <w:top w:val="single" w:sz="4" w:space="0" w:color="auto"/>
              <w:left w:val="single" w:sz="4" w:space="0" w:color="auto"/>
              <w:bottom w:val="single" w:sz="4" w:space="0" w:color="auto"/>
              <w:right w:val="single" w:sz="4" w:space="0" w:color="auto"/>
            </w:tcBorders>
            <w:hideMark/>
          </w:tcPr>
          <w:p w14:paraId="7967B24A" w14:textId="77777777" w:rsidR="00653571" w:rsidRPr="008C5F1C" w:rsidRDefault="00653571" w:rsidP="00534127">
            <w:pPr>
              <w:rPr>
                <w:rFonts w:ascii="Times New Roman" w:hAnsi="Times New Roman" w:cs="Times New Roman"/>
              </w:rPr>
            </w:pPr>
            <w:r w:rsidRPr="008C5F1C">
              <w:rPr>
                <w:rFonts w:ascii="Times New Roman" w:hAnsi="Times New Roman" w:cs="Times New Roman"/>
              </w:rPr>
              <w:fldChar w:fldCharType="begin">
                <w:ffData>
                  <w:name w:val="Check2"/>
                  <w:enabled/>
                  <w:calcOnExit w:val="0"/>
                  <w:checkBox>
                    <w:sizeAuto/>
                    <w:default w:val="0"/>
                  </w:checkBox>
                </w:ffData>
              </w:fldChar>
            </w:r>
            <w:r w:rsidRPr="008C5F1C">
              <w:rPr>
                <w:rFonts w:ascii="Times New Roman" w:hAnsi="Times New Roman" w:cs="Times New Roman"/>
              </w:rPr>
              <w:instrText xml:space="preserve"> FORMCHECKBOX </w:instrText>
            </w:r>
            <w:r w:rsidR="00AD12F7">
              <w:rPr>
                <w:rFonts w:ascii="Times New Roman" w:hAnsi="Times New Roman" w:cs="Times New Roman"/>
              </w:rPr>
            </w:r>
            <w:r w:rsidR="00AD12F7">
              <w:rPr>
                <w:rFonts w:ascii="Times New Roman" w:hAnsi="Times New Roman" w:cs="Times New Roman"/>
              </w:rPr>
              <w:fldChar w:fldCharType="separate"/>
            </w:r>
            <w:r w:rsidRPr="008C5F1C">
              <w:rPr>
                <w:rFonts w:ascii="Times New Roman" w:hAnsi="Times New Roman" w:cs="Times New Roman"/>
              </w:rPr>
              <w:fldChar w:fldCharType="end"/>
            </w:r>
            <w:r w:rsidRPr="008C5F1C">
              <w:rPr>
                <w:rFonts w:ascii="Times New Roman" w:hAnsi="Times New Roman" w:cs="Times New Roman"/>
              </w:rPr>
              <w:t xml:space="preserve"> </w:t>
            </w:r>
            <w:proofErr w:type="spellStart"/>
            <w:r w:rsidRPr="008C5F1C">
              <w:rPr>
                <w:rFonts w:ascii="Times New Roman" w:hAnsi="Times New Roman" w:cs="Times New Roman"/>
              </w:rPr>
              <w:t>Programme</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amendment</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related</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to</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Article</w:t>
            </w:r>
            <w:proofErr w:type="spellEnd"/>
            <w:r w:rsidRPr="008C5F1C">
              <w:rPr>
                <w:rFonts w:ascii="Times New Roman" w:hAnsi="Times New Roman" w:cs="Times New Roman"/>
              </w:rPr>
              <w:t xml:space="preserve"> 21, CPR (</w:t>
            </w:r>
            <w:proofErr w:type="spellStart"/>
            <w:r w:rsidRPr="008C5F1C">
              <w:rPr>
                <w:rFonts w:ascii="Times New Roman" w:hAnsi="Times New Roman" w:cs="Times New Roman"/>
              </w:rPr>
              <w:t>transfers</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to</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instruments</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under</w:t>
            </w:r>
            <w:proofErr w:type="spellEnd"/>
            <w:r w:rsidRPr="008C5F1C">
              <w:rPr>
                <w:rFonts w:ascii="Times New Roman" w:hAnsi="Times New Roman" w:cs="Times New Roman"/>
              </w:rPr>
              <w:t xml:space="preserve"> direct or indirect management or</w:t>
            </w:r>
            <w:r w:rsidRPr="008C5F1C">
              <w:rPr>
                <w:rFonts w:ascii="Times New Roman" w:hAnsi="Times New Roman" w:cs="Times New Roman"/>
                <w:b/>
              </w:rPr>
              <w:t xml:space="preserve"> </w:t>
            </w:r>
            <w:proofErr w:type="spellStart"/>
            <w:r w:rsidRPr="008C5F1C">
              <w:rPr>
                <w:rFonts w:ascii="Times New Roman" w:hAnsi="Times New Roman" w:cs="Times New Roman"/>
              </w:rPr>
              <w:t>between</w:t>
            </w:r>
            <w:proofErr w:type="spellEnd"/>
            <w:r w:rsidRPr="008C5F1C">
              <w:rPr>
                <w:rFonts w:ascii="Times New Roman" w:hAnsi="Times New Roman" w:cs="Times New Roman"/>
              </w:rPr>
              <w:t xml:space="preserve"> </w:t>
            </w:r>
            <w:proofErr w:type="spellStart"/>
            <w:r w:rsidRPr="008C5F1C">
              <w:rPr>
                <w:rFonts w:ascii="Times New Roman" w:hAnsi="Times New Roman" w:cs="Times New Roman"/>
              </w:rPr>
              <w:t>shared</w:t>
            </w:r>
            <w:proofErr w:type="spellEnd"/>
            <w:r w:rsidRPr="008C5F1C">
              <w:rPr>
                <w:rFonts w:ascii="Times New Roman" w:hAnsi="Times New Roman" w:cs="Times New Roman"/>
              </w:rPr>
              <w:t xml:space="preserve"> management </w:t>
            </w:r>
            <w:proofErr w:type="spellStart"/>
            <w:r w:rsidRPr="008C5F1C">
              <w:rPr>
                <w:rFonts w:ascii="Times New Roman" w:hAnsi="Times New Roman" w:cs="Times New Roman"/>
              </w:rPr>
              <w:t>funds</w:t>
            </w:r>
            <w:proofErr w:type="spellEnd"/>
            <w:r w:rsidRPr="008C5F1C">
              <w:rPr>
                <w:rFonts w:ascii="Times New Roman" w:hAnsi="Times New Roman" w:cs="Times New Roman"/>
              </w:rPr>
              <w:t>)</w:t>
            </w:r>
          </w:p>
        </w:tc>
      </w:tr>
    </w:tbl>
    <w:p w14:paraId="32FE5289" w14:textId="77777777" w:rsidR="00653571" w:rsidRPr="008C5F1C" w:rsidRDefault="00653571" w:rsidP="00653571">
      <w:pPr>
        <w:rPr>
          <w:rFonts w:ascii="Times New Roman" w:hAnsi="Times New Roman" w:cs="Times New Roman"/>
          <w:b/>
        </w:rPr>
      </w:pPr>
    </w:p>
    <w:p w14:paraId="61B12922" w14:textId="77777777" w:rsidR="00653571" w:rsidRPr="008C5F1C" w:rsidRDefault="00653571" w:rsidP="00653571">
      <w:pPr>
        <w:rPr>
          <w:rFonts w:ascii="Times New Roman" w:eastAsia="Times New Roman" w:hAnsi="Times New Roman" w:cs="Times New Roman"/>
          <w:b/>
          <w:noProof/>
          <w:sz w:val="20"/>
        </w:rPr>
      </w:pPr>
      <w:r w:rsidRPr="008C5F1C">
        <w:rPr>
          <w:rFonts w:ascii="Times New Roman" w:hAnsi="Times New Roman" w:cs="Times New Roman"/>
          <w:b/>
        </w:rPr>
        <w:br w:type="page"/>
      </w:r>
      <w:r w:rsidRPr="008C5F1C">
        <w:rPr>
          <w:rFonts w:ascii="Times New Roman" w:eastAsia="Times New Roman" w:hAnsi="Times New Roman" w:cs="Times New Roman"/>
          <w:b/>
          <w:noProof/>
          <w:sz w:val="20"/>
        </w:rPr>
        <w:lastRenderedPageBreak/>
        <w:t>Table 15: Contributions to InvestEU*</w:t>
      </w:r>
    </w:p>
    <w:tbl>
      <w:tblPr>
        <w:tblStyle w:val="TableGrid1"/>
        <w:tblW w:w="5171" w:type="pct"/>
        <w:tblLook w:val="04A0" w:firstRow="1" w:lastRow="0" w:firstColumn="1" w:lastColumn="0" w:noHBand="0" w:noVBand="1"/>
      </w:tblPr>
      <w:tblGrid>
        <w:gridCol w:w="824"/>
        <w:gridCol w:w="1201"/>
        <w:gridCol w:w="1022"/>
        <w:gridCol w:w="1022"/>
        <w:gridCol w:w="1022"/>
        <w:gridCol w:w="1022"/>
        <w:gridCol w:w="1022"/>
        <w:gridCol w:w="2822"/>
      </w:tblGrid>
      <w:tr w:rsidR="00653571" w:rsidRPr="008C5F1C" w14:paraId="522592E5" w14:textId="77777777" w:rsidTr="00534127">
        <w:tc>
          <w:tcPr>
            <w:tcW w:w="414" w:type="pct"/>
            <w:tcBorders>
              <w:bottom w:val="nil"/>
            </w:tcBorders>
          </w:tcPr>
          <w:p w14:paraId="6483F59C" w14:textId="77777777" w:rsidR="00653571" w:rsidRPr="008C5F1C" w:rsidRDefault="00653571" w:rsidP="00534127">
            <w:pPr>
              <w:jc w:val="center"/>
              <w:rPr>
                <w:rFonts w:ascii="Times New Roman" w:eastAsia="Calibri" w:hAnsi="Times New Roman" w:cs="Times New Roman"/>
                <w:noProof/>
                <w:sz w:val="18"/>
                <w:szCs w:val="18"/>
              </w:rPr>
            </w:pPr>
          </w:p>
        </w:tc>
        <w:tc>
          <w:tcPr>
            <w:tcW w:w="603" w:type="pct"/>
            <w:tcBorders>
              <w:bottom w:val="nil"/>
            </w:tcBorders>
          </w:tcPr>
          <w:p w14:paraId="35724FF8" w14:textId="77777777" w:rsidR="00653571" w:rsidRPr="008C5F1C" w:rsidRDefault="00653571" w:rsidP="00534127">
            <w:pPr>
              <w:rPr>
                <w:rFonts w:ascii="Times New Roman" w:eastAsia="Calibri" w:hAnsi="Times New Roman" w:cs="Times New Roman"/>
                <w:noProof/>
                <w:sz w:val="18"/>
                <w:szCs w:val="18"/>
              </w:rPr>
            </w:pPr>
            <w:r w:rsidRPr="008C5F1C">
              <w:rPr>
                <w:rFonts w:ascii="Times New Roman" w:eastAsia="Calibri" w:hAnsi="Times New Roman" w:cs="Times New Roman"/>
                <w:noProof/>
                <w:sz w:val="18"/>
                <w:szCs w:val="18"/>
              </w:rPr>
              <w:t>Category of regions</w:t>
            </w:r>
          </w:p>
        </w:tc>
        <w:tc>
          <w:tcPr>
            <w:tcW w:w="513" w:type="pct"/>
            <w:tcBorders>
              <w:bottom w:val="nil"/>
            </w:tcBorders>
          </w:tcPr>
          <w:p w14:paraId="7D729EF4" w14:textId="77777777" w:rsidR="00653571" w:rsidRPr="008C5F1C" w:rsidRDefault="00653571" w:rsidP="00534127">
            <w:pPr>
              <w:jc w:val="center"/>
              <w:rPr>
                <w:rFonts w:ascii="Times New Roman" w:eastAsia="Calibri" w:hAnsi="Times New Roman" w:cs="Times New Roman"/>
                <w:noProof/>
                <w:sz w:val="18"/>
                <w:szCs w:val="18"/>
              </w:rPr>
            </w:pPr>
            <w:r w:rsidRPr="008C5F1C">
              <w:rPr>
                <w:rFonts w:ascii="Times New Roman" w:eastAsia="Calibri" w:hAnsi="Times New Roman" w:cs="Times New Roman"/>
                <w:noProof/>
                <w:sz w:val="18"/>
                <w:szCs w:val="18"/>
              </w:rPr>
              <w:t>Window 1</w:t>
            </w:r>
          </w:p>
        </w:tc>
        <w:tc>
          <w:tcPr>
            <w:tcW w:w="513" w:type="pct"/>
            <w:tcBorders>
              <w:bottom w:val="nil"/>
            </w:tcBorders>
          </w:tcPr>
          <w:p w14:paraId="3148E9E2" w14:textId="77777777" w:rsidR="00653571" w:rsidRPr="008C5F1C" w:rsidRDefault="00653571" w:rsidP="00534127">
            <w:pPr>
              <w:jc w:val="center"/>
              <w:rPr>
                <w:rFonts w:ascii="Times New Roman" w:eastAsia="Calibri" w:hAnsi="Times New Roman" w:cs="Times New Roman"/>
                <w:noProof/>
                <w:sz w:val="18"/>
                <w:szCs w:val="18"/>
              </w:rPr>
            </w:pPr>
            <w:r w:rsidRPr="008C5F1C">
              <w:rPr>
                <w:rFonts w:ascii="Times New Roman" w:eastAsia="Calibri" w:hAnsi="Times New Roman" w:cs="Times New Roman"/>
                <w:noProof/>
                <w:sz w:val="18"/>
                <w:szCs w:val="18"/>
              </w:rPr>
              <w:t>Window 2</w:t>
            </w:r>
          </w:p>
        </w:tc>
        <w:tc>
          <w:tcPr>
            <w:tcW w:w="513" w:type="pct"/>
            <w:tcBorders>
              <w:bottom w:val="nil"/>
            </w:tcBorders>
          </w:tcPr>
          <w:p w14:paraId="554144AA" w14:textId="77777777" w:rsidR="00653571" w:rsidRPr="008C5F1C" w:rsidRDefault="00653571" w:rsidP="00534127">
            <w:pPr>
              <w:jc w:val="center"/>
              <w:rPr>
                <w:rFonts w:ascii="Times New Roman" w:eastAsia="Calibri" w:hAnsi="Times New Roman" w:cs="Times New Roman"/>
                <w:noProof/>
                <w:sz w:val="18"/>
                <w:szCs w:val="18"/>
              </w:rPr>
            </w:pPr>
            <w:r w:rsidRPr="008C5F1C">
              <w:rPr>
                <w:rFonts w:ascii="Times New Roman" w:eastAsia="Calibri" w:hAnsi="Times New Roman" w:cs="Times New Roman"/>
                <w:noProof/>
                <w:sz w:val="18"/>
                <w:szCs w:val="18"/>
              </w:rPr>
              <w:t>Window 3</w:t>
            </w:r>
          </w:p>
        </w:tc>
        <w:tc>
          <w:tcPr>
            <w:tcW w:w="513" w:type="pct"/>
            <w:tcBorders>
              <w:bottom w:val="nil"/>
            </w:tcBorders>
          </w:tcPr>
          <w:p w14:paraId="43F40520" w14:textId="77777777" w:rsidR="00653571" w:rsidRPr="008C5F1C" w:rsidRDefault="00653571" w:rsidP="00534127">
            <w:pPr>
              <w:jc w:val="center"/>
              <w:rPr>
                <w:rFonts w:ascii="Times New Roman" w:eastAsia="Calibri" w:hAnsi="Times New Roman" w:cs="Times New Roman"/>
                <w:noProof/>
                <w:sz w:val="18"/>
                <w:szCs w:val="18"/>
              </w:rPr>
            </w:pPr>
            <w:r w:rsidRPr="008C5F1C">
              <w:rPr>
                <w:rFonts w:ascii="Times New Roman" w:eastAsia="Calibri" w:hAnsi="Times New Roman" w:cs="Times New Roman"/>
                <w:noProof/>
                <w:sz w:val="18"/>
                <w:szCs w:val="18"/>
              </w:rPr>
              <w:t>Window 4</w:t>
            </w:r>
          </w:p>
        </w:tc>
        <w:tc>
          <w:tcPr>
            <w:tcW w:w="513" w:type="pct"/>
            <w:tcBorders>
              <w:bottom w:val="nil"/>
            </w:tcBorders>
          </w:tcPr>
          <w:p w14:paraId="03756E87" w14:textId="77777777" w:rsidR="00653571" w:rsidRPr="008C5F1C" w:rsidRDefault="00653571" w:rsidP="00534127">
            <w:pPr>
              <w:jc w:val="center"/>
              <w:rPr>
                <w:rFonts w:ascii="Times New Roman" w:eastAsia="Calibri" w:hAnsi="Times New Roman" w:cs="Times New Roman"/>
                <w:noProof/>
                <w:sz w:val="18"/>
                <w:szCs w:val="18"/>
              </w:rPr>
            </w:pPr>
            <w:r w:rsidRPr="008C5F1C">
              <w:rPr>
                <w:rFonts w:ascii="Times New Roman" w:eastAsia="Calibri" w:hAnsi="Times New Roman" w:cs="Times New Roman"/>
                <w:noProof/>
                <w:sz w:val="18"/>
                <w:szCs w:val="18"/>
              </w:rPr>
              <w:t>Window 5</w:t>
            </w:r>
          </w:p>
        </w:tc>
        <w:tc>
          <w:tcPr>
            <w:tcW w:w="1417" w:type="pct"/>
            <w:tcBorders>
              <w:bottom w:val="nil"/>
            </w:tcBorders>
            <w:vAlign w:val="center"/>
          </w:tcPr>
          <w:p w14:paraId="4B1DD29C" w14:textId="77777777" w:rsidR="00653571" w:rsidRPr="008C5F1C" w:rsidRDefault="00653571" w:rsidP="00534127">
            <w:pPr>
              <w:jc w:val="center"/>
              <w:rPr>
                <w:rFonts w:ascii="Times New Roman" w:eastAsia="Calibri" w:hAnsi="Times New Roman" w:cs="Times New Roman"/>
                <w:noProof/>
                <w:sz w:val="18"/>
                <w:szCs w:val="18"/>
              </w:rPr>
            </w:pPr>
            <w:r w:rsidRPr="008C5F1C">
              <w:rPr>
                <w:rFonts w:ascii="Times New Roman" w:eastAsia="Calibri" w:hAnsi="Times New Roman" w:cs="Times New Roman"/>
                <w:noProof/>
                <w:sz w:val="18"/>
                <w:szCs w:val="18"/>
              </w:rPr>
              <w:t>Amount</w:t>
            </w:r>
          </w:p>
        </w:tc>
      </w:tr>
      <w:tr w:rsidR="00653571" w:rsidRPr="008C5F1C" w14:paraId="34D82BEC" w14:textId="77777777" w:rsidTr="00534127">
        <w:tc>
          <w:tcPr>
            <w:tcW w:w="414" w:type="pct"/>
            <w:tcBorders>
              <w:top w:val="nil"/>
            </w:tcBorders>
          </w:tcPr>
          <w:p w14:paraId="06814E6F" w14:textId="77777777" w:rsidR="00653571" w:rsidRPr="008C5F1C" w:rsidRDefault="00653571" w:rsidP="00534127">
            <w:pPr>
              <w:jc w:val="center"/>
              <w:rPr>
                <w:rFonts w:ascii="Times New Roman" w:eastAsia="Calibri" w:hAnsi="Times New Roman" w:cs="Times New Roman"/>
                <w:noProof/>
                <w:sz w:val="18"/>
                <w:szCs w:val="18"/>
              </w:rPr>
            </w:pPr>
          </w:p>
        </w:tc>
        <w:tc>
          <w:tcPr>
            <w:tcW w:w="603" w:type="pct"/>
            <w:tcBorders>
              <w:top w:val="nil"/>
            </w:tcBorders>
          </w:tcPr>
          <w:p w14:paraId="29AAB9BD" w14:textId="77777777" w:rsidR="00653571" w:rsidRPr="008C5F1C" w:rsidRDefault="00653571" w:rsidP="00534127">
            <w:pPr>
              <w:jc w:val="center"/>
              <w:rPr>
                <w:rFonts w:ascii="Times New Roman" w:eastAsia="Calibri" w:hAnsi="Times New Roman" w:cs="Times New Roman"/>
                <w:noProof/>
                <w:sz w:val="18"/>
                <w:szCs w:val="18"/>
              </w:rPr>
            </w:pPr>
          </w:p>
        </w:tc>
        <w:tc>
          <w:tcPr>
            <w:tcW w:w="513" w:type="pct"/>
            <w:tcBorders>
              <w:top w:val="nil"/>
            </w:tcBorders>
          </w:tcPr>
          <w:p w14:paraId="15A45118" w14:textId="77777777" w:rsidR="00653571" w:rsidRPr="008C5F1C" w:rsidRDefault="00653571" w:rsidP="00534127">
            <w:pPr>
              <w:jc w:val="center"/>
              <w:rPr>
                <w:rFonts w:ascii="Times New Roman" w:eastAsia="Calibri" w:hAnsi="Times New Roman" w:cs="Times New Roman"/>
                <w:noProof/>
                <w:sz w:val="18"/>
                <w:szCs w:val="18"/>
              </w:rPr>
            </w:pPr>
            <w:r w:rsidRPr="008C5F1C">
              <w:rPr>
                <w:rFonts w:ascii="Times New Roman" w:eastAsia="Calibri" w:hAnsi="Times New Roman" w:cs="Times New Roman"/>
                <w:noProof/>
                <w:sz w:val="18"/>
                <w:szCs w:val="18"/>
              </w:rPr>
              <w:t>(a)</w:t>
            </w:r>
          </w:p>
        </w:tc>
        <w:tc>
          <w:tcPr>
            <w:tcW w:w="513" w:type="pct"/>
            <w:tcBorders>
              <w:top w:val="nil"/>
            </w:tcBorders>
          </w:tcPr>
          <w:p w14:paraId="5BC7B97E" w14:textId="77777777" w:rsidR="00653571" w:rsidRPr="008C5F1C" w:rsidRDefault="00653571" w:rsidP="00534127">
            <w:pPr>
              <w:jc w:val="center"/>
              <w:rPr>
                <w:rFonts w:ascii="Times New Roman" w:eastAsia="Calibri" w:hAnsi="Times New Roman" w:cs="Times New Roman"/>
                <w:noProof/>
                <w:sz w:val="18"/>
                <w:szCs w:val="18"/>
              </w:rPr>
            </w:pPr>
            <w:r w:rsidRPr="008C5F1C">
              <w:rPr>
                <w:rFonts w:ascii="Times New Roman" w:eastAsia="Calibri" w:hAnsi="Times New Roman" w:cs="Times New Roman"/>
                <w:noProof/>
                <w:sz w:val="18"/>
                <w:szCs w:val="18"/>
              </w:rPr>
              <w:t>(b)</w:t>
            </w:r>
          </w:p>
        </w:tc>
        <w:tc>
          <w:tcPr>
            <w:tcW w:w="513" w:type="pct"/>
            <w:tcBorders>
              <w:top w:val="nil"/>
            </w:tcBorders>
          </w:tcPr>
          <w:p w14:paraId="18240452" w14:textId="77777777" w:rsidR="00653571" w:rsidRPr="008C5F1C" w:rsidRDefault="00653571" w:rsidP="00534127">
            <w:pPr>
              <w:jc w:val="center"/>
              <w:rPr>
                <w:rFonts w:ascii="Times New Roman" w:eastAsia="Calibri" w:hAnsi="Times New Roman" w:cs="Times New Roman"/>
                <w:noProof/>
                <w:sz w:val="18"/>
                <w:szCs w:val="18"/>
              </w:rPr>
            </w:pPr>
            <w:r w:rsidRPr="008C5F1C">
              <w:rPr>
                <w:rFonts w:ascii="Times New Roman" w:eastAsia="Calibri" w:hAnsi="Times New Roman" w:cs="Times New Roman"/>
                <w:noProof/>
                <w:sz w:val="18"/>
                <w:szCs w:val="18"/>
              </w:rPr>
              <w:t>(c)</w:t>
            </w:r>
          </w:p>
        </w:tc>
        <w:tc>
          <w:tcPr>
            <w:tcW w:w="513" w:type="pct"/>
            <w:tcBorders>
              <w:top w:val="nil"/>
            </w:tcBorders>
          </w:tcPr>
          <w:p w14:paraId="38C686B2" w14:textId="77777777" w:rsidR="00653571" w:rsidRPr="008C5F1C" w:rsidRDefault="00653571" w:rsidP="00534127">
            <w:pPr>
              <w:jc w:val="center"/>
              <w:rPr>
                <w:rFonts w:ascii="Times New Roman" w:eastAsia="Calibri" w:hAnsi="Times New Roman" w:cs="Times New Roman"/>
                <w:noProof/>
                <w:sz w:val="18"/>
                <w:szCs w:val="18"/>
              </w:rPr>
            </w:pPr>
            <w:r w:rsidRPr="008C5F1C">
              <w:rPr>
                <w:rFonts w:ascii="Times New Roman" w:eastAsia="Calibri" w:hAnsi="Times New Roman" w:cs="Times New Roman"/>
                <w:noProof/>
                <w:sz w:val="18"/>
                <w:szCs w:val="18"/>
              </w:rPr>
              <w:t>(d)</w:t>
            </w:r>
          </w:p>
        </w:tc>
        <w:tc>
          <w:tcPr>
            <w:tcW w:w="513" w:type="pct"/>
            <w:tcBorders>
              <w:top w:val="nil"/>
            </w:tcBorders>
          </w:tcPr>
          <w:p w14:paraId="332A2A64" w14:textId="77777777" w:rsidR="00653571" w:rsidRPr="008C5F1C" w:rsidRDefault="00653571" w:rsidP="00534127">
            <w:pPr>
              <w:jc w:val="center"/>
              <w:rPr>
                <w:rFonts w:ascii="Times New Roman" w:eastAsia="Calibri" w:hAnsi="Times New Roman" w:cs="Times New Roman"/>
                <w:noProof/>
                <w:sz w:val="18"/>
                <w:szCs w:val="18"/>
              </w:rPr>
            </w:pPr>
            <w:r w:rsidRPr="008C5F1C">
              <w:rPr>
                <w:rFonts w:ascii="Times New Roman" w:eastAsia="Calibri" w:hAnsi="Times New Roman" w:cs="Times New Roman"/>
                <w:noProof/>
                <w:sz w:val="18"/>
                <w:szCs w:val="18"/>
              </w:rPr>
              <w:t>(e)</w:t>
            </w:r>
          </w:p>
        </w:tc>
        <w:tc>
          <w:tcPr>
            <w:tcW w:w="1417" w:type="pct"/>
            <w:tcBorders>
              <w:top w:val="nil"/>
            </w:tcBorders>
          </w:tcPr>
          <w:p w14:paraId="73A8FBFE" w14:textId="77777777" w:rsidR="00653571" w:rsidRPr="008C5F1C" w:rsidRDefault="00653571" w:rsidP="00534127">
            <w:pPr>
              <w:jc w:val="center"/>
              <w:rPr>
                <w:rFonts w:ascii="Times New Roman" w:eastAsia="Calibri" w:hAnsi="Times New Roman" w:cs="Times New Roman"/>
                <w:noProof/>
                <w:sz w:val="18"/>
                <w:szCs w:val="18"/>
              </w:rPr>
            </w:pPr>
            <w:r w:rsidRPr="008C5F1C">
              <w:rPr>
                <w:rFonts w:ascii="Times New Roman" w:eastAsia="Calibri" w:hAnsi="Times New Roman" w:cs="Times New Roman"/>
                <w:noProof/>
                <w:sz w:val="18"/>
                <w:szCs w:val="18"/>
              </w:rPr>
              <w:t>(f)=(a)+(b)+(c)+(d)+(e))</w:t>
            </w:r>
          </w:p>
        </w:tc>
      </w:tr>
      <w:tr w:rsidR="00653571" w:rsidRPr="008C5F1C" w14:paraId="5F52EA8A" w14:textId="77777777" w:rsidTr="00534127">
        <w:tc>
          <w:tcPr>
            <w:tcW w:w="414" w:type="pct"/>
            <w:vMerge w:val="restart"/>
          </w:tcPr>
          <w:p w14:paraId="6419BEE5" w14:textId="77777777" w:rsidR="00653571" w:rsidRPr="008C5F1C" w:rsidRDefault="00653571" w:rsidP="00534127">
            <w:pPr>
              <w:rPr>
                <w:rFonts w:ascii="Times New Roman" w:eastAsia="Calibri" w:hAnsi="Times New Roman" w:cs="Times New Roman"/>
                <w:noProof/>
                <w:sz w:val="18"/>
                <w:szCs w:val="18"/>
              </w:rPr>
            </w:pPr>
            <w:r w:rsidRPr="008C5F1C">
              <w:rPr>
                <w:rFonts w:ascii="Times New Roman" w:eastAsia="Calibri" w:hAnsi="Times New Roman" w:cs="Times New Roman"/>
                <w:noProof/>
                <w:sz w:val="18"/>
                <w:szCs w:val="18"/>
              </w:rPr>
              <w:t>ERDF</w:t>
            </w:r>
          </w:p>
        </w:tc>
        <w:tc>
          <w:tcPr>
            <w:tcW w:w="603" w:type="pct"/>
          </w:tcPr>
          <w:p w14:paraId="4ABD3FF1" w14:textId="77777777" w:rsidR="00653571" w:rsidRPr="008C5F1C" w:rsidRDefault="00653571" w:rsidP="00534127">
            <w:pPr>
              <w:rPr>
                <w:rFonts w:ascii="Times New Roman" w:eastAsia="Calibri" w:hAnsi="Times New Roman" w:cs="Times New Roman"/>
                <w:noProof/>
                <w:sz w:val="18"/>
                <w:szCs w:val="18"/>
              </w:rPr>
            </w:pPr>
            <w:r w:rsidRPr="008C5F1C">
              <w:rPr>
                <w:rFonts w:ascii="Times New Roman" w:eastAsia="Calibri" w:hAnsi="Times New Roman" w:cs="Times New Roman"/>
                <w:noProof/>
                <w:sz w:val="18"/>
                <w:szCs w:val="18"/>
              </w:rPr>
              <w:t>More developed</w:t>
            </w:r>
          </w:p>
        </w:tc>
        <w:tc>
          <w:tcPr>
            <w:tcW w:w="513" w:type="pct"/>
          </w:tcPr>
          <w:p w14:paraId="594AD7D7"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27474466"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7417C91B"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4F8AF8A9"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21723BF2" w14:textId="77777777" w:rsidR="00653571" w:rsidRPr="008C5F1C" w:rsidRDefault="00653571" w:rsidP="00534127">
            <w:pPr>
              <w:rPr>
                <w:rFonts w:ascii="Times New Roman" w:eastAsia="Calibri" w:hAnsi="Times New Roman" w:cs="Times New Roman"/>
                <w:noProof/>
                <w:sz w:val="18"/>
                <w:szCs w:val="18"/>
              </w:rPr>
            </w:pPr>
          </w:p>
        </w:tc>
        <w:tc>
          <w:tcPr>
            <w:tcW w:w="1417" w:type="pct"/>
          </w:tcPr>
          <w:p w14:paraId="36727082" w14:textId="77777777" w:rsidR="00653571" w:rsidRPr="008C5F1C" w:rsidRDefault="00653571" w:rsidP="00534127">
            <w:pPr>
              <w:rPr>
                <w:rFonts w:ascii="Times New Roman" w:eastAsia="Calibri" w:hAnsi="Times New Roman" w:cs="Times New Roman"/>
                <w:noProof/>
                <w:sz w:val="18"/>
                <w:szCs w:val="18"/>
              </w:rPr>
            </w:pPr>
          </w:p>
        </w:tc>
      </w:tr>
      <w:tr w:rsidR="00653571" w:rsidRPr="008C5F1C" w14:paraId="46214D41" w14:textId="77777777" w:rsidTr="00534127">
        <w:tc>
          <w:tcPr>
            <w:tcW w:w="414" w:type="pct"/>
            <w:vMerge/>
          </w:tcPr>
          <w:p w14:paraId="0AFC9CA2" w14:textId="77777777" w:rsidR="00653571" w:rsidRPr="008C5F1C" w:rsidRDefault="00653571" w:rsidP="00534127">
            <w:pPr>
              <w:rPr>
                <w:rFonts w:ascii="Times New Roman" w:eastAsia="Calibri" w:hAnsi="Times New Roman" w:cs="Times New Roman"/>
                <w:noProof/>
                <w:sz w:val="18"/>
                <w:szCs w:val="18"/>
              </w:rPr>
            </w:pPr>
          </w:p>
        </w:tc>
        <w:tc>
          <w:tcPr>
            <w:tcW w:w="603" w:type="pct"/>
          </w:tcPr>
          <w:p w14:paraId="1811A6EE" w14:textId="77777777" w:rsidR="00653571" w:rsidRPr="008C5F1C" w:rsidRDefault="00653571" w:rsidP="00534127">
            <w:pPr>
              <w:rPr>
                <w:rFonts w:ascii="Times New Roman" w:eastAsia="Calibri" w:hAnsi="Times New Roman" w:cs="Times New Roman"/>
                <w:noProof/>
                <w:sz w:val="18"/>
                <w:szCs w:val="18"/>
              </w:rPr>
            </w:pPr>
            <w:r w:rsidRPr="008C5F1C">
              <w:rPr>
                <w:rFonts w:ascii="Times New Roman" w:eastAsia="Calibri" w:hAnsi="Times New Roman" w:cs="Times New Roman"/>
                <w:noProof/>
                <w:sz w:val="18"/>
                <w:szCs w:val="18"/>
              </w:rPr>
              <w:t>Less developed</w:t>
            </w:r>
          </w:p>
        </w:tc>
        <w:tc>
          <w:tcPr>
            <w:tcW w:w="513" w:type="pct"/>
          </w:tcPr>
          <w:p w14:paraId="783DB526"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725B77F3"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3A159CF0"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6A32802C"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2E6C01C9" w14:textId="77777777" w:rsidR="00653571" w:rsidRPr="008C5F1C" w:rsidRDefault="00653571" w:rsidP="00534127">
            <w:pPr>
              <w:rPr>
                <w:rFonts w:ascii="Times New Roman" w:eastAsia="Calibri" w:hAnsi="Times New Roman" w:cs="Times New Roman"/>
                <w:noProof/>
                <w:sz w:val="18"/>
                <w:szCs w:val="18"/>
              </w:rPr>
            </w:pPr>
          </w:p>
        </w:tc>
        <w:tc>
          <w:tcPr>
            <w:tcW w:w="1417" w:type="pct"/>
          </w:tcPr>
          <w:p w14:paraId="008D41C8" w14:textId="77777777" w:rsidR="00653571" w:rsidRPr="008C5F1C" w:rsidRDefault="00653571" w:rsidP="00534127">
            <w:pPr>
              <w:rPr>
                <w:rFonts w:ascii="Times New Roman" w:eastAsia="Calibri" w:hAnsi="Times New Roman" w:cs="Times New Roman"/>
                <w:noProof/>
                <w:sz w:val="18"/>
                <w:szCs w:val="18"/>
              </w:rPr>
            </w:pPr>
          </w:p>
        </w:tc>
      </w:tr>
      <w:tr w:rsidR="00653571" w:rsidRPr="008C5F1C" w14:paraId="56F12210" w14:textId="77777777" w:rsidTr="00534127">
        <w:tc>
          <w:tcPr>
            <w:tcW w:w="414" w:type="pct"/>
            <w:vMerge/>
          </w:tcPr>
          <w:p w14:paraId="069D87EA" w14:textId="77777777" w:rsidR="00653571" w:rsidRPr="008C5F1C" w:rsidRDefault="00653571" w:rsidP="00534127">
            <w:pPr>
              <w:rPr>
                <w:rFonts w:ascii="Times New Roman" w:eastAsia="Calibri" w:hAnsi="Times New Roman" w:cs="Times New Roman"/>
                <w:noProof/>
                <w:sz w:val="18"/>
                <w:szCs w:val="18"/>
              </w:rPr>
            </w:pPr>
          </w:p>
        </w:tc>
        <w:tc>
          <w:tcPr>
            <w:tcW w:w="603" w:type="pct"/>
          </w:tcPr>
          <w:p w14:paraId="6473DE05" w14:textId="77777777" w:rsidR="00653571" w:rsidRPr="008C5F1C" w:rsidRDefault="00653571" w:rsidP="00534127">
            <w:pPr>
              <w:rPr>
                <w:rFonts w:ascii="Times New Roman" w:hAnsi="Times New Roman" w:cs="Times New Roman"/>
                <w:noProof/>
                <w:sz w:val="18"/>
                <w:szCs w:val="18"/>
              </w:rPr>
            </w:pPr>
            <w:r w:rsidRPr="008C5F1C">
              <w:rPr>
                <w:rFonts w:ascii="Times New Roman" w:hAnsi="Times New Roman" w:cs="Times New Roman"/>
                <w:noProof/>
                <w:sz w:val="18"/>
                <w:szCs w:val="18"/>
              </w:rPr>
              <w:t>Transition</w:t>
            </w:r>
          </w:p>
        </w:tc>
        <w:tc>
          <w:tcPr>
            <w:tcW w:w="513" w:type="pct"/>
          </w:tcPr>
          <w:p w14:paraId="4C1940A1"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7FD14005"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1991F05D"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0EBECCAC"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48BE8E64" w14:textId="77777777" w:rsidR="00653571" w:rsidRPr="008C5F1C" w:rsidRDefault="00653571" w:rsidP="00534127">
            <w:pPr>
              <w:rPr>
                <w:rFonts w:ascii="Times New Roman" w:eastAsia="Calibri" w:hAnsi="Times New Roman" w:cs="Times New Roman"/>
                <w:noProof/>
                <w:sz w:val="18"/>
                <w:szCs w:val="18"/>
              </w:rPr>
            </w:pPr>
          </w:p>
        </w:tc>
        <w:tc>
          <w:tcPr>
            <w:tcW w:w="1417" w:type="pct"/>
          </w:tcPr>
          <w:p w14:paraId="51697D1A" w14:textId="77777777" w:rsidR="00653571" w:rsidRPr="008C5F1C" w:rsidRDefault="00653571" w:rsidP="00534127">
            <w:pPr>
              <w:rPr>
                <w:rFonts w:ascii="Times New Roman" w:eastAsia="Calibri" w:hAnsi="Times New Roman" w:cs="Times New Roman"/>
                <w:noProof/>
                <w:sz w:val="18"/>
                <w:szCs w:val="18"/>
              </w:rPr>
            </w:pPr>
          </w:p>
        </w:tc>
      </w:tr>
      <w:tr w:rsidR="00653571" w:rsidRPr="008C5F1C" w14:paraId="26463858" w14:textId="77777777" w:rsidTr="00534127">
        <w:tc>
          <w:tcPr>
            <w:tcW w:w="414" w:type="pct"/>
            <w:vMerge/>
          </w:tcPr>
          <w:p w14:paraId="7BB4B4EC" w14:textId="77777777" w:rsidR="00653571" w:rsidRPr="008C5F1C" w:rsidRDefault="00653571" w:rsidP="00534127">
            <w:pPr>
              <w:rPr>
                <w:rFonts w:ascii="Times New Roman" w:eastAsia="Calibri" w:hAnsi="Times New Roman" w:cs="Times New Roman"/>
                <w:noProof/>
                <w:sz w:val="18"/>
                <w:szCs w:val="18"/>
              </w:rPr>
            </w:pPr>
          </w:p>
        </w:tc>
        <w:tc>
          <w:tcPr>
            <w:tcW w:w="603" w:type="pct"/>
          </w:tcPr>
          <w:p w14:paraId="5E8DBE43" w14:textId="77777777" w:rsidR="00653571" w:rsidRPr="008C5F1C" w:rsidRDefault="00653571" w:rsidP="00534127">
            <w:pPr>
              <w:rPr>
                <w:rFonts w:ascii="Times New Roman" w:eastAsia="Calibri" w:hAnsi="Times New Roman" w:cs="Times New Roman"/>
                <w:noProof/>
                <w:sz w:val="18"/>
                <w:szCs w:val="18"/>
              </w:rPr>
            </w:pPr>
            <w:r w:rsidRPr="008C5F1C">
              <w:rPr>
                <w:rFonts w:ascii="Times New Roman" w:hAnsi="Times New Roman" w:cs="Times New Roman"/>
                <w:noProof/>
                <w:sz w:val="18"/>
                <w:szCs w:val="18"/>
              </w:rPr>
              <w:t>Outermost and northern sparsely populated</w:t>
            </w:r>
          </w:p>
        </w:tc>
        <w:tc>
          <w:tcPr>
            <w:tcW w:w="513" w:type="pct"/>
          </w:tcPr>
          <w:p w14:paraId="7EC90C58"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01EB7D6A"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4236FF49"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52EC5AB4"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50608B4C" w14:textId="77777777" w:rsidR="00653571" w:rsidRPr="008C5F1C" w:rsidRDefault="00653571" w:rsidP="00534127">
            <w:pPr>
              <w:rPr>
                <w:rFonts w:ascii="Times New Roman" w:eastAsia="Calibri" w:hAnsi="Times New Roman" w:cs="Times New Roman"/>
                <w:noProof/>
                <w:sz w:val="18"/>
                <w:szCs w:val="18"/>
              </w:rPr>
            </w:pPr>
          </w:p>
        </w:tc>
        <w:tc>
          <w:tcPr>
            <w:tcW w:w="1417" w:type="pct"/>
          </w:tcPr>
          <w:p w14:paraId="22CCCFA2" w14:textId="77777777" w:rsidR="00653571" w:rsidRPr="008C5F1C" w:rsidRDefault="00653571" w:rsidP="00534127">
            <w:pPr>
              <w:rPr>
                <w:rFonts w:ascii="Times New Roman" w:eastAsia="Calibri" w:hAnsi="Times New Roman" w:cs="Times New Roman"/>
                <w:noProof/>
                <w:sz w:val="18"/>
                <w:szCs w:val="18"/>
              </w:rPr>
            </w:pPr>
          </w:p>
        </w:tc>
      </w:tr>
      <w:tr w:rsidR="00653571" w:rsidRPr="008C5F1C" w14:paraId="0E85037D" w14:textId="77777777" w:rsidTr="00534127">
        <w:tc>
          <w:tcPr>
            <w:tcW w:w="414" w:type="pct"/>
            <w:vMerge w:val="restart"/>
          </w:tcPr>
          <w:p w14:paraId="6EEC4E2D" w14:textId="77777777" w:rsidR="00653571" w:rsidRPr="008C5F1C" w:rsidRDefault="00653571" w:rsidP="00534127">
            <w:pPr>
              <w:rPr>
                <w:rFonts w:ascii="Times New Roman" w:eastAsia="Calibri" w:hAnsi="Times New Roman" w:cs="Times New Roman"/>
                <w:noProof/>
                <w:sz w:val="18"/>
                <w:szCs w:val="18"/>
              </w:rPr>
            </w:pPr>
            <w:r w:rsidRPr="008C5F1C">
              <w:rPr>
                <w:rFonts w:ascii="Times New Roman" w:eastAsia="Calibri" w:hAnsi="Times New Roman" w:cs="Times New Roman"/>
                <w:noProof/>
                <w:sz w:val="18"/>
                <w:szCs w:val="18"/>
              </w:rPr>
              <w:t>ESF+</w:t>
            </w:r>
          </w:p>
        </w:tc>
        <w:tc>
          <w:tcPr>
            <w:tcW w:w="603" w:type="pct"/>
          </w:tcPr>
          <w:p w14:paraId="7A7FF5C0" w14:textId="77777777" w:rsidR="00653571" w:rsidRPr="008C5F1C" w:rsidRDefault="00653571" w:rsidP="00534127">
            <w:pPr>
              <w:rPr>
                <w:rFonts w:ascii="Times New Roman" w:eastAsia="Calibri" w:hAnsi="Times New Roman" w:cs="Times New Roman"/>
                <w:noProof/>
                <w:sz w:val="18"/>
                <w:szCs w:val="18"/>
              </w:rPr>
            </w:pPr>
            <w:r w:rsidRPr="008C5F1C">
              <w:rPr>
                <w:rFonts w:ascii="Times New Roman" w:eastAsia="Calibri" w:hAnsi="Times New Roman" w:cs="Times New Roman"/>
                <w:noProof/>
                <w:sz w:val="18"/>
                <w:szCs w:val="18"/>
              </w:rPr>
              <w:t>More developed</w:t>
            </w:r>
          </w:p>
        </w:tc>
        <w:tc>
          <w:tcPr>
            <w:tcW w:w="513" w:type="pct"/>
          </w:tcPr>
          <w:p w14:paraId="1A03CC0D"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1EB7C798"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0B70E6E4"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0556760C"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60FB6D32" w14:textId="77777777" w:rsidR="00653571" w:rsidRPr="008C5F1C" w:rsidRDefault="00653571" w:rsidP="00534127">
            <w:pPr>
              <w:rPr>
                <w:rFonts w:ascii="Times New Roman" w:eastAsia="Calibri" w:hAnsi="Times New Roman" w:cs="Times New Roman"/>
                <w:noProof/>
                <w:sz w:val="18"/>
                <w:szCs w:val="18"/>
              </w:rPr>
            </w:pPr>
          </w:p>
        </w:tc>
        <w:tc>
          <w:tcPr>
            <w:tcW w:w="1417" w:type="pct"/>
          </w:tcPr>
          <w:p w14:paraId="2898F1E7" w14:textId="77777777" w:rsidR="00653571" w:rsidRPr="008C5F1C" w:rsidRDefault="00653571" w:rsidP="00534127">
            <w:pPr>
              <w:rPr>
                <w:rFonts w:ascii="Times New Roman" w:eastAsia="Calibri" w:hAnsi="Times New Roman" w:cs="Times New Roman"/>
                <w:noProof/>
                <w:sz w:val="18"/>
                <w:szCs w:val="18"/>
              </w:rPr>
            </w:pPr>
          </w:p>
        </w:tc>
      </w:tr>
      <w:tr w:rsidR="00653571" w:rsidRPr="008C5F1C" w14:paraId="1E88863B" w14:textId="77777777" w:rsidTr="00534127">
        <w:tc>
          <w:tcPr>
            <w:tcW w:w="414" w:type="pct"/>
            <w:vMerge/>
          </w:tcPr>
          <w:p w14:paraId="1FE37A59" w14:textId="77777777" w:rsidR="00653571" w:rsidRPr="008C5F1C" w:rsidRDefault="00653571" w:rsidP="00534127">
            <w:pPr>
              <w:rPr>
                <w:rFonts w:ascii="Times New Roman" w:eastAsia="Calibri" w:hAnsi="Times New Roman" w:cs="Times New Roman"/>
                <w:noProof/>
                <w:sz w:val="18"/>
                <w:szCs w:val="18"/>
              </w:rPr>
            </w:pPr>
          </w:p>
        </w:tc>
        <w:tc>
          <w:tcPr>
            <w:tcW w:w="603" w:type="pct"/>
          </w:tcPr>
          <w:p w14:paraId="74D97B0D" w14:textId="77777777" w:rsidR="00653571" w:rsidRPr="008C5F1C" w:rsidRDefault="00653571" w:rsidP="00534127">
            <w:pPr>
              <w:rPr>
                <w:rFonts w:ascii="Times New Roman" w:eastAsia="Calibri" w:hAnsi="Times New Roman" w:cs="Times New Roman"/>
                <w:noProof/>
                <w:sz w:val="18"/>
                <w:szCs w:val="18"/>
              </w:rPr>
            </w:pPr>
            <w:r w:rsidRPr="008C5F1C">
              <w:rPr>
                <w:rFonts w:ascii="Times New Roman" w:eastAsia="Calibri" w:hAnsi="Times New Roman" w:cs="Times New Roman"/>
                <w:noProof/>
                <w:sz w:val="18"/>
                <w:szCs w:val="18"/>
              </w:rPr>
              <w:t>Less developed</w:t>
            </w:r>
          </w:p>
        </w:tc>
        <w:tc>
          <w:tcPr>
            <w:tcW w:w="513" w:type="pct"/>
          </w:tcPr>
          <w:p w14:paraId="56528FF1"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3868F1E2"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2D144312"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7D5DC674"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119343D5" w14:textId="77777777" w:rsidR="00653571" w:rsidRPr="008C5F1C" w:rsidRDefault="00653571" w:rsidP="00534127">
            <w:pPr>
              <w:rPr>
                <w:rFonts w:ascii="Times New Roman" w:eastAsia="Calibri" w:hAnsi="Times New Roman" w:cs="Times New Roman"/>
                <w:noProof/>
                <w:sz w:val="18"/>
                <w:szCs w:val="18"/>
              </w:rPr>
            </w:pPr>
          </w:p>
        </w:tc>
        <w:tc>
          <w:tcPr>
            <w:tcW w:w="1417" w:type="pct"/>
          </w:tcPr>
          <w:p w14:paraId="599E073D" w14:textId="77777777" w:rsidR="00653571" w:rsidRPr="008C5F1C" w:rsidRDefault="00653571" w:rsidP="00534127">
            <w:pPr>
              <w:rPr>
                <w:rFonts w:ascii="Times New Roman" w:eastAsia="Calibri" w:hAnsi="Times New Roman" w:cs="Times New Roman"/>
                <w:noProof/>
                <w:sz w:val="18"/>
                <w:szCs w:val="18"/>
              </w:rPr>
            </w:pPr>
          </w:p>
        </w:tc>
      </w:tr>
      <w:tr w:rsidR="00653571" w:rsidRPr="008C5F1C" w14:paraId="1C5F8BF5" w14:textId="77777777" w:rsidTr="00534127">
        <w:tc>
          <w:tcPr>
            <w:tcW w:w="414" w:type="pct"/>
            <w:vMerge/>
          </w:tcPr>
          <w:p w14:paraId="76923B74" w14:textId="77777777" w:rsidR="00653571" w:rsidRPr="008C5F1C" w:rsidRDefault="00653571" w:rsidP="00534127">
            <w:pPr>
              <w:rPr>
                <w:rFonts w:ascii="Times New Roman" w:eastAsia="Calibri" w:hAnsi="Times New Roman" w:cs="Times New Roman"/>
                <w:noProof/>
                <w:sz w:val="18"/>
                <w:szCs w:val="18"/>
              </w:rPr>
            </w:pPr>
          </w:p>
        </w:tc>
        <w:tc>
          <w:tcPr>
            <w:tcW w:w="603" w:type="pct"/>
          </w:tcPr>
          <w:p w14:paraId="62FFCFEB" w14:textId="77777777" w:rsidR="00653571" w:rsidRPr="008C5F1C" w:rsidRDefault="00653571" w:rsidP="00534127">
            <w:pPr>
              <w:rPr>
                <w:rFonts w:ascii="Times New Roman" w:eastAsia="Calibri" w:hAnsi="Times New Roman" w:cs="Times New Roman"/>
                <w:noProof/>
                <w:sz w:val="18"/>
                <w:szCs w:val="18"/>
              </w:rPr>
            </w:pPr>
            <w:r w:rsidRPr="008C5F1C">
              <w:rPr>
                <w:rFonts w:ascii="Times New Roman" w:eastAsia="Calibri" w:hAnsi="Times New Roman" w:cs="Times New Roman"/>
                <w:noProof/>
                <w:sz w:val="18"/>
                <w:szCs w:val="18"/>
              </w:rPr>
              <w:t>Transition</w:t>
            </w:r>
          </w:p>
        </w:tc>
        <w:tc>
          <w:tcPr>
            <w:tcW w:w="513" w:type="pct"/>
          </w:tcPr>
          <w:p w14:paraId="0AD8511A"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27AC070C"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0D971E78"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7978A387"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24266C41" w14:textId="77777777" w:rsidR="00653571" w:rsidRPr="008C5F1C" w:rsidRDefault="00653571" w:rsidP="00534127">
            <w:pPr>
              <w:rPr>
                <w:rFonts w:ascii="Times New Roman" w:eastAsia="Calibri" w:hAnsi="Times New Roman" w:cs="Times New Roman"/>
                <w:noProof/>
                <w:sz w:val="18"/>
                <w:szCs w:val="18"/>
              </w:rPr>
            </w:pPr>
          </w:p>
        </w:tc>
        <w:tc>
          <w:tcPr>
            <w:tcW w:w="1417" w:type="pct"/>
          </w:tcPr>
          <w:p w14:paraId="7113B6FA" w14:textId="77777777" w:rsidR="00653571" w:rsidRPr="008C5F1C" w:rsidRDefault="00653571" w:rsidP="00534127">
            <w:pPr>
              <w:rPr>
                <w:rFonts w:ascii="Times New Roman" w:eastAsia="Calibri" w:hAnsi="Times New Roman" w:cs="Times New Roman"/>
                <w:noProof/>
                <w:sz w:val="18"/>
                <w:szCs w:val="18"/>
              </w:rPr>
            </w:pPr>
          </w:p>
        </w:tc>
      </w:tr>
      <w:tr w:rsidR="00653571" w:rsidRPr="008C5F1C" w14:paraId="656AA275" w14:textId="77777777" w:rsidTr="00534127">
        <w:tc>
          <w:tcPr>
            <w:tcW w:w="414" w:type="pct"/>
            <w:vMerge/>
          </w:tcPr>
          <w:p w14:paraId="188908A7" w14:textId="77777777" w:rsidR="00653571" w:rsidRPr="008C5F1C" w:rsidRDefault="00653571" w:rsidP="00534127">
            <w:pPr>
              <w:rPr>
                <w:rFonts w:ascii="Times New Roman" w:eastAsia="Calibri" w:hAnsi="Times New Roman" w:cs="Times New Roman"/>
                <w:noProof/>
                <w:sz w:val="18"/>
                <w:szCs w:val="18"/>
              </w:rPr>
            </w:pPr>
          </w:p>
        </w:tc>
        <w:tc>
          <w:tcPr>
            <w:tcW w:w="603" w:type="pct"/>
          </w:tcPr>
          <w:p w14:paraId="5C1DAF8E" w14:textId="77777777" w:rsidR="00653571" w:rsidRPr="008C5F1C" w:rsidRDefault="00653571" w:rsidP="00534127">
            <w:pPr>
              <w:rPr>
                <w:rFonts w:ascii="Times New Roman" w:eastAsia="Calibri" w:hAnsi="Times New Roman" w:cs="Times New Roman"/>
                <w:noProof/>
                <w:sz w:val="18"/>
                <w:szCs w:val="18"/>
              </w:rPr>
            </w:pPr>
            <w:r w:rsidRPr="008C5F1C">
              <w:rPr>
                <w:rFonts w:ascii="Times New Roman" w:eastAsia="Calibri" w:hAnsi="Times New Roman" w:cs="Times New Roman"/>
                <w:noProof/>
                <w:sz w:val="18"/>
                <w:szCs w:val="18"/>
              </w:rPr>
              <w:t xml:space="preserve">Outermost </w:t>
            </w:r>
            <w:r w:rsidRPr="008C5F1C">
              <w:rPr>
                <w:rFonts w:ascii="Times New Roman" w:hAnsi="Times New Roman" w:cs="Times New Roman"/>
                <w:noProof/>
                <w:sz w:val="18"/>
                <w:szCs w:val="20"/>
              </w:rPr>
              <w:t>and northern sparsely populated</w:t>
            </w:r>
          </w:p>
        </w:tc>
        <w:tc>
          <w:tcPr>
            <w:tcW w:w="513" w:type="pct"/>
          </w:tcPr>
          <w:p w14:paraId="79E4BFF6"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57A5375A"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7849629D"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325928F5"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218505AA" w14:textId="77777777" w:rsidR="00653571" w:rsidRPr="008C5F1C" w:rsidRDefault="00653571" w:rsidP="00534127">
            <w:pPr>
              <w:rPr>
                <w:rFonts w:ascii="Times New Roman" w:eastAsia="Calibri" w:hAnsi="Times New Roman" w:cs="Times New Roman"/>
                <w:noProof/>
                <w:sz w:val="18"/>
                <w:szCs w:val="18"/>
              </w:rPr>
            </w:pPr>
          </w:p>
        </w:tc>
        <w:tc>
          <w:tcPr>
            <w:tcW w:w="1417" w:type="pct"/>
          </w:tcPr>
          <w:p w14:paraId="07370940" w14:textId="77777777" w:rsidR="00653571" w:rsidRPr="008C5F1C" w:rsidRDefault="00653571" w:rsidP="00534127">
            <w:pPr>
              <w:rPr>
                <w:rFonts w:ascii="Times New Roman" w:eastAsia="Calibri" w:hAnsi="Times New Roman" w:cs="Times New Roman"/>
                <w:noProof/>
                <w:sz w:val="18"/>
                <w:szCs w:val="18"/>
              </w:rPr>
            </w:pPr>
          </w:p>
        </w:tc>
      </w:tr>
      <w:tr w:rsidR="00653571" w:rsidRPr="008C5F1C" w14:paraId="664178DE" w14:textId="77777777" w:rsidTr="00534127">
        <w:tc>
          <w:tcPr>
            <w:tcW w:w="414" w:type="pct"/>
            <w:vMerge w:val="restart"/>
          </w:tcPr>
          <w:p w14:paraId="46E743E9" w14:textId="77777777" w:rsidR="00653571" w:rsidRPr="008C5F1C" w:rsidRDefault="00653571" w:rsidP="00534127">
            <w:pPr>
              <w:rPr>
                <w:rFonts w:ascii="Times New Roman" w:eastAsia="Calibri" w:hAnsi="Times New Roman" w:cs="Times New Roman"/>
                <w:noProof/>
                <w:sz w:val="18"/>
                <w:szCs w:val="18"/>
              </w:rPr>
            </w:pPr>
            <w:r w:rsidRPr="008C5F1C">
              <w:rPr>
                <w:rFonts w:ascii="Times New Roman" w:eastAsia="Calibri" w:hAnsi="Times New Roman" w:cs="Times New Roman"/>
                <w:noProof/>
                <w:sz w:val="18"/>
                <w:szCs w:val="18"/>
              </w:rPr>
              <w:t>JTF*</w:t>
            </w:r>
          </w:p>
        </w:tc>
        <w:tc>
          <w:tcPr>
            <w:tcW w:w="603" w:type="pct"/>
          </w:tcPr>
          <w:p w14:paraId="31252094" w14:textId="77777777" w:rsidR="00653571" w:rsidRPr="008C5F1C" w:rsidRDefault="00653571" w:rsidP="00534127">
            <w:pPr>
              <w:rPr>
                <w:rFonts w:ascii="Times New Roman" w:eastAsia="Calibri" w:hAnsi="Times New Roman" w:cs="Times New Roman"/>
                <w:noProof/>
                <w:sz w:val="18"/>
                <w:szCs w:val="18"/>
              </w:rPr>
            </w:pPr>
            <w:r w:rsidRPr="008C5F1C">
              <w:rPr>
                <w:rFonts w:ascii="Times New Roman" w:eastAsia="Calibri" w:hAnsi="Times New Roman" w:cs="Times New Roman"/>
                <w:noProof/>
                <w:sz w:val="18"/>
                <w:szCs w:val="18"/>
              </w:rPr>
              <w:t>More developed</w:t>
            </w:r>
          </w:p>
        </w:tc>
        <w:tc>
          <w:tcPr>
            <w:tcW w:w="513" w:type="pct"/>
          </w:tcPr>
          <w:p w14:paraId="785FACEC"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0979CDCD"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20D8F2E3"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3DEAB7E5"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709DA654" w14:textId="77777777" w:rsidR="00653571" w:rsidRPr="008C5F1C" w:rsidRDefault="00653571" w:rsidP="00534127">
            <w:pPr>
              <w:rPr>
                <w:rFonts w:ascii="Times New Roman" w:eastAsia="Calibri" w:hAnsi="Times New Roman" w:cs="Times New Roman"/>
                <w:noProof/>
                <w:sz w:val="18"/>
                <w:szCs w:val="18"/>
              </w:rPr>
            </w:pPr>
          </w:p>
        </w:tc>
        <w:tc>
          <w:tcPr>
            <w:tcW w:w="1417" w:type="pct"/>
          </w:tcPr>
          <w:p w14:paraId="6B02D20F" w14:textId="77777777" w:rsidR="00653571" w:rsidRPr="008C5F1C" w:rsidRDefault="00653571" w:rsidP="00534127">
            <w:pPr>
              <w:rPr>
                <w:rFonts w:ascii="Times New Roman" w:eastAsia="Calibri" w:hAnsi="Times New Roman" w:cs="Times New Roman"/>
                <w:noProof/>
                <w:sz w:val="18"/>
                <w:szCs w:val="18"/>
              </w:rPr>
            </w:pPr>
          </w:p>
        </w:tc>
      </w:tr>
      <w:tr w:rsidR="00653571" w:rsidRPr="008C5F1C" w14:paraId="52E071BD" w14:textId="77777777" w:rsidTr="00534127">
        <w:tc>
          <w:tcPr>
            <w:tcW w:w="414" w:type="pct"/>
            <w:vMerge/>
          </w:tcPr>
          <w:p w14:paraId="78C6BA61" w14:textId="77777777" w:rsidR="00653571" w:rsidRPr="008C5F1C" w:rsidRDefault="00653571" w:rsidP="00534127">
            <w:pPr>
              <w:rPr>
                <w:rFonts w:ascii="Times New Roman" w:eastAsia="Calibri" w:hAnsi="Times New Roman" w:cs="Times New Roman"/>
                <w:noProof/>
                <w:sz w:val="18"/>
                <w:szCs w:val="18"/>
              </w:rPr>
            </w:pPr>
          </w:p>
        </w:tc>
        <w:tc>
          <w:tcPr>
            <w:tcW w:w="603" w:type="pct"/>
          </w:tcPr>
          <w:p w14:paraId="7AE9245B" w14:textId="77777777" w:rsidR="00653571" w:rsidRPr="008C5F1C" w:rsidRDefault="00653571" w:rsidP="00534127">
            <w:pPr>
              <w:rPr>
                <w:rFonts w:ascii="Times New Roman" w:eastAsia="Calibri" w:hAnsi="Times New Roman" w:cs="Times New Roman"/>
                <w:noProof/>
                <w:sz w:val="18"/>
                <w:szCs w:val="18"/>
              </w:rPr>
            </w:pPr>
            <w:r w:rsidRPr="008C5F1C">
              <w:rPr>
                <w:rFonts w:ascii="Times New Roman" w:eastAsia="Calibri" w:hAnsi="Times New Roman" w:cs="Times New Roman"/>
                <w:noProof/>
                <w:sz w:val="18"/>
                <w:szCs w:val="18"/>
              </w:rPr>
              <w:t>Less developed</w:t>
            </w:r>
          </w:p>
        </w:tc>
        <w:tc>
          <w:tcPr>
            <w:tcW w:w="513" w:type="pct"/>
          </w:tcPr>
          <w:p w14:paraId="5D24A07B"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612D7E66"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29570897"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0AF15429"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6736716C" w14:textId="77777777" w:rsidR="00653571" w:rsidRPr="008C5F1C" w:rsidRDefault="00653571" w:rsidP="00534127">
            <w:pPr>
              <w:rPr>
                <w:rFonts w:ascii="Times New Roman" w:eastAsia="Calibri" w:hAnsi="Times New Roman" w:cs="Times New Roman"/>
                <w:noProof/>
                <w:sz w:val="18"/>
                <w:szCs w:val="18"/>
              </w:rPr>
            </w:pPr>
          </w:p>
        </w:tc>
        <w:tc>
          <w:tcPr>
            <w:tcW w:w="1417" w:type="pct"/>
          </w:tcPr>
          <w:p w14:paraId="2EAA35D8" w14:textId="77777777" w:rsidR="00653571" w:rsidRPr="008C5F1C" w:rsidRDefault="00653571" w:rsidP="00534127">
            <w:pPr>
              <w:rPr>
                <w:rFonts w:ascii="Times New Roman" w:eastAsia="Calibri" w:hAnsi="Times New Roman" w:cs="Times New Roman"/>
                <w:noProof/>
                <w:sz w:val="18"/>
                <w:szCs w:val="18"/>
              </w:rPr>
            </w:pPr>
          </w:p>
        </w:tc>
      </w:tr>
      <w:tr w:rsidR="00653571" w:rsidRPr="008C5F1C" w14:paraId="10ADCC3D" w14:textId="77777777" w:rsidTr="00534127">
        <w:tc>
          <w:tcPr>
            <w:tcW w:w="414" w:type="pct"/>
            <w:vMerge/>
          </w:tcPr>
          <w:p w14:paraId="07784A70" w14:textId="77777777" w:rsidR="00653571" w:rsidRPr="008C5F1C" w:rsidRDefault="00653571" w:rsidP="00534127">
            <w:pPr>
              <w:rPr>
                <w:rFonts w:ascii="Times New Roman" w:eastAsia="Calibri" w:hAnsi="Times New Roman" w:cs="Times New Roman"/>
                <w:noProof/>
                <w:sz w:val="18"/>
                <w:szCs w:val="18"/>
              </w:rPr>
            </w:pPr>
          </w:p>
        </w:tc>
        <w:tc>
          <w:tcPr>
            <w:tcW w:w="603" w:type="pct"/>
          </w:tcPr>
          <w:p w14:paraId="2CCC57F2" w14:textId="77777777" w:rsidR="00653571" w:rsidRPr="008C5F1C" w:rsidRDefault="00653571" w:rsidP="00534127">
            <w:pPr>
              <w:rPr>
                <w:rFonts w:ascii="Times New Roman" w:eastAsia="Calibri" w:hAnsi="Times New Roman" w:cs="Times New Roman"/>
                <w:noProof/>
                <w:sz w:val="18"/>
                <w:szCs w:val="18"/>
              </w:rPr>
            </w:pPr>
            <w:r w:rsidRPr="008C5F1C">
              <w:rPr>
                <w:rFonts w:ascii="Times New Roman" w:eastAsia="Calibri" w:hAnsi="Times New Roman" w:cs="Times New Roman"/>
                <w:noProof/>
                <w:sz w:val="18"/>
                <w:szCs w:val="18"/>
              </w:rPr>
              <w:t>Transition</w:t>
            </w:r>
          </w:p>
        </w:tc>
        <w:tc>
          <w:tcPr>
            <w:tcW w:w="513" w:type="pct"/>
          </w:tcPr>
          <w:p w14:paraId="3656ADAA"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365128ED"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629BE197"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112A415D"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1D1A48A8" w14:textId="77777777" w:rsidR="00653571" w:rsidRPr="008C5F1C" w:rsidRDefault="00653571" w:rsidP="00534127">
            <w:pPr>
              <w:rPr>
                <w:rFonts w:ascii="Times New Roman" w:eastAsia="Calibri" w:hAnsi="Times New Roman" w:cs="Times New Roman"/>
                <w:noProof/>
                <w:sz w:val="18"/>
                <w:szCs w:val="18"/>
              </w:rPr>
            </w:pPr>
          </w:p>
        </w:tc>
        <w:tc>
          <w:tcPr>
            <w:tcW w:w="1417" w:type="pct"/>
          </w:tcPr>
          <w:p w14:paraId="14620D88" w14:textId="77777777" w:rsidR="00653571" w:rsidRPr="008C5F1C" w:rsidRDefault="00653571" w:rsidP="00534127">
            <w:pPr>
              <w:rPr>
                <w:rFonts w:ascii="Times New Roman" w:eastAsia="Calibri" w:hAnsi="Times New Roman" w:cs="Times New Roman"/>
                <w:noProof/>
                <w:sz w:val="18"/>
                <w:szCs w:val="18"/>
              </w:rPr>
            </w:pPr>
          </w:p>
        </w:tc>
      </w:tr>
      <w:tr w:rsidR="00653571" w:rsidRPr="008C5F1C" w14:paraId="7E75B9A1" w14:textId="77777777" w:rsidTr="00534127">
        <w:tc>
          <w:tcPr>
            <w:tcW w:w="414" w:type="pct"/>
          </w:tcPr>
          <w:p w14:paraId="7680EB9E" w14:textId="77777777" w:rsidR="00653571" w:rsidRPr="008C5F1C" w:rsidRDefault="00653571" w:rsidP="00534127">
            <w:pPr>
              <w:rPr>
                <w:rFonts w:ascii="Times New Roman" w:eastAsia="Calibri" w:hAnsi="Times New Roman" w:cs="Times New Roman"/>
                <w:noProof/>
                <w:sz w:val="18"/>
                <w:szCs w:val="18"/>
              </w:rPr>
            </w:pPr>
            <w:r w:rsidRPr="008C5F1C">
              <w:rPr>
                <w:rFonts w:ascii="Times New Roman" w:eastAsia="Calibri" w:hAnsi="Times New Roman" w:cs="Times New Roman"/>
                <w:noProof/>
                <w:sz w:val="18"/>
                <w:szCs w:val="18"/>
              </w:rPr>
              <w:t>CF</w:t>
            </w:r>
          </w:p>
        </w:tc>
        <w:tc>
          <w:tcPr>
            <w:tcW w:w="603" w:type="pct"/>
          </w:tcPr>
          <w:p w14:paraId="4ADBF3B9"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7321ECA0"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777FAFF5"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788E3154"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02074FF1"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6D927DBB" w14:textId="77777777" w:rsidR="00653571" w:rsidRPr="008C5F1C" w:rsidRDefault="00653571" w:rsidP="00534127">
            <w:pPr>
              <w:rPr>
                <w:rFonts w:ascii="Times New Roman" w:eastAsia="Calibri" w:hAnsi="Times New Roman" w:cs="Times New Roman"/>
                <w:noProof/>
                <w:sz w:val="18"/>
                <w:szCs w:val="18"/>
              </w:rPr>
            </w:pPr>
          </w:p>
        </w:tc>
        <w:tc>
          <w:tcPr>
            <w:tcW w:w="1417" w:type="pct"/>
          </w:tcPr>
          <w:p w14:paraId="27EE5D15" w14:textId="77777777" w:rsidR="00653571" w:rsidRPr="008C5F1C" w:rsidRDefault="00653571" w:rsidP="00534127">
            <w:pPr>
              <w:rPr>
                <w:rFonts w:ascii="Times New Roman" w:eastAsia="Calibri" w:hAnsi="Times New Roman" w:cs="Times New Roman"/>
                <w:noProof/>
                <w:sz w:val="18"/>
                <w:szCs w:val="18"/>
              </w:rPr>
            </w:pPr>
          </w:p>
        </w:tc>
      </w:tr>
      <w:tr w:rsidR="00653571" w:rsidRPr="008C5F1C" w14:paraId="4FD05136" w14:textId="77777777" w:rsidTr="00534127">
        <w:tc>
          <w:tcPr>
            <w:tcW w:w="414" w:type="pct"/>
          </w:tcPr>
          <w:p w14:paraId="055F4EE0" w14:textId="77777777" w:rsidR="00653571" w:rsidRPr="008C5F1C" w:rsidRDefault="00653571" w:rsidP="00534127">
            <w:pPr>
              <w:rPr>
                <w:rFonts w:ascii="Times New Roman" w:eastAsia="Calibri" w:hAnsi="Times New Roman" w:cs="Times New Roman"/>
                <w:noProof/>
                <w:sz w:val="18"/>
                <w:szCs w:val="18"/>
              </w:rPr>
            </w:pPr>
            <w:r w:rsidRPr="008C5F1C">
              <w:rPr>
                <w:rFonts w:ascii="Times New Roman" w:eastAsia="Calibri" w:hAnsi="Times New Roman" w:cs="Times New Roman"/>
                <w:noProof/>
                <w:sz w:val="18"/>
                <w:szCs w:val="18"/>
              </w:rPr>
              <w:t>EMFF</w:t>
            </w:r>
          </w:p>
        </w:tc>
        <w:tc>
          <w:tcPr>
            <w:tcW w:w="603" w:type="pct"/>
          </w:tcPr>
          <w:p w14:paraId="3461A4BE"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20F9DDCC"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2CBEAD9B"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2A16ECA0"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4C807D62"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7856E879" w14:textId="77777777" w:rsidR="00653571" w:rsidRPr="008C5F1C" w:rsidRDefault="00653571" w:rsidP="00534127">
            <w:pPr>
              <w:rPr>
                <w:rFonts w:ascii="Times New Roman" w:eastAsia="Calibri" w:hAnsi="Times New Roman" w:cs="Times New Roman"/>
                <w:noProof/>
                <w:sz w:val="18"/>
                <w:szCs w:val="18"/>
              </w:rPr>
            </w:pPr>
          </w:p>
        </w:tc>
        <w:tc>
          <w:tcPr>
            <w:tcW w:w="1417" w:type="pct"/>
          </w:tcPr>
          <w:p w14:paraId="39215BEC" w14:textId="77777777" w:rsidR="00653571" w:rsidRPr="008C5F1C" w:rsidRDefault="00653571" w:rsidP="00534127">
            <w:pPr>
              <w:rPr>
                <w:rFonts w:ascii="Times New Roman" w:eastAsia="Calibri" w:hAnsi="Times New Roman" w:cs="Times New Roman"/>
                <w:noProof/>
                <w:sz w:val="18"/>
                <w:szCs w:val="18"/>
              </w:rPr>
            </w:pPr>
          </w:p>
        </w:tc>
      </w:tr>
      <w:tr w:rsidR="00653571" w:rsidRPr="008C5F1C" w14:paraId="7DA1DB24" w14:textId="77777777" w:rsidTr="00534127">
        <w:tc>
          <w:tcPr>
            <w:tcW w:w="414" w:type="pct"/>
          </w:tcPr>
          <w:p w14:paraId="05C874B7" w14:textId="77777777" w:rsidR="00653571" w:rsidRPr="008C5F1C" w:rsidRDefault="00653571" w:rsidP="00534127">
            <w:pPr>
              <w:rPr>
                <w:rFonts w:ascii="Times New Roman" w:eastAsia="Calibri" w:hAnsi="Times New Roman" w:cs="Times New Roman"/>
                <w:noProof/>
                <w:sz w:val="18"/>
                <w:szCs w:val="18"/>
              </w:rPr>
            </w:pPr>
            <w:r w:rsidRPr="008C5F1C">
              <w:rPr>
                <w:rFonts w:ascii="Times New Roman" w:eastAsia="Calibri" w:hAnsi="Times New Roman" w:cs="Times New Roman"/>
                <w:noProof/>
                <w:sz w:val="18"/>
                <w:szCs w:val="18"/>
              </w:rPr>
              <w:t>Total</w:t>
            </w:r>
          </w:p>
        </w:tc>
        <w:tc>
          <w:tcPr>
            <w:tcW w:w="603" w:type="pct"/>
          </w:tcPr>
          <w:p w14:paraId="763239C3"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7FDEF143"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26DA8842"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28AA1BA1"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20F2A630" w14:textId="77777777" w:rsidR="00653571" w:rsidRPr="008C5F1C" w:rsidRDefault="00653571" w:rsidP="00534127">
            <w:pPr>
              <w:rPr>
                <w:rFonts w:ascii="Times New Roman" w:eastAsia="Calibri" w:hAnsi="Times New Roman" w:cs="Times New Roman"/>
                <w:noProof/>
                <w:sz w:val="18"/>
                <w:szCs w:val="18"/>
              </w:rPr>
            </w:pPr>
          </w:p>
        </w:tc>
        <w:tc>
          <w:tcPr>
            <w:tcW w:w="513" w:type="pct"/>
          </w:tcPr>
          <w:p w14:paraId="17DE49D8" w14:textId="77777777" w:rsidR="00653571" w:rsidRPr="008C5F1C" w:rsidRDefault="00653571" w:rsidP="00534127">
            <w:pPr>
              <w:rPr>
                <w:rFonts w:ascii="Times New Roman" w:eastAsia="Calibri" w:hAnsi="Times New Roman" w:cs="Times New Roman"/>
                <w:noProof/>
                <w:sz w:val="18"/>
                <w:szCs w:val="18"/>
              </w:rPr>
            </w:pPr>
          </w:p>
        </w:tc>
        <w:tc>
          <w:tcPr>
            <w:tcW w:w="1417" w:type="pct"/>
          </w:tcPr>
          <w:p w14:paraId="45C3A51B" w14:textId="77777777" w:rsidR="00653571" w:rsidRPr="008C5F1C" w:rsidRDefault="00653571" w:rsidP="00534127">
            <w:pPr>
              <w:rPr>
                <w:rFonts w:ascii="Times New Roman" w:eastAsia="Calibri" w:hAnsi="Times New Roman" w:cs="Times New Roman"/>
                <w:noProof/>
                <w:sz w:val="18"/>
                <w:szCs w:val="18"/>
              </w:rPr>
            </w:pPr>
          </w:p>
        </w:tc>
      </w:tr>
    </w:tbl>
    <w:p w14:paraId="4560E838" w14:textId="77777777" w:rsidR="00653571" w:rsidRPr="008C5F1C" w:rsidRDefault="00653571" w:rsidP="00653571">
      <w:pPr>
        <w:jc w:val="both"/>
        <w:rPr>
          <w:rFonts w:ascii="Times New Roman" w:eastAsia="Times New Roman" w:hAnsi="Times New Roman" w:cs="Times New Roman"/>
          <w:noProof/>
          <w:sz w:val="20"/>
          <w:szCs w:val="20"/>
          <w:lang w:eastAsia="en-GB"/>
        </w:rPr>
      </w:pPr>
      <w:r w:rsidRPr="008C5F1C">
        <w:rPr>
          <w:rFonts w:ascii="Times New Roman" w:eastAsia="Times New Roman" w:hAnsi="Times New Roman" w:cs="Times New Roman"/>
          <w:noProof/>
          <w:sz w:val="20"/>
          <w:szCs w:val="20"/>
          <w:lang w:eastAsia="en-GB"/>
        </w:rPr>
        <w:t>* Initial JTF allocation (without complementary resources transferred) within the limits set in Article 21.</w:t>
      </w:r>
    </w:p>
    <w:p w14:paraId="31B974CD" w14:textId="77777777" w:rsidR="00653571" w:rsidRPr="008C5F1C" w:rsidRDefault="00653571" w:rsidP="00653571">
      <w:pPr>
        <w:spacing w:before="120" w:after="120" w:line="360" w:lineRule="auto"/>
        <w:rPr>
          <w:rFonts w:ascii="Times New Roman" w:hAnsi="Times New Roman" w:cs="Times New Roman"/>
          <w:sz w:val="24"/>
        </w:rPr>
      </w:pPr>
      <w:r w:rsidRPr="008C5F1C">
        <w:rPr>
          <w:rFonts w:ascii="Times New Roman" w:hAnsi="Times New Roman" w:cs="Times New Roman"/>
          <w:b/>
          <w:noProof/>
          <w:sz w:val="20"/>
        </w:rPr>
        <w:t>Table 16: Transfers to instruments under direct or indirect management*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1028"/>
        <w:gridCol w:w="1175"/>
        <w:gridCol w:w="1175"/>
        <w:gridCol w:w="1175"/>
        <w:gridCol w:w="1175"/>
        <w:gridCol w:w="1175"/>
        <w:gridCol w:w="1877"/>
      </w:tblGrid>
      <w:tr w:rsidR="00653571" w:rsidRPr="008C5F1C" w14:paraId="7C747354" w14:textId="77777777" w:rsidTr="00534127">
        <w:tc>
          <w:tcPr>
            <w:tcW w:w="440" w:type="pct"/>
            <w:tcBorders>
              <w:top w:val="single" w:sz="4" w:space="0" w:color="auto"/>
              <w:left w:val="single" w:sz="4" w:space="0" w:color="auto"/>
              <w:bottom w:val="single" w:sz="4" w:space="0" w:color="auto"/>
              <w:right w:val="single" w:sz="4" w:space="0" w:color="auto"/>
            </w:tcBorders>
            <w:hideMark/>
          </w:tcPr>
          <w:p w14:paraId="32C2A8C0" w14:textId="77777777" w:rsidR="00653571" w:rsidRPr="008C5F1C" w:rsidRDefault="00653571" w:rsidP="00534127">
            <w:pPr>
              <w:spacing w:beforeLines="60" w:before="144" w:afterLines="60" w:after="144"/>
              <w:jc w:val="center"/>
              <w:rPr>
                <w:rFonts w:ascii="Times New Roman" w:eastAsia="Times New Roman" w:hAnsi="Times New Roman" w:cs="Times New Roman"/>
                <w:b/>
                <w:noProof/>
                <w:sz w:val="18"/>
                <w:szCs w:val="18"/>
              </w:rPr>
            </w:pPr>
            <w:r w:rsidRPr="008C5F1C">
              <w:rPr>
                <w:rFonts w:ascii="Times New Roman" w:eastAsia="Times New Roman" w:hAnsi="Times New Roman" w:cs="Times New Roman"/>
                <w:b/>
                <w:noProof/>
                <w:sz w:val="18"/>
                <w:szCs w:val="18"/>
              </w:rPr>
              <w:t>Fund</w:t>
            </w:r>
          </w:p>
        </w:tc>
        <w:tc>
          <w:tcPr>
            <w:tcW w:w="534" w:type="pct"/>
            <w:tcBorders>
              <w:top w:val="single" w:sz="4" w:space="0" w:color="auto"/>
              <w:left w:val="single" w:sz="4" w:space="0" w:color="auto"/>
              <w:bottom w:val="single" w:sz="4" w:space="0" w:color="auto"/>
              <w:right w:val="single" w:sz="4" w:space="0" w:color="auto"/>
            </w:tcBorders>
            <w:hideMark/>
          </w:tcPr>
          <w:p w14:paraId="70D0A424" w14:textId="77777777" w:rsidR="00653571" w:rsidRPr="008C5F1C" w:rsidRDefault="00653571" w:rsidP="00534127">
            <w:pPr>
              <w:spacing w:beforeLines="60" w:before="144" w:afterLines="60" w:after="144"/>
              <w:rPr>
                <w:rFonts w:ascii="Times New Roman" w:eastAsia="Times New Roman" w:hAnsi="Times New Roman" w:cs="Times New Roman"/>
                <w:b/>
                <w:noProof/>
                <w:sz w:val="18"/>
                <w:szCs w:val="18"/>
              </w:rPr>
            </w:pPr>
            <w:r w:rsidRPr="008C5F1C">
              <w:rPr>
                <w:rFonts w:ascii="Times New Roman" w:eastAsia="Times New Roman" w:hAnsi="Times New Roman" w:cs="Times New Roman"/>
                <w:b/>
                <w:noProof/>
                <w:sz w:val="18"/>
                <w:szCs w:val="18"/>
              </w:rPr>
              <w:t>Category of regions</w:t>
            </w:r>
          </w:p>
        </w:tc>
        <w:tc>
          <w:tcPr>
            <w:tcW w:w="610" w:type="pct"/>
            <w:tcBorders>
              <w:top w:val="single" w:sz="4" w:space="0" w:color="auto"/>
              <w:left w:val="single" w:sz="4" w:space="0" w:color="auto"/>
              <w:bottom w:val="single" w:sz="4" w:space="0" w:color="auto"/>
              <w:right w:val="single" w:sz="4" w:space="0" w:color="auto"/>
            </w:tcBorders>
            <w:hideMark/>
          </w:tcPr>
          <w:p w14:paraId="0F35E37B" w14:textId="77777777" w:rsidR="00653571" w:rsidRPr="008C5F1C" w:rsidRDefault="00653571" w:rsidP="00534127">
            <w:pPr>
              <w:spacing w:beforeLines="60" w:before="144" w:afterLines="60" w:after="144"/>
              <w:jc w:val="center"/>
              <w:rPr>
                <w:rFonts w:ascii="Times New Roman" w:eastAsia="Times New Roman" w:hAnsi="Times New Roman" w:cs="Times New Roman"/>
                <w:b/>
                <w:noProof/>
                <w:sz w:val="18"/>
                <w:szCs w:val="18"/>
              </w:rPr>
            </w:pPr>
            <w:r w:rsidRPr="008C5F1C">
              <w:rPr>
                <w:rFonts w:ascii="Times New Roman" w:hAnsi="Times New Roman" w:cs="Times New Roman"/>
                <w:b/>
                <w:noProof/>
                <w:sz w:val="18"/>
                <w:szCs w:val="18"/>
              </w:rPr>
              <w:t>Instrument</w:t>
            </w:r>
            <w:r w:rsidRPr="008C5F1C">
              <w:rPr>
                <w:rFonts w:ascii="Times New Roman" w:eastAsia="Times New Roman" w:hAnsi="Times New Roman" w:cs="Times New Roman"/>
                <w:b/>
                <w:noProof/>
                <w:sz w:val="18"/>
                <w:szCs w:val="18"/>
              </w:rPr>
              <w:t xml:space="preserve"> 1</w:t>
            </w:r>
          </w:p>
        </w:tc>
        <w:tc>
          <w:tcPr>
            <w:tcW w:w="610" w:type="pct"/>
            <w:tcBorders>
              <w:top w:val="single" w:sz="4" w:space="0" w:color="auto"/>
              <w:left w:val="single" w:sz="4" w:space="0" w:color="auto"/>
              <w:bottom w:val="single" w:sz="4" w:space="0" w:color="auto"/>
              <w:right w:val="single" w:sz="4" w:space="0" w:color="auto"/>
            </w:tcBorders>
            <w:hideMark/>
          </w:tcPr>
          <w:p w14:paraId="21649677" w14:textId="77777777" w:rsidR="00653571" w:rsidRPr="008C5F1C" w:rsidRDefault="00653571" w:rsidP="00534127">
            <w:pPr>
              <w:spacing w:beforeLines="60" w:before="144" w:afterLines="60" w:after="144"/>
              <w:jc w:val="center"/>
              <w:rPr>
                <w:rFonts w:ascii="Times New Roman" w:eastAsia="Times New Roman" w:hAnsi="Times New Roman" w:cs="Times New Roman"/>
                <w:b/>
                <w:noProof/>
                <w:sz w:val="18"/>
                <w:szCs w:val="18"/>
              </w:rPr>
            </w:pPr>
            <w:r w:rsidRPr="008C5F1C">
              <w:rPr>
                <w:rFonts w:ascii="Times New Roman" w:hAnsi="Times New Roman" w:cs="Times New Roman"/>
                <w:b/>
                <w:noProof/>
                <w:sz w:val="18"/>
                <w:szCs w:val="18"/>
              </w:rPr>
              <w:t>Instrument</w:t>
            </w:r>
            <w:r w:rsidRPr="008C5F1C">
              <w:rPr>
                <w:rFonts w:ascii="Times New Roman" w:eastAsia="Times New Roman" w:hAnsi="Times New Roman" w:cs="Times New Roman"/>
                <w:b/>
                <w:noProof/>
                <w:sz w:val="18"/>
                <w:szCs w:val="18"/>
              </w:rPr>
              <w:t xml:space="preserve"> 2</w:t>
            </w:r>
          </w:p>
        </w:tc>
        <w:tc>
          <w:tcPr>
            <w:tcW w:w="610" w:type="pct"/>
            <w:tcBorders>
              <w:top w:val="single" w:sz="4" w:space="0" w:color="auto"/>
              <w:left w:val="single" w:sz="4" w:space="0" w:color="auto"/>
              <w:bottom w:val="single" w:sz="4" w:space="0" w:color="auto"/>
              <w:right w:val="single" w:sz="4" w:space="0" w:color="auto"/>
            </w:tcBorders>
            <w:hideMark/>
          </w:tcPr>
          <w:p w14:paraId="2AED1039" w14:textId="77777777" w:rsidR="00653571" w:rsidRPr="008C5F1C" w:rsidRDefault="00653571" w:rsidP="00534127">
            <w:pPr>
              <w:spacing w:beforeLines="60" w:before="144" w:afterLines="60" w:after="144"/>
              <w:jc w:val="center"/>
              <w:rPr>
                <w:rFonts w:ascii="Times New Roman" w:eastAsia="Times New Roman" w:hAnsi="Times New Roman" w:cs="Times New Roman"/>
                <w:b/>
                <w:noProof/>
                <w:sz w:val="18"/>
                <w:szCs w:val="18"/>
              </w:rPr>
            </w:pPr>
            <w:r w:rsidRPr="008C5F1C">
              <w:rPr>
                <w:rFonts w:ascii="Times New Roman" w:hAnsi="Times New Roman" w:cs="Times New Roman"/>
                <w:b/>
                <w:noProof/>
                <w:sz w:val="18"/>
                <w:szCs w:val="18"/>
              </w:rPr>
              <w:t>Instrument</w:t>
            </w:r>
            <w:r w:rsidRPr="008C5F1C">
              <w:rPr>
                <w:rFonts w:ascii="Times New Roman" w:eastAsia="Times New Roman" w:hAnsi="Times New Roman" w:cs="Times New Roman"/>
                <w:b/>
                <w:noProof/>
                <w:sz w:val="18"/>
                <w:szCs w:val="18"/>
              </w:rPr>
              <w:t xml:space="preserve"> 3</w:t>
            </w:r>
          </w:p>
        </w:tc>
        <w:tc>
          <w:tcPr>
            <w:tcW w:w="610" w:type="pct"/>
            <w:tcBorders>
              <w:top w:val="single" w:sz="4" w:space="0" w:color="auto"/>
              <w:left w:val="single" w:sz="4" w:space="0" w:color="auto"/>
              <w:bottom w:val="single" w:sz="4" w:space="0" w:color="auto"/>
              <w:right w:val="single" w:sz="4" w:space="0" w:color="auto"/>
            </w:tcBorders>
            <w:hideMark/>
          </w:tcPr>
          <w:p w14:paraId="63942F00" w14:textId="77777777" w:rsidR="00653571" w:rsidRPr="008C5F1C" w:rsidRDefault="00653571" w:rsidP="00534127">
            <w:pPr>
              <w:spacing w:beforeLines="60" w:before="144" w:afterLines="60" w:after="144"/>
              <w:jc w:val="center"/>
              <w:rPr>
                <w:rFonts w:ascii="Times New Roman" w:eastAsia="Times New Roman" w:hAnsi="Times New Roman" w:cs="Times New Roman"/>
                <w:b/>
                <w:noProof/>
                <w:sz w:val="18"/>
                <w:szCs w:val="18"/>
              </w:rPr>
            </w:pPr>
            <w:r w:rsidRPr="008C5F1C">
              <w:rPr>
                <w:rFonts w:ascii="Times New Roman" w:hAnsi="Times New Roman" w:cs="Times New Roman"/>
                <w:b/>
                <w:noProof/>
                <w:sz w:val="18"/>
                <w:szCs w:val="18"/>
              </w:rPr>
              <w:t>Instrument</w:t>
            </w:r>
            <w:r w:rsidRPr="008C5F1C">
              <w:rPr>
                <w:rFonts w:ascii="Times New Roman" w:eastAsia="Times New Roman" w:hAnsi="Times New Roman" w:cs="Times New Roman"/>
                <w:b/>
                <w:noProof/>
                <w:sz w:val="18"/>
                <w:szCs w:val="18"/>
              </w:rPr>
              <w:t xml:space="preserve"> 4</w:t>
            </w:r>
          </w:p>
        </w:tc>
        <w:tc>
          <w:tcPr>
            <w:tcW w:w="610" w:type="pct"/>
            <w:tcBorders>
              <w:top w:val="single" w:sz="4" w:space="0" w:color="auto"/>
              <w:left w:val="single" w:sz="4" w:space="0" w:color="auto"/>
              <w:bottom w:val="single" w:sz="4" w:space="0" w:color="auto"/>
              <w:right w:val="single" w:sz="4" w:space="0" w:color="auto"/>
            </w:tcBorders>
            <w:hideMark/>
          </w:tcPr>
          <w:p w14:paraId="46DBFA1A" w14:textId="77777777" w:rsidR="00653571" w:rsidRPr="008C5F1C" w:rsidRDefault="00653571" w:rsidP="00534127">
            <w:pPr>
              <w:spacing w:beforeLines="60" w:before="144" w:afterLines="60" w:after="144"/>
              <w:jc w:val="center"/>
              <w:rPr>
                <w:rFonts w:ascii="Times New Roman" w:eastAsia="Times New Roman" w:hAnsi="Times New Roman" w:cs="Times New Roman"/>
                <w:b/>
                <w:noProof/>
                <w:sz w:val="18"/>
                <w:szCs w:val="18"/>
              </w:rPr>
            </w:pPr>
            <w:r w:rsidRPr="008C5F1C">
              <w:rPr>
                <w:rFonts w:ascii="Times New Roman" w:hAnsi="Times New Roman" w:cs="Times New Roman"/>
                <w:b/>
                <w:noProof/>
                <w:sz w:val="18"/>
                <w:szCs w:val="18"/>
              </w:rPr>
              <w:t>Instrument</w:t>
            </w:r>
            <w:r w:rsidRPr="008C5F1C">
              <w:rPr>
                <w:rFonts w:ascii="Times New Roman" w:eastAsia="Times New Roman" w:hAnsi="Times New Roman" w:cs="Times New Roman"/>
                <w:b/>
                <w:noProof/>
                <w:sz w:val="18"/>
                <w:szCs w:val="18"/>
              </w:rPr>
              <w:t xml:space="preserve"> 5</w:t>
            </w:r>
          </w:p>
        </w:tc>
        <w:tc>
          <w:tcPr>
            <w:tcW w:w="975" w:type="pct"/>
            <w:tcBorders>
              <w:top w:val="single" w:sz="4" w:space="0" w:color="auto"/>
              <w:left w:val="single" w:sz="4" w:space="0" w:color="auto"/>
              <w:bottom w:val="single" w:sz="4" w:space="0" w:color="auto"/>
              <w:right w:val="single" w:sz="4" w:space="0" w:color="auto"/>
            </w:tcBorders>
            <w:hideMark/>
          </w:tcPr>
          <w:p w14:paraId="00168EE4" w14:textId="77777777" w:rsidR="00653571" w:rsidRPr="008C5F1C" w:rsidRDefault="00653571" w:rsidP="00534127">
            <w:pPr>
              <w:spacing w:beforeLines="60" w:before="144" w:afterLines="60" w:after="144"/>
              <w:rPr>
                <w:rFonts w:ascii="Times New Roman" w:eastAsia="Times New Roman" w:hAnsi="Times New Roman" w:cs="Times New Roman"/>
                <w:b/>
                <w:noProof/>
                <w:sz w:val="18"/>
                <w:szCs w:val="18"/>
              </w:rPr>
            </w:pPr>
            <w:r w:rsidRPr="008C5F1C">
              <w:rPr>
                <w:rFonts w:ascii="Times New Roman" w:eastAsia="Times New Roman" w:hAnsi="Times New Roman" w:cs="Times New Roman"/>
                <w:b/>
                <w:noProof/>
                <w:sz w:val="18"/>
                <w:szCs w:val="18"/>
              </w:rPr>
              <w:t>Transfer amount</w:t>
            </w:r>
          </w:p>
        </w:tc>
      </w:tr>
      <w:tr w:rsidR="00653571" w:rsidRPr="008C5F1C" w14:paraId="05EEC084" w14:textId="77777777" w:rsidTr="00534127">
        <w:tc>
          <w:tcPr>
            <w:tcW w:w="440" w:type="pct"/>
            <w:tcBorders>
              <w:top w:val="single" w:sz="4" w:space="0" w:color="auto"/>
              <w:left w:val="single" w:sz="4" w:space="0" w:color="auto"/>
              <w:bottom w:val="single" w:sz="4" w:space="0" w:color="auto"/>
              <w:right w:val="single" w:sz="4" w:space="0" w:color="auto"/>
            </w:tcBorders>
          </w:tcPr>
          <w:p w14:paraId="1A7947B1" w14:textId="77777777" w:rsidR="00653571" w:rsidRPr="008C5F1C" w:rsidRDefault="00653571" w:rsidP="00534127">
            <w:pPr>
              <w:spacing w:beforeLines="60" w:before="144" w:afterLines="60" w:after="144"/>
              <w:jc w:val="center"/>
              <w:rPr>
                <w:rFonts w:ascii="Times New Roman" w:eastAsia="Times New Roman" w:hAnsi="Times New Roman" w:cs="Times New Roman"/>
                <w:noProof/>
                <w:sz w:val="18"/>
                <w:szCs w:val="18"/>
              </w:rPr>
            </w:pPr>
          </w:p>
        </w:tc>
        <w:tc>
          <w:tcPr>
            <w:tcW w:w="534" w:type="pct"/>
            <w:tcBorders>
              <w:top w:val="single" w:sz="4" w:space="0" w:color="auto"/>
              <w:left w:val="single" w:sz="4" w:space="0" w:color="auto"/>
              <w:bottom w:val="single" w:sz="4" w:space="0" w:color="auto"/>
              <w:right w:val="single" w:sz="4" w:space="0" w:color="auto"/>
            </w:tcBorders>
          </w:tcPr>
          <w:p w14:paraId="39C02140" w14:textId="77777777" w:rsidR="00653571" w:rsidRPr="008C5F1C" w:rsidRDefault="00653571" w:rsidP="00534127">
            <w:pPr>
              <w:spacing w:beforeLines="60" w:before="144" w:afterLines="60" w:after="144"/>
              <w:jc w:val="center"/>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hideMark/>
          </w:tcPr>
          <w:p w14:paraId="1AC866D3" w14:textId="77777777" w:rsidR="00653571" w:rsidRPr="008C5F1C" w:rsidRDefault="00653571" w:rsidP="00534127">
            <w:pPr>
              <w:spacing w:beforeLines="60" w:before="144" w:afterLines="60" w:after="144"/>
              <w:jc w:val="center"/>
              <w:rPr>
                <w:rFonts w:ascii="Times New Roman" w:eastAsia="Times New Roman" w:hAnsi="Times New Roman" w:cs="Times New Roman"/>
                <w:noProof/>
                <w:sz w:val="16"/>
                <w:szCs w:val="16"/>
              </w:rPr>
            </w:pPr>
            <w:r w:rsidRPr="008C5F1C">
              <w:rPr>
                <w:rFonts w:ascii="Times New Roman" w:eastAsia="Times New Roman" w:hAnsi="Times New Roman" w:cs="Times New Roman"/>
                <w:noProof/>
                <w:sz w:val="16"/>
                <w:szCs w:val="16"/>
              </w:rPr>
              <w:t>(a)</w:t>
            </w:r>
          </w:p>
        </w:tc>
        <w:tc>
          <w:tcPr>
            <w:tcW w:w="610" w:type="pct"/>
            <w:tcBorders>
              <w:top w:val="single" w:sz="4" w:space="0" w:color="auto"/>
              <w:left w:val="single" w:sz="4" w:space="0" w:color="auto"/>
              <w:bottom w:val="single" w:sz="4" w:space="0" w:color="auto"/>
              <w:right w:val="single" w:sz="4" w:space="0" w:color="auto"/>
            </w:tcBorders>
            <w:hideMark/>
          </w:tcPr>
          <w:p w14:paraId="151D6693" w14:textId="77777777" w:rsidR="00653571" w:rsidRPr="008C5F1C" w:rsidRDefault="00653571" w:rsidP="00534127">
            <w:pPr>
              <w:spacing w:beforeLines="60" w:before="144" w:afterLines="60" w:after="144"/>
              <w:jc w:val="center"/>
              <w:rPr>
                <w:rFonts w:ascii="Times New Roman" w:eastAsia="Times New Roman" w:hAnsi="Times New Roman" w:cs="Times New Roman"/>
                <w:noProof/>
                <w:sz w:val="16"/>
                <w:szCs w:val="16"/>
              </w:rPr>
            </w:pPr>
            <w:r w:rsidRPr="008C5F1C">
              <w:rPr>
                <w:rFonts w:ascii="Times New Roman" w:eastAsia="Times New Roman" w:hAnsi="Times New Roman" w:cs="Times New Roman"/>
                <w:noProof/>
                <w:sz w:val="16"/>
                <w:szCs w:val="16"/>
              </w:rPr>
              <w:t>(b)</w:t>
            </w:r>
          </w:p>
        </w:tc>
        <w:tc>
          <w:tcPr>
            <w:tcW w:w="610" w:type="pct"/>
            <w:tcBorders>
              <w:top w:val="single" w:sz="4" w:space="0" w:color="auto"/>
              <w:left w:val="single" w:sz="4" w:space="0" w:color="auto"/>
              <w:bottom w:val="single" w:sz="4" w:space="0" w:color="auto"/>
              <w:right w:val="single" w:sz="4" w:space="0" w:color="auto"/>
            </w:tcBorders>
            <w:hideMark/>
          </w:tcPr>
          <w:p w14:paraId="23F4D88A" w14:textId="77777777" w:rsidR="00653571" w:rsidRPr="008C5F1C" w:rsidRDefault="00653571" w:rsidP="00534127">
            <w:pPr>
              <w:spacing w:beforeLines="60" w:before="144" w:afterLines="60" w:after="144"/>
              <w:jc w:val="center"/>
              <w:rPr>
                <w:rFonts w:ascii="Times New Roman" w:eastAsia="Times New Roman" w:hAnsi="Times New Roman" w:cs="Times New Roman"/>
                <w:noProof/>
                <w:sz w:val="16"/>
                <w:szCs w:val="16"/>
              </w:rPr>
            </w:pPr>
            <w:r w:rsidRPr="008C5F1C">
              <w:rPr>
                <w:rFonts w:ascii="Times New Roman" w:eastAsia="Times New Roman" w:hAnsi="Times New Roman" w:cs="Times New Roman"/>
                <w:noProof/>
                <w:sz w:val="16"/>
                <w:szCs w:val="16"/>
              </w:rPr>
              <w:t>(c)</w:t>
            </w:r>
          </w:p>
        </w:tc>
        <w:tc>
          <w:tcPr>
            <w:tcW w:w="610" w:type="pct"/>
            <w:tcBorders>
              <w:top w:val="single" w:sz="4" w:space="0" w:color="auto"/>
              <w:left w:val="single" w:sz="4" w:space="0" w:color="auto"/>
              <w:bottom w:val="single" w:sz="4" w:space="0" w:color="auto"/>
              <w:right w:val="single" w:sz="4" w:space="0" w:color="auto"/>
            </w:tcBorders>
            <w:hideMark/>
          </w:tcPr>
          <w:p w14:paraId="0323F663" w14:textId="77777777" w:rsidR="00653571" w:rsidRPr="008C5F1C" w:rsidRDefault="00653571" w:rsidP="00534127">
            <w:pPr>
              <w:spacing w:beforeLines="60" w:before="144" w:afterLines="60" w:after="144"/>
              <w:jc w:val="center"/>
              <w:rPr>
                <w:rFonts w:ascii="Times New Roman" w:eastAsia="Times New Roman" w:hAnsi="Times New Roman" w:cs="Times New Roman"/>
                <w:noProof/>
                <w:sz w:val="16"/>
                <w:szCs w:val="16"/>
              </w:rPr>
            </w:pPr>
            <w:r w:rsidRPr="008C5F1C">
              <w:rPr>
                <w:rFonts w:ascii="Times New Roman" w:eastAsia="Times New Roman" w:hAnsi="Times New Roman" w:cs="Times New Roman"/>
                <w:noProof/>
                <w:sz w:val="16"/>
                <w:szCs w:val="16"/>
              </w:rPr>
              <w:t>(d)</w:t>
            </w:r>
          </w:p>
        </w:tc>
        <w:tc>
          <w:tcPr>
            <w:tcW w:w="610" w:type="pct"/>
            <w:tcBorders>
              <w:top w:val="single" w:sz="4" w:space="0" w:color="auto"/>
              <w:left w:val="single" w:sz="4" w:space="0" w:color="auto"/>
              <w:bottom w:val="single" w:sz="4" w:space="0" w:color="auto"/>
              <w:right w:val="single" w:sz="4" w:space="0" w:color="auto"/>
            </w:tcBorders>
            <w:hideMark/>
          </w:tcPr>
          <w:p w14:paraId="15AFD5AF" w14:textId="77777777" w:rsidR="00653571" w:rsidRPr="008C5F1C" w:rsidRDefault="00653571" w:rsidP="00534127">
            <w:pPr>
              <w:spacing w:beforeLines="60" w:before="144" w:afterLines="60" w:after="144"/>
              <w:jc w:val="center"/>
              <w:rPr>
                <w:rFonts w:ascii="Times New Roman" w:eastAsia="Times New Roman" w:hAnsi="Times New Roman" w:cs="Times New Roman"/>
                <w:noProof/>
                <w:sz w:val="16"/>
                <w:szCs w:val="16"/>
              </w:rPr>
            </w:pPr>
            <w:r w:rsidRPr="008C5F1C">
              <w:rPr>
                <w:rFonts w:ascii="Times New Roman" w:eastAsia="Times New Roman" w:hAnsi="Times New Roman" w:cs="Times New Roman"/>
                <w:noProof/>
                <w:sz w:val="16"/>
                <w:szCs w:val="16"/>
              </w:rPr>
              <w:t>(e)</w:t>
            </w:r>
          </w:p>
        </w:tc>
        <w:tc>
          <w:tcPr>
            <w:tcW w:w="975" w:type="pct"/>
            <w:tcBorders>
              <w:top w:val="single" w:sz="4" w:space="0" w:color="auto"/>
              <w:left w:val="single" w:sz="4" w:space="0" w:color="auto"/>
              <w:bottom w:val="single" w:sz="4" w:space="0" w:color="auto"/>
              <w:right w:val="single" w:sz="4" w:space="0" w:color="auto"/>
            </w:tcBorders>
            <w:hideMark/>
          </w:tcPr>
          <w:p w14:paraId="15A56A61" w14:textId="77777777" w:rsidR="00653571" w:rsidRPr="008C5F1C" w:rsidRDefault="00653571" w:rsidP="00534127">
            <w:pPr>
              <w:spacing w:beforeLines="60" w:before="144" w:afterLines="60" w:after="144"/>
              <w:jc w:val="center"/>
              <w:rPr>
                <w:rFonts w:ascii="Times New Roman" w:eastAsia="Times New Roman" w:hAnsi="Times New Roman" w:cs="Times New Roman"/>
                <w:noProof/>
                <w:sz w:val="16"/>
                <w:szCs w:val="16"/>
              </w:rPr>
            </w:pPr>
            <w:r w:rsidRPr="008C5F1C">
              <w:rPr>
                <w:rFonts w:ascii="Times New Roman" w:eastAsia="Times New Roman" w:hAnsi="Times New Roman" w:cs="Times New Roman"/>
                <w:noProof/>
                <w:sz w:val="16"/>
                <w:szCs w:val="16"/>
              </w:rPr>
              <w:t>(f)=(a)+(b)+(c)+(d)+(e)</w:t>
            </w:r>
          </w:p>
        </w:tc>
      </w:tr>
      <w:tr w:rsidR="00653571" w:rsidRPr="008C5F1C" w14:paraId="4ADEC5B2" w14:textId="77777777" w:rsidTr="00534127">
        <w:tc>
          <w:tcPr>
            <w:tcW w:w="440" w:type="pct"/>
            <w:vMerge w:val="restart"/>
            <w:tcBorders>
              <w:top w:val="single" w:sz="4" w:space="0" w:color="auto"/>
              <w:left w:val="single" w:sz="4" w:space="0" w:color="auto"/>
              <w:bottom w:val="single" w:sz="4" w:space="0" w:color="auto"/>
              <w:right w:val="single" w:sz="4" w:space="0" w:color="auto"/>
            </w:tcBorders>
            <w:hideMark/>
          </w:tcPr>
          <w:p w14:paraId="335C410D"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r w:rsidRPr="008C5F1C">
              <w:rPr>
                <w:rFonts w:ascii="Times New Roman" w:eastAsia="Times New Roman" w:hAnsi="Times New Roman" w:cs="Times New Roman"/>
                <w:noProof/>
                <w:sz w:val="18"/>
                <w:szCs w:val="18"/>
              </w:rPr>
              <w:t>ERDF</w:t>
            </w:r>
          </w:p>
        </w:tc>
        <w:tc>
          <w:tcPr>
            <w:tcW w:w="534" w:type="pct"/>
            <w:tcBorders>
              <w:top w:val="single" w:sz="4" w:space="0" w:color="auto"/>
              <w:left w:val="single" w:sz="4" w:space="0" w:color="auto"/>
              <w:bottom w:val="single" w:sz="4" w:space="0" w:color="auto"/>
              <w:right w:val="single" w:sz="4" w:space="0" w:color="auto"/>
            </w:tcBorders>
            <w:hideMark/>
          </w:tcPr>
          <w:p w14:paraId="753852EE" w14:textId="77777777" w:rsidR="00653571" w:rsidRPr="008C5F1C" w:rsidRDefault="00653571" w:rsidP="00534127">
            <w:pPr>
              <w:spacing w:beforeLines="60" w:before="144" w:afterLines="60" w:after="144"/>
              <w:rPr>
                <w:rFonts w:ascii="Times New Roman" w:eastAsia="Times New Roman" w:hAnsi="Times New Roman" w:cs="Times New Roman"/>
                <w:noProof/>
                <w:sz w:val="16"/>
                <w:szCs w:val="16"/>
              </w:rPr>
            </w:pPr>
            <w:r w:rsidRPr="008C5F1C">
              <w:rPr>
                <w:rFonts w:ascii="Times New Roman" w:eastAsia="Times New Roman" w:hAnsi="Times New Roman" w:cs="Times New Roman"/>
                <w:noProof/>
                <w:sz w:val="16"/>
                <w:szCs w:val="16"/>
              </w:rPr>
              <w:t>More developed</w:t>
            </w:r>
          </w:p>
        </w:tc>
        <w:tc>
          <w:tcPr>
            <w:tcW w:w="610" w:type="pct"/>
            <w:tcBorders>
              <w:top w:val="single" w:sz="4" w:space="0" w:color="auto"/>
              <w:left w:val="single" w:sz="4" w:space="0" w:color="auto"/>
              <w:bottom w:val="single" w:sz="4" w:space="0" w:color="auto"/>
              <w:right w:val="single" w:sz="4" w:space="0" w:color="auto"/>
            </w:tcBorders>
          </w:tcPr>
          <w:p w14:paraId="0CD2720B"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006DD3F6"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10692E2E"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2E1D5BD4"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37588D13"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975" w:type="pct"/>
            <w:tcBorders>
              <w:top w:val="single" w:sz="4" w:space="0" w:color="auto"/>
              <w:left w:val="single" w:sz="4" w:space="0" w:color="auto"/>
              <w:bottom w:val="single" w:sz="4" w:space="0" w:color="auto"/>
              <w:right w:val="single" w:sz="4" w:space="0" w:color="auto"/>
            </w:tcBorders>
          </w:tcPr>
          <w:p w14:paraId="5B28E4CF"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r>
      <w:tr w:rsidR="00653571" w:rsidRPr="008C5F1C" w14:paraId="0AE192F0" w14:textId="77777777" w:rsidTr="00534127">
        <w:tc>
          <w:tcPr>
            <w:tcW w:w="0" w:type="auto"/>
            <w:vMerge/>
            <w:tcBorders>
              <w:top w:val="single" w:sz="4" w:space="0" w:color="auto"/>
              <w:left w:val="single" w:sz="4" w:space="0" w:color="auto"/>
              <w:bottom w:val="single" w:sz="4" w:space="0" w:color="auto"/>
              <w:right w:val="single" w:sz="4" w:space="0" w:color="auto"/>
            </w:tcBorders>
            <w:vAlign w:val="center"/>
            <w:hideMark/>
          </w:tcPr>
          <w:p w14:paraId="5F53181A" w14:textId="77777777" w:rsidR="00653571" w:rsidRPr="008C5F1C" w:rsidRDefault="00653571" w:rsidP="00534127">
            <w:pPr>
              <w:spacing w:after="0"/>
              <w:rPr>
                <w:rFonts w:ascii="Times New Roman" w:eastAsia="Times New Roman" w:hAnsi="Times New Roman" w:cs="Times New Roman"/>
                <w:noProof/>
                <w:sz w:val="18"/>
                <w:szCs w:val="18"/>
              </w:rPr>
            </w:pPr>
          </w:p>
        </w:tc>
        <w:tc>
          <w:tcPr>
            <w:tcW w:w="534" w:type="pct"/>
            <w:tcBorders>
              <w:top w:val="single" w:sz="4" w:space="0" w:color="auto"/>
              <w:left w:val="single" w:sz="4" w:space="0" w:color="auto"/>
              <w:bottom w:val="single" w:sz="4" w:space="0" w:color="auto"/>
              <w:right w:val="single" w:sz="4" w:space="0" w:color="auto"/>
            </w:tcBorders>
            <w:hideMark/>
          </w:tcPr>
          <w:p w14:paraId="11D08081" w14:textId="77777777" w:rsidR="00653571" w:rsidRPr="008C5F1C" w:rsidRDefault="00653571" w:rsidP="00534127">
            <w:pPr>
              <w:spacing w:beforeLines="60" w:before="144" w:afterLines="60" w:after="144"/>
              <w:rPr>
                <w:rFonts w:ascii="Times New Roman" w:eastAsia="Times New Roman" w:hAnsi="Times New Roman" w:cs="Times New Roman"/>
                <w:noProof/>
                <w:sz w:val="16"/>
                <w:szCs w:val="16"/>
              </w:rPr>
            </w:pPr>
            <w:r w:rsidRPr="008C5F1C">
              <w:rPr>
                <w:rFonts w:ascii="Times New Roman" w:hAnsi="Times New Roman" w:cs="Times New Roman"/>
                <w:noProof/>
                <w:sz w:val="16"/>
                <w:szCs w:val="16"/>
              </w:rPr>
              <w:t>Transition</w:t>
            </w:r>
          </w:p>
        </w:tc>
        <w:tc>
          <w:tcPr>
            <w:tcW w:w="610" w:type="pct"/>
            <w:tcBorders>
              <w:top w:val="single" w:sz="4" w:space="0" w:color="auto"/>
              <w:left w:val="single" w:sz="4" w:space="0" w:color="auto"/>
              <w:bottom w:val="single" w:sz="4" w:space="0" w:color="auto"/>
              <w:right w:val="single" w:sz="4" w:space="0" w:color="auto"/>
            </w:tcBorders>
          </w:tcPr>
          <w:p w14:paraId="06DE8D4A"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22DEFABE"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5F4620F7"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206B8AAF"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58B42514"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975" w:type="pct"/>
            <w:tcBorders>
              <w:top w:val="single" w:sz="4" w:space="0" w:color="auto"/>
              <w:left w:val="single" w:sz="4" w:space="0" w:color="auto"/>
              <w:bottom w:val="single" w:sz="4" w:space="0" w:color="auto"/>
              <w:right w:val="single" w:sz="4" w:space="0" w:color="auto"/>
            </w:tcBorders>
          </w:tcPr>
          <w:p w14:paraId="11FF5160"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r>
      <w:tr w:rsidR="00653571" w:rsidRPr="008C5F1C" w14:paraId="3AE7B697" w14:textId="77777777" w:rsidTr="00534127">
        <w:tc>
          <w:tcPr>
            <w:tcW w:w="0" w:type="auto"/>
            <w:vMerge/>
            <w:tcBorders>
              <w:top w:val="single" w:sz="4" w:space="0" w:color="auto"/>
              <w:left w:val="single" w:sz="4" w:space="0" w:color="auto"/>
              <w:bottom w:val="single" w:sz="4" w:space="0" w:color="auto"/>
              <w:right w:val="single" w:sz="4" w:space="0" w:color="auto"/>
            </w:tcBorders>
            <w:vAlign w:val="center"/>
            <w:hideMark/>
          </w:tcPr>
          <w:p w14:paraId="0ACECA79" w14:textId="77777777" w:rsidR="00653571" w:rsidRPr="008C5F1C" w:rsidRDefault="00653571" w:rsidP="00534127">
            <w:pPr>
              <w:spacing w:after="0"/>
              <w:rPr>
                <w:rFonts w:ascii="Times New Roman" w:eastAsia="Times New Roman" w:hAnsi="Times New Roman" w:cs="Times New Roman"/>
                <w:noProof/>
                <w:sz w:val="18"/>
                <w:szCs w:val="18"/>
              </w:rPr>
            </w:pPr>
          </w:p>
        </w:tc>
        <w:tc>
          <w:tcPr>
            <w:tcW w:w="534" w:type="pct"/>
            <w:tcBorders>
              <w:top w:val="single" w:sz="4" w:space="0" w:color="auto"/>
              <w:left w:val="single" w:sz="4" w:space="0" w:color="auto"/>
              <w:bottom w:val="single" w:sz="4" w:space="0" w:color="auto"/>
              <w:right w:val="single" w:sz="4" w:space="0" w:color="auto"/>
            </w:tcBorders>
            <w:hideMark/>
          </w:tcPr>
          <w:p w14:paraId="3A3A29CC" w14:textId="77777777" w:rsidR="00653571" w:rsidRPr="008C5F1C" w:rsidRDefault="00653571" w:rsidP="00534127">
            <w:pPr>
              <w:spacing w:beforeLines="60" w:before="144" w:afterLines="60" w:after="144"/>
              <w:rPr>
                <w:rFonts w:ascii="Times New Roman" w:hAnsi="Times New Roman" w:cs="Times New Roman"/>
                <w:noProof/>
                <w:sz w:val="16"/>
                <w:szCs w:val="16"/>
              </w:rPr>
            </w:pPr>
            <w:r w:rsidRPr="008C5F1C">
              <w:rPr>
                <w:rFonts w:ascii="Times New Roman" w:eastAsia="Times New Roman" w:hAnsi="Times New Roman" w:cs="Times New Roman"/>
                <w:noProof/>
                <w:sz w:val="16"/>
                <w:szCs w:val="16"/>
              </w:rPr>
              <w:t>Less developed</w:t>
            </w:r>
          </w:p>
        </w:tc>
        <w:tc>
          <w:tcPr>
            <w:tcW w:w="610" w:type="pct"/>
            <w:tcBorders>
              <w:top w:val="single" w:sz="4" w:space="0" w:color="auto"/>
              <w:left w:val="single" w:sz="4" w:space="0" w:color="auto"/>
              <w:bottom w:val="single" w:sz="4" w:space="0" w:color="auto"/>
              <w:right w:val="single" w:sz="4" w:space="0" w:color="auto"/>
            </w:tcBorders>
          </w:tcPr>
          <w:p w14:paraId="64624688"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2938BDED"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00DB03DE"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6D301C29"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69B539CB"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975" w:type="pct"/>
            <w:tcBorders>
              <w:top w:val="single" w:sz="4" w:space="0" w:color="auto"/>
              <w:left w:val="single" w:sz="4" w:space="0" w:color="auto"/>
              <w:bottom w:val="single" w:sz="4" w:space="0" w:color="auto"/>
              <w:right w:val="single" w:sz="4" w:space="0" w:color="auto"/>
            </w:tcBorders>
          </w:tcPr>
          <w:p w14:paraId="68771183"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r>
      <w:tr w:rsidR="00653571" w:rsidRPr="008C5F1C" w14:paraId="03BCD83E" w14:textId="77777777" w:rsidTr="00534127">
        <w:tc>
          <w:tcPr>
            <w:tcW w:w="0" w:type="auto"/>
            <w:vMerge/>
            <w:tcBorders>
              <w:top w:val="single" w:sz="4" w:space="0" w:color="auto"/>
              <w:left w:val="single" w:sz="4" w:space="0" w:color="auto"/>
              <w:bottom w:val="single" w:sz="4" w:space="0" w:color="auto"/>
              <w:right w:val="single" w:sz="4" w:space="0" w:color="auto"/>
            </w:tcBorders>
            <w:vAlign w:val="center"/>
            <w:hideMark/>
          </w:tcPr>
          <w:p w14:paraId="66549D30" w14:textId="77777777" w:rsidR="00653571" w:rsidRPr="008C5F1C" w:rsidRDefault="00653571" w:rsidP="00534127">
            <w:pPr>
              <w:spacing w:after="0"/>
              <w:rPr>
                <w:rFonts w:ascii="Times New Roman" w:eastAsia="Times New Roman" w:hAnsi="Times New Roman" w:cs="Times New Roman"/>
                <w:noProof/>
                <w:sz w:val="18"/>
                <w:szCs w:val="18"/>
              </w:rPr>
            </w:pPr>
          </w:p>
        </w:tc>
        <w:tc>
          <w:tcPr>
            <w:tcW w:w="534" w:type="pct"/>
            <w:tcBorders>
              <w:top w:val="single" w:sz="4" w:space="0" w:color="auto"/>
              <w:left w:val="single" w:sz="4" w:space="0" w:color="auto"/>
              <w:bottom w:val="single" w:sz="4" w:space="0" w:color="auto"/>
              <w:right w:val="single" w:sz="4" w:space="0" w:color="auto"/>
            </w:tcBorders>
            <w:hideMark/>
          </w:tcPr>
          <w:p w14:paraId="571F2E93" w14:textId="77777777" w:rsidR="00653571" w:rsidRPr="008C5F1C" w:rsidRDefault="00653571" w:rsidP="00534127">
            <w:pPr>
              <w:spacing w:beforeLines="60" w:before="144" w:afterLines="60" w:after="144"/>
              <w:rPr>
                <w:rFonts w:ascii="Times New Roman" w:eastAsia="Times New Roman" w:hAnsi="Times New Roman" w:cs="Times New Roman"/>
                <w:noProof/>
                <w:sz w:val="16"/>
                <w:szCs w:val="16"/>
              </w:rPr>
            </w:pPr>
            <w:r w:rsidRPr="008C5F1C">
              <w:rPr>
                <w:rFonts w:ascii="Times New Roman" w:hAnsi="Times New Roman" w:cs="Times New Roman"/>
                <w:noProof/>
                <w:sz w:val="16"/>
                <w:szCs w:val="16"/>
              </w:rPr>
              <w:t>Outermost and northern sparsely populated</w:t>
            </w:r>
          </w:p>
        </w:tc>
        <w:tc>
          <w:tcPr>
            <w:tcW w:w="610" w:type="pct"/>
            <w:tcBorders>
              <w:top w:val="single" w:sz="4" w:space="0" w:color="auto"/>
              <w:left w:val="single" w:sz="4" w:space="0" w:color="auto"/>
              <w:bottom w:val="single" w:sz="4" w:space="0" w:color="auto"/>
              <w:right w:val="single" w:sz="4" w:space="0" w:color="auto"/>
            </w:tcBorders>
          </w:tcPr>
          <w:p w14:paraId="624AAC12"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65B8133E"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61C71028"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2CC3B82E"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6B7D9AE5"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975" w:type="pct"/>
            <w:tcBorders>
              <w:top w:val="single" w:sz="4" w:space="0" w:color="auto"/>
              <w:left w:val="single" w:sz="4" w:space="0" w:color="auto"/>
              <w:bottom w:val="single" w:sz="4" w:space="0" w:color="auto"/>
              <w:right w:val="single" w:sz="4" w:space="0" w:color="auto"/>
            </w:tcBorders>
          </w:tcPr>
          <w:p w14:paraId="4CAC2965"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r>
      <w:tr w:rsidR="00653571" w:rsidRPr="008C5F1C" w14:paraId="62B9C928" w14:textId="77777777" w:rsidTr="00534127">
        <w:tc>
          <w:tcPr>
            <w:tcW w:w="440" w:type="pct"/>
            <w:vMerge w:val="restart"/>
            <w:tcBorders>
              <w:top w:val="single" w:sz="4" w:space="0" w:color="auto"/>
              <w:left w:val="single" w:sz="4" w:space="0" w:color="auto"/>
              <w:bottom w:val="single" w:sz="4" w:space="0" w:color="auto"/>
              <w:right w:val="single" w:sz="4" w:space="0" w:color="auto"/>
            </w:tcBorders>
            <w:hideMark/>
          </w:tcPr>
          <w:p w14:paraId="7EC0801C"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r w:rsidRPr="008C5F1C">
              <w:rPr>
                <w:rFonts w:ascii="Times New Roman" w:eastAsia="Times New Roman" w:hAnsi="Times New Roman" w:cs="Times New Roman"/>
                <w:noProof/>
                <w:sz w:val="18"/>
                <w:szCs w:val="18"/>
              </w:rPr>
              <w:t>ESF+</w:t>
            </w:r>
          </w:p>
        </w:tc>
        <w:tc>
          <w:tcPr>
            <w:tcW w:w="534" w:type="pct"/>
            <w:tcBorders>
              <w:top w:val="single" w:sz="4" w:space="0" w:color="auto"/>
              <w:left w:val="single" w:sz="4" w:space="0" w:color="auto"/>
              <w:bottom w:val="single" w:sz="4" w:space="0" w:color="auto"/>
              <w:right w:val="single" w:sz="4" w:space="0" w:color="auto"/>
            </w:tcBorders>
            <w:hideMark/>
          </w:tcPr>
          <w:p w14:paraId="39FFBE37" w14:textId="77777777" w:rsidR="00653571" w:rsidRPr="008C5F1C" w:rsidRDefault="00653571" w:rsidP="00534127">
            <w:pPr>
              <w:spacing w:beforeLines="60" w:before="144" w:afterLines="60" w:after="144"/>
              <w:rPr>
                <w:rFonts w:ascii="Times New Roman" w:eastAsia="Times New Roman" w:hAnsi="Times New Roman" w:cs="Times New Roman"/>
                <w:noProof/>
                <w:sz w:val="16"/>
                <w:szCs w:val="16"/>
              </w:rPr>
            </w:pPr>
            <w:r w:rsidRPr="008C5F1C">
              <w:rPr>
                <w:rFonts w:ascii="Times New Roman" w:eastAsia="Times New Roman" w:hAnsi="Times New Roman" w:cs="Times New Roman"/>
                <w:noProof/>
                <w:sz w:val="16"/>
                <w:szCs w:val="16"/>
              </w:rPr>
              <w:t>More developed</w:t>
            </w:r>
          </w:p>
        </w:tc>
        <w:tc>
          <w:tcPr>
            <w:tcW w:w="610" w:type="pct"/>
            <w:tcBorders>
              <w:top w:val="single" w:sz="4" w:space="0" w:color="auto"/>
              <w:left w:val="single" w:sz="4" w:space="0" w:color="auto"/>
              <w:bottom w:val="single" w:sz="4" w:space="0" w:color="auto"/>
              <w:right w:val="single" w:sz="4" w:space="0" w:color="auto"/>
            </w:tcBorders>
          </w:tcPr>
          <w:p w14:paraId="23310A31"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2B60B4D9"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3806A167"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716ACB93"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2910BA78"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975" w:type="pct"/>
            <w:tcBorders>
              <w:top w:val="single" w:sz="4" w:space="0" w:color="auto"/>
              <w:left w:val="single" w:sz="4" w:space="0" w:color="auto"/>
              <w:bottom w:val="single" w:sz="4" w:space="0" w:color="auto"/>
              <w:right w:val="single" w:sz="4" w:space="0" w:color="auto"/>
            </w:tcBorders>
          </w:tcPr>
          <w:p w14:paraId="01CE4F03"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r>
      <w:tr w:rsidR="00653571" w:rsidRPr="008C5F1C" w14:paraId="501185A5" w14:textId="77777777" w:rsidTr="00534127">
        <w:tc>
          <w:tcPr>
            <w:tcW w:w="0" w:type="auto"/>
            <w:vMerge/>
            <w:tcBorders>
              <w:top w:val="single" w:sz="4" w:space="0" w:color="auto"/>
              <w:left w:val="single" w:sz="4" w:space="0" w:color="auto"/>
              <w:bottom w:val="single" w:sz="4" w:space="0" w:color="auto"/>
              <w:right w:val="single" w:sz="4" w:space="0" w:color="auto"/>
            </w:tcBorders>
            <w:vAlign w:val="center"/>
            <w:hideMark/>
          </w:tcPr>
          <w:p w14:paraId="0C66DDAD" w14:textId="77777777" w:rsidR="00653571" w:rsidRPr="008C5F1C" w:rsidRDefault="00653571" w:rsidP="00534127">
            <w:pPr>
              <w:spacing w:after="0"/>
              <w:rPr>
                <w:rFonts w:ascii="Times New Roman" w:eastAsia="Times New Roman" w:hAnsi="Times New Roman" w:cs="Times New Roman"/>
                <w:noProof/>
                <w:sz w:val="18"/>
                <w:szCs w:val="18"/>
              </w:rPr>
            </w:pPr>
          </w:p>
        </w:tc>
        <w:tc>
          <w:tcPr>
            <w:tcW w:w="534" w:type="pct"/>
            <w:tcBorders>
              <w:top w:val="single" w:sz="4" w:space="0" w:color="auto"/>
              <w:left w:val="single" w:sz="4" w:space="0" w:color="auto"/>
              <w:bottom w:val="single" w:sz="4" w:space="0" w:color="auto"/>
              <w:right w:val="single" w:sz="4" w:space="0" w:color="auto"/>
            </w:tcBorders>
            <w:hideMark/>
          </w:tcPr>
          <w:p w14:paraId="6152EDAB" w14:textId="77777777" w:rsidR="00653571" w:rsidRPr="008C5F1C" w:rsidRDefault="00653571" w:rsidP="00534127">
            <w:pPr>
              <w:spacing w:beforeLines="60" w:before="144" w:afterLines="60" w:after="144"/>
              <w:rPr>
                <w:rFonts w:ascii="Times New Roman" w:eastAsia="Times New Roman" w:hAnsi="Times New Roman" w:cs="Times New Roman"/>
                <w:noProof/>
                <w:sz w:val="16"/>
                <w:szCs w:val="16"/>
              </w:rPr>
            </w:pPr>
            <w:r w:rsidRPr="008C5F1C">
              <w:rPr>
                <w:rFonts w:ascii="Times New Roman" w:eastAsia="Times New Roman" w:hAnsi="Times New Roman" w:cs="Times New Roman"/>
                <w:noProof/>
                <w:sz w:val="16"/>
                <w:szCs w:val="16"/>
              </w:rPr>
              <w:t>Transition</w:t>
            </w:r>
          </w:p>
        </w:tc>
        <w:tc>
          <w:tcPr>
            <w:tcW w:w="610" w:type="pct"/>
            <w:tcBorders>
              <w:top w:val="single" w:sz="4" w:space="0" w:color="auto"/>
              <w:left w:val="single" w:sz="4" w:space="0" w:color="auto"/>
              <w:bottom w:val="single" w:sz="4" w:space="0" w:color="auto"/>
              <w:right w:val="single" w:sz="4" w:space="0" w:color="auto"/>
            </w:tcBorders>
          </w:tcPr>
          <w:p w14:paraId="45749F53"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261103B4"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75C7CDFB"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0D35FBDD"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6B0C137E"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975" w:type="pct"/>
            <w:tcBorders>
              <w:top w:val="single" w:sz="4" w:space="0" w:color="auto"/>
              <w:left w:val="single" w:sz="4" w:space="0" w:color="auto"/>
              <w:bottom w:val="single" w:sz="4" w:space="0" w:color="auto"/>
              <w:right w:val="single" w:sz="4" w:space="0" w:color="auto"/>
            </w:tcBorders>
          </w:tcPr>
          <w:p w14:paraId="4954AA2E"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r>
      <w:tr w:rsidR="00653571" w:rsidRPr="008C5F1C" w14:paraId="062F21DB" w14:textId="77777777" w:rsidTr="00534127">
        <w:tc>
          <w:tcPr>
            <w:tcW w:w="0" w:type="auto"/>
            <w:vMerge/>
            <w:tcBorders>
              <w:top w:val="single" w:sz="4" w:space="0" w:color="auto"/>
              <w:left w:val="single" w:sz="4" w:space="0" w:color="auto"/>
              <w:bottom w:val="single" w:sz="4" w:space="0" w:color="auto"/>
              <w:right w:val="single" w:sz="4" w:space="0" w:color="auto"/>
            </w:tcBorders>
            <w:vAlign w:val="center"/>
            <w:hideMark/>
          </w:tcPr>
          <w:p w14:paraId="4B40EA1A" w14:textId="77777777" w:rsidR="00653571" w:rsidRPr="008C5F1C" w:rsidRDefault="00653571" w:rsidP="00534127">
            <w:pPr>
              <w:spacing w:after="0"/>
              <w:rPr>
                <w:rFonts w:ascii="Times New Roman" w:eastAsia="Times New Roman" w:hAnsi="Times New Roman" w:cs="Times New Roman"/>
                <w:noProof/>
                <w:sz w:val="18"/>
                <w:szCs w:val="18"/>
              </w:rPr>
            </w:pPr>
          </w:p>
        </w:tc>
        <w:tc>
          <w:tcPr>
            <w:tcW w:w="534" w:type="pct"/>
            <w:tcBorders>
              <w:top w:val="single" w:sz="4" w:space="0" w:color="auto"/>
              <w:left w:val="single" w:sz="4" w:space="0" w:color="auto"/>
              <w:bottom w:val="single" w:sz="4" w:space="0" w:color="auto"/>
              <w:right w:val="single" w:sz="4" w:space="0" w:color="auto"/>
            </w:tcBorders>
            <w:hideMark/>
          </w:tcPr>
          <w:p w14:paraId="1461B526" w14:textId="77777777" w:rsidR="00653571" w:rsidRPr="008C5F1C" w:rsidRDefault="00653571" w:rsidP="00534127">
            <w:pPr>
              <w:spacing w:beforeLines="60" w:before="144" w:afterLines="60" w:after="144"/>
              <w:rPr>
                <w:rFonts w:ascii="Times New Roman" w:eastAsia="Times New Roman" w:hAnsi="Times New Roman" w:cs="Times New Roman"/>
                <w:noProof/>
                <w:sz w:val="16"/>
                <w:szCs w:val="16"/>
              </w:rPr>
            </w:pPr>
            <w:r w:rsidRPr="008C5F1C">
              <w:rPr>
                <w:rFonts w:ascii="Times New Roman" w:eastAsia="Times New Roman" w:hAnsi="Times New Roman" w:cs="Times New Roman"/>
                <w:noProof/>
                <w:sz w:val="16"/>
                <w:szCs w:val="16"/>
              </w:rPr>
              <w:t>Less developed</w:t>
            </w:r>
          </w:p>
        </w:tc>
        <w:tc>
          <w:tcPr>
            <w:tcW w:w="610" w:type="pct"/>
            <w:tcBorders>
              <w:top w:val="single" w:sz="4" w:space="0" w:color="auto"/>
              <w:left w:val="single" w:sz="4" w:space="0" w:color="auto"/>
              <w:bottom w:val="single" w:sz="4" w:space="0" w:color="auto"/>
              <w:right w:val="single" w:sz="4" w:space="0" w:color="auto"/>
            </w:tcBorders>
          </w:tcPr>
          <w:p w14:paraId="036F3425"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5C3031E7"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3FF7492E"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0CBF3086"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1DB52ABF"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975" w:type="pct"/>
            <w:tcBorders>
              <w:top w:val="single" w:sz="4" w:space="0" w:color="auto"/>
              <w:left w:val="single" w:sz="4" w:space="0" w:color="auto"/>
              <w:bottom w:val="single" w:sz="4" w:space="0" w:color="auto"/>
              <w:right w:val="single" w:sz="4" w:space="0" w:color="auto"/>
            </w:tcBorders>
          </w:tcPr>
          <w:p w14:paraId="4A359F5A"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r>
      <w:tr w:rsidR="00653571" w:rsidRPr="008C5F1C" w14:paraId="324F1896" w14:textId="77777777" w:rsidTr="00534127">
        <w:tc>
          <w:tcPr>
            <w:tcW w:w="0" w:type="auto"/>
            <w:vMerge/>
            <w:tcBorders>
              <w:top w:val="single" w:sz="4" w:space="0" w:color="auto"/>
              <w:left w:val="single" w:sz="4" w:space="0" w:color="auto"/>
              <w:bottom w:val="single" w:sz="4" w:space="0" w:color="auto"/>
              <w:right w:val="single" w:sz="4" w:space="0" w:color="auto"/>
            </w:tcBorders>
            <w:vAlign w:val="center"/>
            <w:hideMark/>
          </w:tcPr>
          <w:p w14:paraId="59328016" w14:textId="77777777" w:rsidR="00653571" w:rsidRPr="008C5F1C" w:rsidRDefault="00653571" w:rsidP="00534127">
            <w:pPr>
              <w:spacing w:after="0"/>
              <w:rPr>
                <w:rFonts w:ascii="Times New Roman" w:eastAsia="Times New Roman" w:hAnsi="Times New Roman" w:cs="Times New Roman"/>
                <w:noProof/>
                <w:sz w:val="18"/>
                <w:szCs w:val="18"/>
              </w:rPr>
            </w:pPr>
          </w:p>
        </w:tc>
        <w:tc>
          <w:tcPr>
            <w:tcW w:w="534" w:type="pct"/>
            <w:tcBorders>
              <w:top w:val="single" w:sz="4" w:space="0" w:color="auto"/>
              <w:left w:val="single" w:sz="4" w:space="0" w:color="auto"/>
              <w:bottom w:val="single" w:sz="4" w:space="0" w:color="auto"/>
              <w:right w:val="single" w:sz="4" w:space="0" w:color="auto"/>
            </w:tcBorders>
            <w:hideMark/>
          </w:tcPr>
          <w:p w14:paraId="0168A84F" w14:textId="77777777" w:rsidR="00653571" w:rsidRPr="008C5F1C" w:rsidRDefault="00653571" w:rsidP="00534127">
            <w:pPr>
              <w:spacing w:beforeLines="60" w:before="144" w:afterLines="60" w:after="144"/>
              <w:rPr>
                <w:rFonts w:ascii="Times New Roman" w:eastAsia="Times New Roman" w:hAnsi="Times New Roman" w:cs="Times New Roman"/>
                <w:noProof/>
                <w:sz w:val="16"/>
                <w:szCs w:val="16"/>
              </w:rPr>
            </w:pPr>
            <w:r w:rsidRPr="008C5F1C">
              <w:rPr>
                <w:rFonts w:ascii="Times New Roman" w:eastAsia="Times New Roman" w:hAnsi="Times New Roman" w:cs="Times New Roman"/>
                <w:noProof/>
                <w:sz w:val="16"/>
                <w:szCs w:val="16"/>
              </w:rPr>
              <w:t xml:space="preserve">Outermost </w:t>
            </w:r>
            <w:r w:rsidRPr="008C5F1C">
              <w:rPr>
                <w:rFonts w:ascii="Times New Roman" w:hAnsi="Times New Roman" w:cs="Times New Roman"/>
                <w:noProof/>
                <w:sz w:val="16"/>
                <w:szCs w:val="16"/>
              </w:rPr>
              <w:t>and northern sparsely populated</w:t>
            </w:r>
          </w:p>
        </w:tc>
        <w:tc>
          <w:tcPr>
            <w:tcW w:w="610" w:type="pct"/>
            <w:tcBorders>
              <w:top w:val="single" w:sz="4" w:space="0" w:color="auto"/>
              <w:left w:val="single" w:sz="4" w:space="0" w:color="auto"/>
              <w:bottom w:val="single" w:sz="4" w:space="0" w:color="auto"/>
              <w:right w:val="single" w:sz="4" w:space="0" w:color="auto"/>
            </w:tcBorders>
          </w:tcPr>
          <w:p w14:paraId="270D89C9"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4D6BA881"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362C42F4"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5B1163F4"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45347543"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975" w:type="pct"/>
            <w:tcBorders>
              <w:top w:val="single" w:sz="4" w:space="0" w:color="auto"/>
              <w:left w:val="single" w:sz="4" w:space="0" w:color="auto"/>
              <w:bottom w:val="single" w:sz="4" w:space="0" w:color="auto"/>
              <w:right w:val="single" w:sz="4" w:space="0" w:color="auto"/>
            </w:tcBorders>
          </w:tcPr>
          <w:p w14:paraId="08835B38"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r>
      <w:tr w:rsidR="00653571" w:rsidRPr="008C5F1C" w14:paraId="3C01BCB3" w14:textId="77777777" w:rsidTr="00534127">
        <w:tc>
          <w:tcPr>
            <w:tcW w:w="440" w:type="pct"/>
            <w:tcBorders>
              <w:top w:val="single" w:sz="4" w:space="0" w:color="auto"/>
              <w:left w:val="single" w:sz="4" w:space="0" w:color="auto"/>
              <w:bottom w:val="single" w:sz="4" w:space="0" w:color="auto"/>
              <w:right w:val="single" w:sz="4" w:space="0" w:color="auto"/>
            </w:tcBorders>
            <w:hideMark/>
          </w:tcPr>
          <w:p w14:paraId="1F6EF089"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r w:rsidRPr="008C5F1C">
              <w:rPr>
                <w:rFonts w:ascii="Times New Roman" w:eastAsia="Times New Roman" w:hAnsi="Times New Roman" w:cs="Times New Roman"/>
                <w:noProof/>
                <w:sz w:val="18"/>
                <w:szCs w:val="18"/>
              </w:rPr>
              <w:t>CF</w:t>
            </w:r>
          </w:p>
        </w:tc>
        <w:tc>
          <w:tcPr>
            <w:tcW w:w="534" w:type="pct"/>
            <w:tcBorders>
              <w:top w:val="single" w:sz="4" w:space="0" w:color="auto"/>
              <w:left w:val="single" w:sz="4" w:space="0" w:color="auto"/>
              <w:bottom w:val="single" w:sz="4" w:space="0" w:color="auto"/>
              <w:right w:val="single" w:sz="4" w:space="0" w:color="auto"/>
            </w:tcBorders>
          </w:tcPr>
          <w:p w14:paraId="7E0E7A87"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0C7F872E"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1371A630"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0A0134F1"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6B58A92F"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435F73A6"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975" w:type="pct"/>
            <w:tcBorders>
              <w:top w:val="single" w:sz="4" w:space="0" w:color="auto"/>
              <w:left w:val="single" w:sz="4" w:space="0" w:color="auto"/>
              <w:bottom w:val="single" w:sz="4" w:space="0" w:color="auto"/>
              <w:right w:val="single" w:sz="4" w:space="0" w:color="auto"/>
            </w:tcBorders>
          </w:tcPr>
          <w:p w14:paraId="3FE47FA5"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r>
      <w:tr w:rsidR="00653571" w:rsidRPr="008C5F1C" w14:paraId="08E76DE5" w14:textId="77777777" w:rsidTr="00534127">
        <w:tc>
          <w:tcPr>
            <w:tcW w:w="440" w:type="pct"/>
            <w:tcBorders>
              <w:top w:val="single" w:sz="4" w:space="0" w:color="auto"/>
              <w:left w:val="single" w:sz="4" w:space="0" w:color="auto"/>
              <w:bottom w:val="single" w:sz="4" w:space="0" w:color="auto"/>
              <w:right w:val="single" w:sz="4" w:space="0" w:color="auto"/>
            </w:tcBorders>
            <w:hideMark/>
          </w:tcPr>
          <w:p w14:paraId="29B0FE1D"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r w:rsidRPr="008C5F1C">
              <w:rPr>
                <w:rFonts w:ascii="Times New Roman" w:eastAsia="Times New Roman" w:hAnsi="Times New Roman" w:cs="Times New Roman"/>
                <w:noProof/>
                <w:sz w:val="18"/>
                <w:szCs w:val="18"/>
              </w:rPr>
              <w:t>EMFF</w:t>
            </w:r>
          </w:p>
        </w:tc>
        <w:tc>
          <w:tcPr>
            <w:tcW w:w="534" w:type="pct"/>
            <w:tcBorders>
              <w:top w:val="single" w:sz="4" w:space="0" w:color="auto"/>
              <w:left w:val="single" w:sz="4" w:space="0" w:color="auto"/>
              <w:bottom w:val="single" w:sz="4" w:space="0" w:color="auto"/>
              <w:right w:val="single" w:sz="4" w:space="0" w:color="auto"/>
            </w:tcBorders>
          </w:tcPr>
          <w:p w14:paraId="06116545"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6466CD86"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56E77621"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08ABB1C6"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3DCFADFB"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635240BC"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975" w:type="pct"/>
            <w:tcBorders>
              <w:top w:val="single" w:sz="4" w:space="0" w:color="auto"/>
              <w:left w:val="single" w:sz="4" w:space="0" w:color="auto"/>
              <w:bottom w:val="single" w:sz="4" w:space="0" w:color="auto"/>
              <w:right w:val="single" w:sz="4" w:space="0" w:color="auto"/>
            </w:tcBorders>
          </w:tcPr>
          <w:p w14:paraId="658A623B"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r>
      <w:tr w:rsidR="00653571" w:rsidRPr="008C5F1C" w14:paraId="5F9060BC" w14:textId="77777777" w:rsidTr="00534127">
        <w:tc>
          <w:tcPr>
            <w:tcW w:w="440" w:type="pct"/>
            <w:tcBorders>
              <w:top w:val="single" w:sz="4" w:space="0" w:color="auto"/>
              <w:left w:val="single" w:sz="4" w:space="0" w:color="auto"/>
              <w:bottom w:val="single" w:sz="4" w:space="0" w:color="auto"/>
              <w:right w:val="single" w:sz="4" w:space="0" w:color="auto"/>
            </w:tcBorders>
            <w:hideMark/>
          </w:tcPr>
          <w:p w14:paraId="316F925B"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r w:rsidRPr="008C5F1C">
              <w:rPr>
                <w:rFonts w:ascii="Times New Roman" w:eastAsia="Times New Roman" w:hAnsi="Times New Roman" w:cs="Times New Roman"/>
                <w:noProof/>
                <w:sz w:val="18"/>
                <w:szCs w:val="18"/>
              </w:rPr>
              <w:t>Total</w:t>
            </w:r>
          </w:p>
        </w:tc>
        <w:tc>
          <w:tcPr>
            <w:tcW w:w="534" w:type="pct"/>
            <w:tcBorders>
              <w:top w:val="single" w:sz="4" w:space="0" w:color="auto"/>
              <w:left w:val="single" w:sz="4" w:space="0" w:color="auto"/>
              <w:bottom w:val="single" w:sz="4" w:space="0" w:color="auto"/>
              <w:right w:val="single" w:sz="4" w:space="0" w:color="auto"/>
            </w:tcBorders>
          </w:tcPr>
          <w:p w14:paraId="204E6E53"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7BEB21A4"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06769953"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0EE4CBAA"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7A65E94F"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32B47083"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c>
          <w:tcPr>
            <w:tcW w:w="975" w:type="pct"/>
            <w:tcBorders>
              <w:top w:val="single" w:sz="4" w:space="0" w:color="auto"/>
              <w:left w:val="single" w:sz="4" w:space="0" w:color="auto"/>
              <w:bottom w:val="single" w:sz="4" w:space="0" w:color="auto"/>
              <w:right w:val="single" w:sz="4" w:space="0" w:color="auto"/>
            </w:tcBorders>
          </w:tcPr>
          <w:p w14:paraId="4F4D3252" w14:textId="77777777" w:rsidR="00653571" w:rsidRPr="008C5F1C" w:rsidRDefault="00653571" w:rsidP="00534127">
            <w:pPr>
              <w:spacing w:beforeLines="60" w:before="144" w:afterLines="60" w:after="144"/>
              <w:rPr>
                <w:rFonts w:ascii="Times New Roman" w:eastAsia="Times New Roman" w:hAnsi="Times New Roman" w:cs="Times New Roman"/>
                <w:noProof/>
                <w:sz w:val="18"/>
                <w:szCs w:val="18"/>
              </w:rPr>
            </w:pPr>
          </w:p>
        </w:tc>
      </w:tr>
    </w:tbl>
    <w:p w14:paraId="40DBEA2F" w14:textId="77777777" w:rsidR="00653571" w:rsidRPr="008C5F1C" w:rsidRDefault="00653571" w:rsidP="00653571">
      <w:pPr>
        <w:spacing w:before="120" w:after="120" w:line="360" w:lineRule="auto"/>
        <w:rPr>
          <w:rFonts w:ascii="Times New Roman" w:eastAsia="Times New Roman" w:hAnsi="Times New Roman" w:cs="Times New Roman"/>
          <w:noProof/>
          <w:sz w:val="16"/>
          <w:szCs w:val="16"/>
        </w:rPr>
      </w:pPr>
      <w:r w:rsidRPr="008C5F1C">
        <w:rPr>
          <w:rFonts w:ascii="Times New Roman" w:eastAsia="Times New Roman" w:hAnsi="Times New Roman" w:cs="Times New Roman"/>
          <w:noProof/>
          <w:sz w:val="16"/>
          <w:szCs w:val="16"/>
        </w:rPr>
        <w:t>* Cumulative amounts for all transfers during programming period.</w:t>
      </w:r>
    </w:p>
    <w:p w14:paraId="4FB3D767" w14:textId="77777777" w:rsidR="00653571" w:rsidRPr="008C5F1C" w:rsidRDefault="00653571" w:rsidP="00653571">
      <w:pPr>
        <w:spacing w:before="120" w:after="120" w:line="360" w:lineRule="auto"/>
        <w:rPr>
          <w:rFonts w:ascii="Times New Roman" w:eastAsia="Times New Roman" w:hAnsi="Times New Roman" w:cs="Times New Roman"/>
          <w:noProof/>
          <w:sz w:val="16"/>
          <w:szCs w:val="16"/>
        </w:rPr>
      </w:pPr>
    </w:p>
    <w:p w14:paraId="415B6B73" w14:textId="77777777" w:rsidR="00653571" w:rsidRPr="008C5F1C" w:rsidRDefault="00653571" w:rsidP="00653571">
      <w:pPr>
        <w:spacing w:before="120" w:after="120" w:line="360" w:lineRule="auto"/>
        <w:rPr>
          <w:rFonts w:ascii="Times New Roman" w:eastAsia="Times New Roman" w:hAnsi="Times New Roman" w:cs="Times New Roman"/>
          <w:b/>
          <w:noProof/>
          <w:sz w:val="20"/>
        </w:rPr>
      </w:pPr>
    </w:p>
    <w:p w14:paraId="6B35FD3B" w14:textId="77777777" w:rsidR="00653571" w:rsidRPr="008C5F1C" w:rsidRDefault="00653571" w:rsidP="00653571">
      <w:pPr>
        <w:spacing w:after="0" w:line="360" w:lineRule="auto"/>
        <w:rPr>
          <w:rFonts w:ascii="Times New Roman" w:hAnsi="Times New Roman" w:cs="Times New Roman"/>
          <w:noProof/>
          <w:sz w:val="24"/>
        </w:rPr>
        <w:sectPr w:rsidR="00653571" w:rsidRPr="008C5F1C" w:rsidSect="00F72A1C">
          <w:type w:val="continuous"/>
          <w:pgSz w:w="11906" w:h="16838"/>
          <w:pgMar w:top="1134" w:right="1134" w:bottom="1134" w:left="1134" w:header="567" w:footer="567" w:gutter="0"/>
          <w:cols w:space="720"/>
          <w:docGrid w:linePitch="326"/>
        </w:sectPr>
      </w:pPr>
    </w:p>
    <w:p w14:paraId="1140B433" w14:textId="77777777" w:rsidR="00653571" w:rsidRPr="008C5F1C" w:rsidRDefault="00653571" w:rsidP="00653571">
      <w:pPr>
        <w:spacing w:before="120" w:after="120" w:line="360" w:lineRule="auto"/>
        <w:rPr>
          <w:rFonts w:ascii="Times New Roman" w:eastAsia="Times New Roman" w:hAnsi="Times New Roman" w:cs="Times New Roman"/>
          <w:b/>
          <w:noProof/>
          <w:sz w:val="20"/>
        </w:rPr>
      </w:pPr>
    </w:p>
    <w:p w14:paraId="7A4DD46D" w14:textId="77777777" w:rsidR="00653571" w:rsidRPr="008C5F1C" w:rsidRDefault="00653571" w:rsidP="00653571">
      <w:pPr>
        <w:spacing w:before="120" w:after="120" w:line="360" w:lineRule="auto"/>
        <w:rPr>
          <w:rFonts w:ascii="Times New Roman" w:eastAsia="Times New Roman" w:hAnsi="Times New Roman" w:cs="Times New Roman"/>
          <w:b/>
          <w:noProof/>
          <w:sz w:val="20"/>
        </w:rPr>
      </w:pPr>
      <w:r w:rsidRPr="008C5F1C">
        <w:rPr>
          <w:rFonts w:ascii="Times New Roman" w:eastAsia="Times New Roman" w:hAnsi="Times New Roman" w:cs="Times New Roman"/>
          <w:b/>
          <w:noProof/>
          <w:sz w:val="20"/>
        </w:rPr>
        <w:t>Table 17: Transfers between shared management funds*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727"/>
        <w:gridCol w:w="1415"/>
        <w:gridCol w:w="951"/>
        <w:gridCol w:w="874"/>
        <w:gridCol w:w="940"/>
        <w:gridCol w:w="1307"/>
        <w:gridCol w:w="951"/>
        <w:gridCol w:w="874"/>
        <w:gridCol w:w="940"/>
        <w:gridCol w:w="1307"/>
        <w:gridCol w:w="456"/>
        <w:gridCol w:w="726"/>
        <w:gridCol w:w="696"/>
        <w:gridCol w:w="497"/>
        <w:gridCol w:w="706"/>
        <w:gridCol w:w="627"/>
      </w:tblGrid>
      <w:tr w:rsidR="00653571" w:rsidRPr="008C5F1C" w14:paraId="0CE92984" w14:textId="77777777" w:rsidTr="00534127">
        <w:tc>
          <w:tcPr>
            <w:tcW w:w="0" w:type="auto"/>
            <w:gridSpan w:val="2"/>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FFFFFF"/>
            <w:hideMark/>
          </w:tcPr>
          <w:p w14:paraId="16DB59E1" w14:textId="77777777" w:rsidR="00653571" w:rsidRPr="008C5F1C" w:rsidRDefault="00653571" w:rsidP="00534127">
            <w:pPr>
              <w:spacing w:before="120" w:after="120"/>
              <w:ind w:left="851"/>
              <w:rPr>
                <w:rFonts w:ascii="Times New Roman" w:hAnsi="Times New Roman" w:cs="Times New Roman"/>
                <w:noProof/>
                <w:sz w:val="16"/>
                <w:szCs w:val="18"/>
              </w:rPr>
            </w:pPr>
            <w:r w:rsidRPr="008C5F1C">
              <w:rPr>
                <w:rFonts w:ascii="Times New Roman" w:hAnsi="Times New Roman" w:cs="Times New Roman"/>
                <w:noProof/>
                <w:sz w:val="16"/>
                <w:szCs w:val="18"/>
              </w:rPr>
              <w:t xml:space="preserve">Receiving fund / instrument </w:t>
            </w:r>
          </w:p>
          <w:p w14:paraId="7813BF03" w14:textId="77777777" w:rsidR="00653571" w:rsidRPr="008C5F1C" w:rsidRDefault="00653571" w:rsidP="00534127">
            <w:pPr>
              <w:spacing w:before="120" w:after="120"/>
              <w:rPr>
                <w:rFonts w:ascii="Times New Roman" w:hAnsi="Times New Roman" w:cs="Times New Roman"/>
                <w:sz w:val="16"/>
                <w:szCs w:val="16"/>
              </w:rPr>
            </w:pPr>
            <w:proofErr w:type="spellStart"/>
            <w:r w:rsidRPr="008C5F1C">
              <w:rPr>
                <w:rFonts w:ascii="Times New Roman" w:hAnsi="Times New Roman" w:cs="Times New Roman"/>
                <w:sz w:val="16"/>
                <w:szCs w:val="16"/>
              </w:rPr>
              <w:t>Transferring</w:t>
            </w:r>
            <w:proofErr w:type="spellEnd"/>
            <w:r w:rsidRPr="008C5F1C">
              <w:rPr>
                <w:rFonts w:ascii="Times New Roman" w:hAnsi="Times New Roman" w:cs="Times New Roman"/>
                <w:sz w:val="16"/>
                <w:szCs w:val="16"/>
              </w:rPr>
              <w:t xml:space="preserve"> </w:t>
            </w:r>
            <w:r w:rsidRPr="008C5F1C">
              <w:rPr>
                <w:rFonts w:ascii="Times New Roman" w:hAnsi="Times New Roman" w:cs="Times New Roman"/>
                <w:sz w:val="16"/>
                <w:szCs w:val="16"/>
              </w:rPr>
              <w:br/>
              <w:t>fund /instrument</w:t>
            </w:r>
            <w:r w:rsidRPr="008C5F1C">
              <w:rPr>
                <w:rFonts w:ascii="Times New Roman" w:hAnsi="Times New Roman" w:cs="Times New Roman"/>
                <w:b/>
                <w:sz w:val="16"/>
                <w:szCs w:val="16"/>
                <w:u w:val="single"/>
              </w:rPr>
              <w:t xml:space="preserve"> </w:t>
            </w:r>
          </w:p>
        </w:tc>
        <w:tc>
          <w:tcPr>
            <w:tcW w:w="0" w:type="auto"/>
            <w:gridSpan w:val="4"/>
            <w:tcBorders>
              <w:top w:val="single" w:sz="4" w:space="0" w:color="auto"/>
              <w:left w:val="single" w:sz="4" w:space="0" w:color="auto"/>
              <w:bottom w:val="single" w:sz="4" w:space="0" w:color="auto"/>
              <w:right w:val="single" w:sz="4" w:space="0" w:color="auto"/>
            </w:tcBorders>
            <w:shd w:val="clear" w:color="auto" w:fill="FFFFFF"/>
            <w:hideMark/>
          </w:tcPr>
          <w:p w14:paraId="2893D1B9" w14:textId="77777777" w:rsidR="00653571" w:rsidRPr="008C5F1C" w:rsidRDefault="00653571" w:rsidP="00534127">
            <w:pPr>
              <w:spacing w:before="120" w:after="120"/>
              <w:jc w:val="center"/>
              <w:rPr>
                <w:rFonts w:ascii="Times New Roman" w:hAnsi="Times New Roman" w:cs="Times New Roman"/>
                <w:b/>
                <w:noProof/>
                <w:sz w:val="18"/>
                <w:szCs w:val="18"/>
              </w:rPr>
            </w:pPr>
            <w:r w:rsidRPr="008C5F1C">
              <w:rPr>
                <w:rFonts w:ascii="Times New Roman" w:hAnsi="Times New Roman" w:cs="Times New Roman"/>
                <w:b/>
                <w:noProof/>
                <w:sz w:val="18"/>
                <w:szCs w:val="18"/>
              </w:rPr>
              <w:t>ERDF</w:t>
            </w:r>
          </w:p>
        </w:tc>
        <w:tc>
          <w:tcPr>
            <w:tcW w:w="0" w:type="auto"/>
            <w:gridSpan w:val="4"/>
            <w:tcBorders>
              <w:top w:val="single" w:sz="4" w:space="0" w:color="auto"/>
              <w:left w:val="single" w:sz="4" w:space="0" w:color="auto"/>
              <w:bottom w:val="single" w:sz="4" w:space="0" w:color="auto"/>
              <w:right w:val="single" w:sz="4" w:space="0" w:color="auto"/>
            </w:tcBorders>
            <w:shd w:val="clear" w:color="auto" w:fill="FFFFFF"/>
            <w:hideMark/>
          </w:tcPr>
          <w:p w14:paraId="49E174F5" w14:textId="77777777" w:rsidR="00653571" w:rsidRPr="008C5F1C" w:rsidRDefault="00653571" w:rsidP="00534127">
            <w:pPr>
              <w:spacing w:before="120" w:after="120"/>
              <w:jc w:val="center"/>
              <w:rPr>
                <w:rFonts w:ascii="Times New Roman" w:hAnsi="Times New Roman" w:cs="Times New Roman"/>
                <w:b/>
                <w:noProof/>
                <w:sz w:val="18"/>
                <w:szCs w:val="18"/>
              </w:rPr>
            </w:pPr>
            <w:r w:rsidRPr="008C5F1C">
              <w:rPr>
                <w:rFonts w:ascii="Times New Roman" w:hAnsi="Times New Roman" w:cs="Times New Roman"/>
                <w:b/>
                <w:noProof/>
                <w:sz w:val="18"/>
                <w:szCs w:val="18"/>
              </w:rPr>
              <w:t>ESF+</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6950B12B" w14:textId="77777777" w:rsidR="00653571" w:rsidRPr="008C5F1C" w:rsidRDefault="00653571" w:rsidP="00534127">
            <w:pPr>
              <w:spacing w:before="120" w:after="120"/>
              <w:rPr>
                <w:rFonts w:ascii="Times New Roman" w:hAnsi="Times New Roman" w:cs="Times New Roman"/>
                <w:b/>
                <w:noProof/>
                <w:sz w:val="18"/>
                <w:szCs w:val="18"/>
              </w:rPr>
            </w:pPr>
            <w:r w:rsidRPr="008C5F1C">
              <w:rPr>
                <w:rFonts w:ascii="Times New Roman" w:hAnsi="Times New Roman" w:cs="Times New Roman"/>
                <w:b/>
                <w:noProof/>
                <w:sz w:val="18"/>
                <w:szCs w:val="18"/>
              </w:rPr>
              <w:t>CF</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57A9BA7A" w14:textId="77777777" w:rsidR="00653571" w:rsidRPr="008C5F1C" w:rsidRDefault="00653571" w:rsidP="00534127">
            <w:pPr>
              <w:spacing w:before="120" w:after="120"/>
              <w:rPr>
                <w:rFonts w:ascii="Times New Roman" w:hAnsi="Times New Roman" w:cs="Times New Roman"/>
                <w:b/>
                <w:noProof/>
                <w:sz w:val="18"/>
                <w:szCs w:val="18"/>
              </w:rPr>
            </w:pPr>
            <w:r w:rsidRPr="008C5F1C">
              <w:rPr>
                <w:rFonts w:ascii="Times New Roman" w:hAnsi="Times New Roman" w:cs="Times New Roman"/>
                <w:b/>
                <w:noProof/>
                <w:sz w:val="18"/>
                <w:szCs w:val="18"/>
              </w:rPr>
              <w:t>EMFF</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2563BDD4" w14:textId="77777777" w:rsidR="00653571" w:rsidRPr="008C5F1C" w:rsidRDefault="00653571" w:rsidP="00534127">
            <w:pPr>
              <w:spacing w:before="120" w:after="120"/>
              <w:rPr>
                <w:rFonts w:ascii="Times New Roman" w:hAnsi="Times New Roman" w:cs="Times New Roman"/>
                <w:b/>
                <w:noProof/>
                <w:sz w:val="18"/>
                <w:szCs w:val="18"/>
              </w:rPr>
            </w:pPr>
            <w:r w:rsidRPr="008C5F1C">
              <w:rPr>
                <w:rFonts w:ascii="Times New Roman" w:hAnsi="Times New Roman" w:cs="Times New Roman"/>
                <w:b/>
                <w:noProof/>
                <w:sz w:val="18"/>
                <w:szCs w:val="18"/>
              </w:rPr>
              <w:t>AMIF</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7E7629E1" w14:textId="77777777" w:rsidR="00653571" w:rsidRPr="008C5F1C" w:rsidRDefault="00653571" w:rsidP="00534127">
            <w:pPr>
              <w:spacing w:before="120" w:after="120"/>
              <w:rPr>
                <w:rFonts w:ascii="Times New Roman" w:hAnsi="Times New Roman" w:cs="Times New Roman"/>
                <w:b/>
                <w:noProof/>
                <w:sz w:val="18"/>
                <w:szCs w:val="18"/>
              </w:rPr>
            </w:pPr>
            <w:r w:rsidRPr="008C5F1C">
              <w:rPr>
                <w:rFonts w:ascii="Times New Roman" w:hAnsi="Times New Roman" w:cs="Times New Roman"/>
                <w:b/>
                <w:noProof/>
                <w:sz w:val="18"/>
                <w:szCs w:val="18"/>
              </w:rPr>
              <w:t>ISF</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1631A1F7" w14:textId="77777777" w:rsidR="00653571" w:rsidRPr="008C5F1C" w:rsidRDefault="00653571" w:rsidP="00534127">
            <w:pPr>
              <w:spacing w:before="120" w:after="120"/>
              <w:rPr>
                <w:rFonts w:ascii="Times New Roman" w:hAnsi="Times New Roman" w:cs="Times New Roman"/>
                <w:b/>
                <w:noProof/>
                <w:sz w:val="18"/>
                <w:szCs w:val="18"/>
              </w:rPr>
            </w:pPr>
            <w:r w:rsidRPr="008C5F1C">
              <w:rPr>
                <w:rFonts w:ascii="Times New Roman" w:hAnsi="Times New Roman" w:cs="Times New Roman"/>
                <w:b/>
                <w:noProof/>
                <w:sz w:val="18"/>
                <w:szCs w:val="18"/>
              </w:rPr>
              <w:t>BMVI</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091F32B6" w14:textId="77777777" w:rsidR="00653571" w:rsidRPr="008C5F1C" w:rsidRDefault="00653571" w:rsidP="00534127">
            <w:pPr>
              <w:spacing w:before="120" w:after="120"/>
              <w:rPr>
                <w:rFonts w:ascii="Times New Roman" w:hAnsi="Times New Roman" w:cs="Times New Roman"/>
                <w:b/>
                <w:noProof/>
                <w:sz w:val="18"/>
                <w:szCs w:val="18"/>
              </w:rPr>
            </w:pPr>
            <w:r w:rsidRPr="008C5F1C">
              <w:rPr>
                <w:rFonts w:ascii="Times New Roman" w:hAnsi="Times New Roman" w:cs="Times New Roman"/>
                <w:b/>
                <w:noProof/>
                <w:sz w:val="18"/>
                <w:szCs w:val="18"/>
              </w:rPr>
              <w:t xml:space="preserve">Total </w:t>
            </w:r>
          </w:p>
        </w:tc>
      </w:tr>
      <w:tr w:rsidR="00653571" w:rsidRPr="008C5F1C" w14:paraId="1A1098DB" w14:textId="77777777" w:rsidTr="00534127">
        <w:trPr>
          <w:trHeight w:val="673"/>
        </w:trPr>
        <w:tc>
          <w:tcPr>
            <w:tcW w:w="0" w:type="auto"/>
            <w:gridSpan w:val="2"/>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67EA65AC" w14:textId="77777777" w:rsidR="00653571" w:rsidRPr="008C5F1C" w:rsidRDefault="00653571" w:rsidP="00534127">
            <w:pPr>
              <w:spacing w:after="0"/>
              <w:rPr>
                <w:rFonts w:ascii="Times New Roman"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264B6495" w14:textId="77777777" w:rsidR="00653571" w:rsidRPr="008C5F1C" w:rsidRDefault="00653571" w:rsidP="00534127">
            <w:pPr>
              <w:spacing w:before="120" w:after="120"/>
              <w:jc w:val="center"/>
              <w:rPr>
                <w:rFonts w:ascii="Times New Roman" w:eastAsia="Times New Roman" w:hAnsi="Times New Roman" w:cs="Times New Roman"/>
                <w:noProof/>
                <w:sz w:val="16"/>
                <w:szCs w:val="16"/>
              </w:rPr>
            </w:pPr>
            <w:r w:rsidRPr="008C5F1C">
              <w:rPr>
                <w:rFonts w:ascii="Times New Roman" w:eastAsia="Times New Roman" w:hAnsi="Times New Roman" w:cs="Times New Roman"/>
                <w:noProof/>
                <w:sz w:val="16"/>
                <w:szCs w:val="16"/>
              </w:rPr>
              <w:t>More developed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355E6D97" w14:textId="77777777" w:rsidR="00653571" w:rsidRPr="008C5F1C" w:rsidRDefault="00653571" w:rsidP="00534127">
            <w:pPr>
              <w:spacing w:before="120" w:after="120"/>
              <w:jc w:val="center"/>
              <w:rPr>
                <w:rFonts w:ascii="Times New Roman" w:hAnsi="Times New Roman" w:cs="Times New Roman"/>
                <w:noProof/>
                <w:sz w:val="16"/>
                <w:szCs w:val="16"/>
              </w:rPr>
            </w:pPr>
            <w:r w:rsidRPr="008C5F1C">
              <w:rPr>
                <w:rFonts w:ascii="Times New Roman" w:hAnsi="Times New Roman" w:cs="Times New Roman"/>
                <w:noProof/>
                <w:sz w:val="16"/>
                <w:szCs w:val="16"/>
              </w:rPr>
              <w:t>Transition</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029EFBF2" w14:textId="77777777" w:rsidR="00653571" w:rsidRPr="008C5F1C" w:rsidRDefault="00653571" w:rsidP="00534127">
            <w:pPr>
              <w:spacing w:before="120" w:after="120"/>
              <w:jc w:val="center"/>
              <w:rPr>
                <w:rFonts w:ascii="Times New Roman" w:hAnsi="Times New Roman" w:cs="Times New Roman"/>
                <w:noProof/>
                <w:sz w:val="16"/>
                <w:szCs w:val="16"/>
              </w:rPr>
            </w:pPr>
            <w:r w:rsidRPr="008C5F1C">
              <w:rPr>
                <w:rFonts w:ascii="Times New Roman" w:eastAsia="Times New Roman" w:hAnsi="Times New Roman" w:cs="Times New Roman"/>
                <w:noProof/>
                <w:sz w:val="16"/>
                <w:szCs w:val="16"/>
              </w:rPr>
              <w:t>Less developed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28342E55" w14:textId="77777777" w:rsidR="00653571" w:rsidRPr="008C5F1C" w:rsidRDefault="00653571" w:rsidP="00534127">
            <w:pPr>
              <w:spacing w:before="120" w:after="120"/>
              <w:jc w:val="center"/>
              <w:rPr>
                <w:rFonts w:ascii="Times New Roman" w:hAnsi="Times New Roman" w:cs="Times New Roman"/>
                <w:noProof/>
                <w:sz w:val="16"/>
                <w:szCs w:val="16"/>
              </w:rPr>
            </w:pPr>
            <w:r w:rsidRPr="008C5F1C">
              <w:rPr>
                <w:rFonts w:ascii="Times New Roman" w:hAnsi="Times New Roman" w:cs="Times New Roman"/>
                <w:noProof/>
                <w:sz w:val="16"/>
                <w:szCs w:val="16"/>
              </w:rPr>
              <w:t>Outermost and northern sparsely populated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74E24E4A" w14:textId="77777777" w:rsidR="00653571" w:rsidRPr="008C5F1C" w:rsidRDefault="00653571" w:rsidP="00534127">
            <w:pPr>
              <w:spacing w:before="120" w:after="120"/>
              <w:jc w:val="center"/>
              <w:rPr>
                <w:rFonts w:ascii="Times New Roman" w:hAnsi="Times New Roman" w:cs="Times New Roman"/>
                <w:noProof/>
                <w:sz w:val="16"/>
                <w:szCs w:val="16"/>
              </w:rPr>
            </w:pPr>
            <w:r w:rsidRPr="008C5F1C">
              <w:rPr>
                <w:rFonts w:ascii="Times New Roman" w:eastAsia="Times New Roman" w:hAnsi="Times New Roman" w:cs="Times New Roman"/>
                <w:noProof/>
                <w:sz w:val="16"/>
                <w:szCs w:val="16"/>
              </w:rPr>
              <w:t>More developed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28E274CE" w14:textId="77777777" w:rsidR="00653571" w:rsidRPr="008C5F1C" w:rsidRDefault="00653571" w:rsidP="00534127">
            <w:pPr>
              <w:spacing w:before="120" w:after="120"/>
              <w:jc w:val="center"/>
              <w:rPr>
                <w:rFonts w:ascii="Times New Roman" w:hAnsi="Times New Roman" w:cs="Times New Roman"/>
                <w:noProof/>
                <w:sz w:val="16"/>
                <w:szCs w:val="16"/>
              </w:rPr>
            </w:pPr>
            <w:r w:rsidRPr="008C5F1C">
              <w:rPr>
                <w:rFonts w:ascii="Times New Roman" w:eastAsia="Times New Roman" w:hAnsi="Times New Roman" w:cs="Times New Roman"/>
                <w:noProof/>
                <w:sz w:val="16"/>
                <w:szCs w:val="16"/>
              </w:rPr>
              <w:t>Transition</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12A7C97F" w14:textId="77777777" w:rsidR="00653571" w:rsidRPr="008C5F1C" w:rsidRDefault="00653571" w:rsidP="00534127">
            <w:pPr>
              <w:spacing w:before="120" w:after="120"/>
              <w:jc w:val="center"/>
              <w:rPr>
                <w:rFonts w:ascii="Times New Roman" w:hAnsi="Times New Roman" w:cs="Times New Roman"/>
                <w:noProof/>
                <w:sz w:val="16"/>
                <w:szCs w:val="16"/>
              </w:rPr>
            </w:pPr>
            <w:r w:rsidRPr="008C5F1C">
              <w:rPr>
                <w:rFonts w:ascii="Times New Roman" w:eastAsia="Times New Roman" w:hAnsi="Times New Roman" w:cs="Times New Roman"/>
                <w:noProof/>
                <w:sz w:val="16"/>
                <w:szCs w:val="16"/>
              </w:rPr>
              <w:t>Less developed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49E9CBA0" w14:textId="77777777" w:rsidR="00653571" w:rsidRPr="008C5F1C" w:rsidRDefault="00653571" w:rsidP="00534127">
            <w:pPr>
              <w:spacing w:before="120" w:after="120"/>
              <w:jc w:val="center"/>
              <w:rPr>
                <w:rFonts w:ascii="Times New Roman" w:hAnsi="Times New Roman" w:cs="Times New Roman"/>
                <w:noProof/>
                <w:sz w:val="16"/>
                <w:szCs w:val="16"/>
              </w:rPr>
            </w:pPr>
            <w:r w:rsidRPr="008C5F1C">
              <w:rPr>
                <w:rFonts w:ascii="Times New Roman" w:hAnsi="Times New Roman" w:cs="Times New Roman"/>
                <w:noProof/>
                <w:sz w:val="16"/>
                <w:szCs w:val="16"/>
              </w:rPr>
              <w:t xml:space="preserve">Outermost and northern sparsely populated </w:t>
            </w: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2935A5B3" w14:textId="77777777" w:rsidR="00653571" w:rsidRPr="008C5F1C" w:rsidRDefault="00653571" w:rsidP="00534127">
            <w:pPr>
              <w:spacing w:after="0"/>
              <w:rPr>
                <w:rFonts w:ascii="Times New Roman" w:hAnsi="Times New Roman" w:cs="Times New Roman"/>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0A227F13" w14:textId="77777777" w:rsidR="00653571" w:rsidRPr="008C5F1C" w:rsidRDefault="00653571" w:rsidP="00534127">
            <w:pPr>
              <w:spacing w:after="0"/>
              <w:rPr>
                <w:rFonts w:ascii="Times New Roman" w:hAnsi="Times New Roman" w:cs="Times New Roman"/>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6871B479" w14:textId="77777777" w:rsidR="00653571" w:rsidRPr="008C5F1C" w:rsidRDefault="00653571" w:rsidP="00534127">
            <w:pPr>
              <w:spacing w:after="0"/>
              <w:rPr>
                <w:rFonts w:ascii="Times New Roman" w:hAnsi="Times New Roman" w:cs="Times New Roman"/>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6D25651D" w14:textId="77777777" w:rsidR="00653571" w:rsidRPr="008C5F1C" w:rsidRDefault="00653571" w:rsidP="00534127">
            <w:pPr>
              <w:spacing w:after="0"/>
              <w:rPr>
                <w:rFonts w:ascii="Times New Roman" w:hAnsi="Times New Roman" w:cs="Times New Roman"/>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4EA4FD99" w14:textId="77777777" w:rsidR="00653571" w:rsidRPr="008C5F1C" w:rsidRDefault="00653571" w:rsidP="00534127">
            <w:pPr>
              <w:spacing w:after="0"/>
              <w:rPr>
                <w:rFonts w:ascii="Times New Roman" w:hAnsi="Times New Roman" w:cs="Times New Roman"/>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2AA1BE5C" w14:textId="77777777" w:rsidR="00653571" w:rsidRPr="008C5F1C" w:rsidRDefault="00653571" w:rsidP="00534127">
            <w:pPr>
              <w:spacing w:after="0"/>
              <w:rPr>
                <w:rFonts w:ascii="Times New Roman" w:hAnsi="Times New Roman" w:cs="Times New Roman"/>
                <w:b/>
                <w:noProof/>
                <w:sz w:val="18"/>
                <w:szCs w:val="18"/>
              </w:rPr>
            </w:pPr>
          </w:p>
        </w:tc>
      </w:tr>
      <w:tr w:rsidR="00653571" w:rsidRPr="008C5F1C" w14:paraId="0ADD4DF5" w14:textId="77777777" w:rsidTr="00534127">
        <w:trPr>
          <w:trHeight w:val="428"/>
        </w:trPr>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09C4BD56" w14:textId="77777777" w:rsidR="00653571" w:rsidRPr="008C5F1C" w:rsidRDefault="00653571" w:rsidP="00534127">
            <w:pPr>
              <w:spacing w:before="60" w:after="60"/>
              <w:rPr>
                <w:rFonts w:ascii="Times New Roman" w:hAnsi="Times New Roman" w:cs="Times New Roman"/>
                <w:b/>
                <w:noProof/>
                <w:sz w:val="18"/>
                <w:szCs w:val="18"/>
              </w:rPr>
            </w:pPr>
            <w:r w:rsidRPr="008C5F1C">
              <w:rPr>
                <w:rFonts w:ascii="Times New Roman" w:hAnsi="Times New Roman" w:cs="Times New Roman"/>
                <w:b/>
                <w:noProof/>
                <w:sz w:val="18"/>
                <w:szCs w:val="18"/>
              </w:rPr>
              <w:t>ERDF</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5BA0536C" w14:textId="77777777" w:rsidR="00653571" w:rsidRPr="008C5F1C" w:rsidRDefault="00653571" w:rsidP="00534127">
            <w:pPr>
              <w:spacing w:before="60" w:after="60"/>
              <w:rPr>
                <w:rFonts w:ascii="Times New Roman" w:eastAsia="Times New Roman" w:hAnsi="Times New Roman" w:cs="Times New Roman"/>
                <w:noProof/>
                <w:sz w:val="16"/>
                <w:szCs w:val="16"/>
              </w:rPr>
            </w:pPr>
            <w:r w:rsidRPr="008C5F1C">
              <w:rPr>
                <w:rFonts w:ascii="Times New Roman" w:eastAsia="Times New Roman" w:hAnsi="Times New Roman" w:cs="Times New Roman"/>
                <w:noProof/>
                <w:sz w:val="16"/>
                <w:szCs w:val="16"/>
              </w:rPr>
              <w:t>More developed</w:t>
            </w: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30AD4581"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02503597"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5A249F85"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4A089DF7"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7A0E5BF"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29AA223"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14AD2B7"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E825A3A"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9CC1FD4"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6EE00FE"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3A8BA88"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B08DE55"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E461E27"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2FF6548" w14:textId="77777777" w:rsidR="00653571" w:rsidRPr="008C5F1C" w:rsidRDefault="00653571" w:rsidP="00534127">
            <w:pPr>
              <w:spacing w:before="60" w:after="60"/>
              <w:rPr>
                <w:rFonts w:ascii="Times New Roman" w:hAnsi="Times New Roman" w:cs="Times New Roman"/>
                <w:b/>
                <w:noProof/>
                <w:sz w:val="18"/>
                <w:szCs w:val="18"/>
              </w:rPr>
            </w:pPr>
          </w:p>
        </w:tc>
      </w:tr>
      <w:tr w:rsidR="00653571" w:rsidRPr="008C5F1C" w14:paraId="70180C0C" w14:textId="77777777" w:rsidTr="00534127">
        <w:trPr>
          <w:trHeight w:val="350"/>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67045877" w14:textId="77777777" w:rsidR="00653571" w:rsidRPr="008C5F1C" w:rsidRDefault="00653571" w:rsidP="00534127">
            <w:pPr>
              <w:spacing w:after="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2CC2AA5E" w14:textId="77777777" w:rsidR="00653571" w:rsidRPr="008C5F1C" w:rsidRDefault="00653571" w:rsidP="00534127">
            <w:pPr>
              <w:spacing w:before="60" w:after="60"/>
              <w:rPr>
                <w:rFonts w:ascii="Times New Roman" w:eastAsia="Times New Roman" w:hAnsi="Times New Roman" w:cs="Times New Roman"/>
                <w:noProof/>
                <w:sz w:val="16"/>
                <w:szCs w:val="16"/>
              </w:rPr>
            </w:pPr>
            <w:r w:rsidRPr="008C5F1C">
              <w:rPr>
                <w:rFonts w:ascii="Times New Roman" w:hAnsi="Times New Roman" w:cs="Times New Roman"/>
                <w:noProof/>
                <w:sz w:val="16"/>
                <w:szCs w:val="16"/>
              </w:rPr>
              <w:t>Transition</w:t>
            </w: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430EA985"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248A3733"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657457DF"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3B5BF6A1"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211588D"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E7EFFCC"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928287F"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4A685D9"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369BD62"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A93337D"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C2B28EA"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ECD5F10"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7C4E2A5"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737BB45" w14:textId="77777777" w:rsidR="00653571" w:rsidRPr="008C5F1C" w:rsidRDefault="00653571" w:rsidP="00534127">
            <w:pPr>
              <w:spacing w:before="60" w:after="60"/>
              <w:rPr>
                <w:rFonts w:ascii="Times New Roman" w:hAnsi="Times New Roman" w:cs="Times New Roman"/>
                <w:b/>
                <w:noProof/>
                <w:sz w:val="18"/>
                <w:szCs w:val="18"/>
              </w:rPr>
            </w:pPr>
          </w:p>
        </w:tc>
      </w:tr>
      <w:tr w:rsidR="00653571" w:rsidRPr="008C5F1C" w14:paraId="7CF32F86" w14:textId="77777777" w:rsidTr="00534127">
        <w:trPr>
          <w:trHeight w:val="286"/>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65931B39" w14:textId="77777777" w:rsidR="00653571" w:rsidRPr="008C5F1C" w:rsidRDefault="00653571" w:rsidP="00534127">
            <w:pPr>
              <w:spacing w:after="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57884514" w14:textId="77777777" w:rsidR="00653571" w:rsidRPr="008C5F1C" w:rsidRDefault="00653571" w:rsidP="00534127">
            <w:pPr>
              <w:spacing w:before="60" w:after="60"/>
              <w:rPr>
                <w:rFonts w:ascii="Times New Roman" w:hAnsi="Times New Roman" w:cs="Times New Roman"/>
                <w:noProof/>
                <w:sz w:val="16"/>
                <w:szCs w:val="16"/>
              </w:rPr>
            </w:pPr>
            <w:r w:rsidRPr="008C5F1C">
              <w:rPr>
                <w:rFonts w:ascii="Times New Roman" w:eastAsia="Times New Roman" w:hAnsi="Times New Roman" w:cs="Times New Roman"/>
                <w:noProof/>
                <w:sz w:val="16"/>
                <w:szCs w:val="16"/>
              </w:rPr>
              <w:t>Less developed</w:t>
            </w: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21CEF545"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1BA42C37"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0440ECC9"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49C89457"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EEFA5B9"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AB57510"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E58ABE5"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AC75C2B"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D278749"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07DAEB3"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0A3BED3"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4DC8E86"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C549DC4"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5356868" w14:textId="77777777" w:rsidR="00653571" w:rsidRPr="008C5F1C" w:rsidRDefault="00653571" w:rsidP="00534127">
            <w:pPr>
              <w:spacing w:before="60" w:after="60"/>
              <w:rPr>
                <w:rFonts w:ascii="Times New Roman" w:hAnsi="Times New Roman" w:cs="Times New Roman"/>
                <w:b/>
                <w:noProof/>
                <w:sz w:val="18"/>
                <w:szCs w:val="18"/>
              </w:rPr>
            </w:pPr>
          </w:p>
        </w:tc>
      </w:tr>
      <w:tr w:rsidR="00653571" w:rsidRPr="008C5F1C" w14:paraId="1B914622" w14:textId="77777777" w:rsidTr="00534127">
        <w:trPr>
          <w:trHeight w:val="648"/>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18732E67" w14:textId="77777777" w:rsidR="00653571" w:rsidRPr="008C5F1C" w:rsidRDefault="00653571" w:rsidP="00534127">
            <w:pPr>
              <w:spacing w:after="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15C7EFAD" w14:textId="77777777" w:rsidR="00653571" w:rsidRPr="008C5F1C" w:rsidRDefault="00653571" w:rsidP="00534127">
            <w:pPr>
              <w:spacing w:before="60" w:after="60"/>
              <w:rPr>
                <w:rFonts w:ascii="Times New Roman" w:eastAsia="Times New Roman" w:hAnsi="Times New Roman" w:cs="Times New Roman"/>
                <w:noProof/>
                <w:sz w:val="16"/>
                <w:szCs w:val="16"/>
              </w:rPr>
            </w:pPr>
            <w:r w:rsidRPr="008C5F1C">
              <w:rPr>
                <w:rFonts w:ascii="Times New Roman" w:hAnsi="Times New Roman" w:cs="Times New Roman"/>
                <w:noProof/>
                <w:sz w:val="16"/>
                <w:szCs w:val="16"/>
              </w:rPr>
              <w:t>Outermost and northern sparsely populated</w:t>
            </w: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3242738D"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3A57A870"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4FE59DB7"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36E044D5"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4BD6091"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02E7591"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160FBD1"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0A946FC"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9151363"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89580DB"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A7CF466"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6B8D8A7"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C5C5237"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CCACFC3" w14:textId="77777777" w:rsidR="00653571" w:rsidRPr="008C5F1C" w:rsidRDefault="00653571" w:rsidP="00534127">
            <w:pPr>
              <w:spacing w:before="60" w:after="60"/>
              <w:rPr>
                <w:rFonts w:ascii="Times New Roman" w:hAnsi="Times New Roman" w:cs="Times New Roman"/>
                <w:b/>
                <w:noProof/>
                <w:sz w:val="18"/>
                <w:szCs w:val="18"/>
              </w:rPr>
            </w:pPr>
          </w:p>
        </w:tc>
      </w:tr>
      <w:tr w:rsidR="00653571" w:rsidRPr="008C5F1C" w14:paraId="5D9DCF6D" w14:textId="77777777" w:rsidTr="00534127">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2F3C351C" w14:textId="77777777" w:rsidR="00653571" w:rsidRPr="008C5F1C" w:rsidRDefault="00653571" w:rsidP="00534127">
            <w:pPr>
              <w:spacing w:before="60" w:after="60"/>
              <w:rPr>
                <w:rFonts w:ascii="Times New Roman" w:eastAsia="Times New Roman" w:hAnsi="Times New Roman" w:cs="Times New Roman"/>
                <w:b/>
                <w:noProof/>
                <w:sz w:val="18"/>
                <w:szCs w:val="18"/>
              </w:rPr>
            </w:pPr>
            <w:r w:rsidRPr="008C5F1C">
              <w:rPr>
                <w:rFonts w:ascii="Times New Roman" w:eastAsia="Times New Roman" w:hAnsi="Times New Roman" w:cs="Times New Roman"/>
                <w:b/>
                <w:noProof/>
                <w:sz w:val="18"/>
                <w:szCs w:val="18"/>
              </w:rPr>
              <w:t>ESF+</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33CE33D6" w14:textId="77777777" w:rsidR="00653571" w:rsidRPr="008C5F1C" w:rsidRDefault="00653571" w:rsidP="00534127">
            <w:pPr>
              <w:spacing w:before="60" w:after="60"/>
              <w:rPr>
                <w:rFonts w:ascii="Times New Roman" w:eastAsia="Times New Roman" w:hAnsi="Times New Roman" w:cs="Times New Roman"/>
                <w:noProof/>
                <w:sz w:val="16"/>
                <w:szCs w:val="16"/>
              </w:rPr>
            </w:pPr>
            <w:r w:rsidRPr="008C5F1C">
              <w:rPr>
                <w:rFonts w:ascii="Times New Roman" w:eastAsia="Times New Roman" w:hAnsi="Times New Roman" w:cs="Times New Roman"/>
                <w:noProof/>
                <w:sz w:val="16"/>
                <w:szCs w:val="16"/>
              </w:rPr>
              <w:t>More developed</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8A76938"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97C3FF8"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EAED087"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382B72B"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68B9A437"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34DDC9A4"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3B8D757D"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3CE11F3E"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3785768"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ABDE801"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27A432F"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7702D3A"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583EB07"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0DC4708" w14:textId="77777777" w:rsidR="00653571" w:rsidRPr="008C5F1C" w:rsidRDefault="00653571" w:rsidP="00534127">
            <w:pPr>
              <w:spacing w:before="60" w:after="60"/>
              <w:rPr>
                <w:rFonts w:ascii="Times New Roman" w:hAnsi="Times New Roman" w:cs="Times New Roman"/>
                <w:b/>
                <w:noProof/>
                <w:sz w:val="18"/>
                <w:szCs w:val="18"/>
              </w:rPr>
            </w:pPr>
          </w:p>
        </w:tc>
      </w:tr>
      <w:tr w:rsidR="00653571" w:rsidRPr="008C5F1C" w14:paraId="6319CB51" w14:textId="77777777" w:rsidTr="00534127">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0A2B7A6B" w14:textId="77777777" w:rsidR="00653571" w:rsidRPr="008C5F1C" w:rsidRDefault="00653571" w:rsidP="00534127">
            <w:pPr>
              <w:spacing w:after="0"/>
              <w:rPr>
                <w:rFonts w:ascii="Times New Roman" w:eastAsia="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41040AFA" w14:textId="77777777" w:rsidR="00653571" w:rsidRPr="008C5F1C" w:rsidRDefault="00653571" w:rsidP="00534127">
            <w:pPr>
              <w:spacing w:before="60" w:after="60"/>
              <w:rPr>
                <w:rFonts w:ascii="Times New Roman" w:eastAsia="Times New Roman" w:hAnsi="Times New Roman" w:cs="Times New Roman"/>
                <w:noProof/>
                <w:sz w:val="16"/>
                <w:szCs w:val="16"/>
              </w:rPr>
            </w:pPr>
            <w:r w:rsidRPr="008C5F1C">
              <w:rPr>
                <w:rFonts w:ascii="Times New Roman" w:eastAsia="Times New Roman" w:hAnsi="Times New Roman" w:cs="Times New Roman"/>
                <w:noProof/>
                <w:sz w:val="16"/>
                <w:szCs w:val="16"/>
              </w:rPr>
              <w:t xml:space="preserve">Transition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325E3D3"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FA1E8AC"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167F237"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BC3F8D3"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282DB67B"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7CBE6206"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2EC37C1D"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1C7D28CC"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892DFCC"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5A045BE"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0A03913"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DBA90CD"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951EEE7"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746D302" w14:textId="77777777" w:rsidR="00653571" w:rsidRPr="008C5F1C" w:rsidRDefault="00653571" w:rsidP="00534127">
            <w:pPr>
              <w:spacing w:before="60" w:after="60"/>
              <w:rPr>
                <w:rFonts w:ascii="Times New Roman" w:hAnsi="Times New Roman" w:cs="Times New Roman"/>
                <w:b/>
                <w:noProof/>
                <w:sz w:val="18"/>
                <w:szCs w:val="18"/>
              </w:rPr>
            </w:pPr>
          </w:p>
        </w:tc>
      </w:tr>
      <w:tr w:rsidR="00653571" w:rsidRPr="008C5F1C" w14:paraId="578BEA85" w14:textId="77777777" w:rsidTr="00534127">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6F99C93A" w14:textId="77777777" w:rsidR="00653571" w:rsidRPr="008C5F1C" w:rsidRDefault="00653571" w:rsidP="00534127">
            <w:pPr>
              <w:spacing w:after="0"/>
              <w:rPr>
                <w:rFonts w:ascii="Times New Roman" w:eastAsia="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79C99800" w14:textId="77777777" w:rsidR="00653571" w:rsidRPr="008C5F1C" w:rsidRDefault="00653571" w:rsidP="00534127">
            <w:pPr>
              <w:spacing w:before="60" w:after="60"/>
              <w:rPr>
                <w:rFonts w:ascii="Times New Roman" w:eastAsia="Times New Roman" w:hAnsi="Times New Roman" w:cs="Times New Roman"/>
                <w:noProof/>
                <w:sz w:val="16"/>
                <w:szCs w:val="16"/>
              </w:rPr>
            </w:pPr>
            <w:r w:rsidRPr="008C5F1C">
              <w:rPr>
                <w:rFonts w:ascii="Times New Roman" w:eastAsia="Times New Roman" w:hAnsi="Times New Roman" w:cs="Times New Roman"/>
                <w:noProof/>
                <w:sz w:val="16"/>
                <w:szCs w:val="16"/>
              </w:rPr>
              <w:t>Less developed</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5D9216D"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5E41BF4"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B1132D1"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DD720DE"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3114AD2E"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014490F6"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3E79D947"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63913D34"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5E5D2F9"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CDB878D"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CEC180C"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8634685"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3954511"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0877478" w14:textId="77777777" w:rsidR="00653571" w:rsidRPr="008C5F1C" w:rsidRDefault="00653571" w:rsidP="00534127">
            <w:pPr>
              <w:spacing w:before="60" w:after="60"/>
              <w:rPr>
                <w:rFonts w:ascii="Times New Roman" w:hAnsi="Times New Roman" w:cs="Times New Roman"/>
                <w:b/>
                <w:noProof/>
                <w:sz w:val="18"/>
                <w:szCs w:val="18"/>
              </w:rPr>
            </w:pPr>
          </w:p>
        </w:tc>
      </w:tr>
      <w:tr w:rsidR="00653571" w:rsidRPr="008C5F1C" w14:paraId="181967CD" w14:textId="77777777" w:rsidTr="00534127">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2DB0E2BC" w14:textId="77777777" w:rsidR="00653571" w:rsidRPr="008C5F1C" w:rsidRDefault="00653571" w:rsidP="00534127">
            <w:pPr>
              <w:spacing w:after="0"/>
              <w:rPr>
                <w:rFonts w:ascii="Times New Roman" w:eastAsia="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75F707C8" w14:textId="77777777" w:rsidR="00653571" w:rsidRPr="008C5F1C" w:rsidRDefault="00653571" w:rsidP="00534127">
            <w:pPr>
              <w:spacing w:before="60" w:after="60"/>
              <w:rPr>
                <w:rFonts w:ascii="Times New Roman" w:eastAsia="Times New Roman" w:hAnsi="Times New Roman" w:cs="Times New Roman"/>
                <w:noProof/>
                <w:sz w:val="16"/>
                <w:szCs w:val="16"/>
              </w:rPr>
            </w:pPr>
            <w:r w:rsidRPr="008C5F1C">
              <w:rPr>
                <w:rFonts w:ascii="Times New Roman" w:hAnsi="Times New Roman" w:cs="Times New Roman"/>
                <w:noProof/>
                <w:sz w:val="16"/>
                <w:szCs w:val="16"/>
              </w:rPr>
              <w:t>Outermost and northern sparsely populated</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0F27A6B"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14F30F8"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6164242"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EF89F3D"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6301C904"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568980D5"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7420582C"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17E3864D"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EA3E442"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07878DD"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8C19BA9"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67D9961"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B720928"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0D64B73" w14:textId="77777777" w:rsidR="00653571" w:rsidRPr="008C5F1C" w:rsidRDefault="00653571" w:rsidP="00534127">
            <w:pPr>
              <w:spacing w:before="60" w:after="60"/>
              <w:rPr>
                <w:rFonts w:ascii="Times New Roman" w:hAnsi="Times New Roman" w:cs="Times New Roman"/>
                <w:b/>
                <w:noProof/>
                <w:sz w:val="18"/>
                <w:szCs w:val="18"/>
              </w:rPr>
            </w:pPr>
          </w:p>
        </w:tc>
      </w:tr>
      <w:tr w:rsidR="00653571" w:rsidRPr="008C5F1C" w14:paraId="7B940E79" w14:textId="77777777" w:rsidTr="00534127">
        <w:trPr>
          <w:trHeight w:val="372"/>
        </w:trPr>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21AFE1F7" w14:textId="77777777" w:rsidR="00653571" w:rsidRPr="008C5F1C" w:rsidRDefault="00653571" w:rsidP="00534127">
            <w:pPr>
              <w:spacing w:before="60" w:after="60"/>
              <w:rPr>
                <w:rFonts w:ascii="Times New Roman" w:eastAsia="Times New Roman" w:hAnsi="Times New Roman" w:cs="Times New Roman"/>
                <w:b/>
                <w:noProof/>
                <w:sz w:val="18"/>
                <w:szCs w:val="18"/>
              </w:rPr>
            </w:pPr>
            <w:r w:rsidRPr="008C5F1C">
              <w:rPr>
                <w:rFonts w:ascii="Times New Roman" w:eastAsia="Times New Roman" w:hAnsi="Times New Roman" w:cs="Times New Roman"/>
                <w:b/>
                <w:noProof/>
                <w:sz w:val="18"/>
                <w:szCs w:val="18"/>
              </w:rPr>
              <w:t>CF</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37C86EF"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B518699"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1A55427"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E9A3B54"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DE2D338"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1CDCCAE"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F321809"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FD0EF88"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D81FB37"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6E8F3968"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79A2F1D"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10E2767"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70A7947"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7DB70FC"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88A455E" w14:textId="77777777" w:rsidR="00653571" w:rsidRPr="008C5F1C" w:rsidRDefault="00653571" w:rsidP="00534127">
            <w:pPr>
              <w:spacing w:before="60" w:after="60"/>
              <w:rPr>
                <w:rFonts w:ascii="Times New Roman" w:hAnsi="Times New Roman" w:cs="Times New Roman"/>
                <w:b/>
                <w:noProof/>
                <w:sz w:val="18"/>
                <w:szCs w:val="18"/>
              </w:rPr>
            </w:pPr>
          </w:p>
        </w:tc>
      </w:tr>
      <w:tr w:rsidR="00653571" w:rsidRPr="008C5F1C" w14:paraId="5A582333" w14:textId="77777777" w:rsidTr="00534127">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79FC244D" w14:textId="77777777" w:rsidR="00653571" w:rsidRPr="008C5F1C" w:rsidRDefault="00653571" w:rsidP="00534127">
            <w:pPr>
              <w:spacing w:before="60" w:after="60"/>
              <w:rPr>
                <w:rFonts w:ascii="Times New Roman" w:eastAsia="Times New Roman" w:hAnsi="Times New Roman" w:cs="Times New Roman"/>
                <w:b/>
                <w:noProof/>
                <w:sz w:val="18"/>
                <w:szCs w:val="18"/>
              </w:rPr>
            </w:pPr>
            <w:r w:rsidRPr="008C5F1C">
              <w:rPr>
                <w:rFonts w:ascii="Times New Roman" w:eastAsia="Times New Roman" w:hAnsi="Times New Roman" w:cs="Times New Roman"/>
                <w:b/>
                <w:noProof/>
                <w:sz w:val="18"/>
                <w:szCs w:val="18"/>
              </w:rPr>
              <w:t>EMFF</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90990FD"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F0C0CDB"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C560A51"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BD6C0AF"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8AACBC5"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B582860"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0119C41"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EA437FD"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D04BE9A"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A10DDAF"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44153DD8"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DF254F1"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4B19AB5"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C890704"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FDF088E" w14:textId="77777777" w:rsidR="00653571" w:rsidRPr="008C5F1C" w:rsidRDefault="00653571" w:rsidP="00534127">
            <w:pPr>
              <w:spacing w:before="60" w:after="60"/>
              <w:rPr>
                <w:rFonts w:ascii="Times New Roman" w:hAnsi="Times New Roman" w:cs="Times New Roman"/>
                <w:b/>
                <w:noProof/>
                <w:sz w:val="18"/>
                <w:szCs w:val="18"/>
              </w:rPr>
            </w:pPr>
          </w:p>
        </w:tc>
      </w:tr>
      <w:tr w:rsidR="00653571" w:rsidRPr="008C5F1C" w14:paraId="7CE2305C" w14:textId="77777777" w:rsidTr="00534127">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024B3FDC" w14:textId="77777777" w:rsidR="00653571" w:rsidRPr="008C5F1C" w:rsidRDefault="00653571" w:rsidP="00534127">
            <w:pPr>
              <w:spacing w:before="60" w:after="60"/>
              <w:rPr>
                <w:rFonts w:ascii="Times New Roman" w:hAnsi="Times New Roman" w:cs="Times New Roman"/>
                <w:b/>
                <w:noProof/>
                <w:sz w:val="18"/>
                <w:szCs w:val="18"/>
              </w:rPr>
            </w:pPr>
            <w:r w:rsidRPr="008C5F1C">
              <w:rPr>
                <w:rFonts w:ascii="Times New Roman" w:hAnsi="Times New Roman" w:cs="Times New Roman"/>
                <w:b/>
                <w:noProof/>
                <w:sz w:val="18"/>
                <w:szCs w:val="18"/>
              </w:rPr>
              <w:t>Total</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BDD96B8"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EEBC260"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58CA9D3"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05BF266"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26EF85D"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63AE24C"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C0867A1"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97C8C83"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A2775B3"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6DB3464"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2758412"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15872AB"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933D295"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422440B" w14:textId="77777777" w:rsidR="00653571" w:rsidRPr="008C5F1C" w:rsidRDefault="00653571" w:rsidP="00534127">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1993063" w14:textId="77777777" w:rsidR="00653571" w:rsidRPr="008C5F1C" w:rsidRDefault="00653571" w:rsidP="00534127">
            <w:pPr>
              <w:spacing w:before="60" w:after="60"/>
              <w:rPr>
                <w:rFonts w:ascii="Times New Roman" w:hAnsi="Times New Roman" w:cs="Times New Roman"/>
                <w:b/>
                <w:noProof/>
                <w:sz w:val="18"/>
                <w:szCs w:val="18"/>
              </w:rPr>
            </w:pPr>
          </w:p>
        </w:tc>
      </w:tr>
    </w:tbl>
    <w:p w14:paraId="0C6636EE" w14:textId="77777777" w:rsidR="00653571" w:rsidRPr="008C5F1C" w:rsidRDefault="00653571" w:rsidP="00653571">
      <w:pPr>
        <w:spacing w:before="120" w:after="120" w:line="360" w:lineRule="auto"/>
        <w:rPr>
          <w:rFonts w:ascii="Times New Roman" w:eastAsia="Times New Roman" w:hAnsi="Times New Roman" w:cs="Times New Roman"/>
          <w:noProof/>
          <w:sz w:val="16"/>
          <w:szCs w:val="16"/>
        </w:rPr>
      </w:pPr>
      <w:r w:rsidRPr="008C5F1C">
        <w:rPr>
          <w:rFonts w:ascii="Times New Roman" w:eastAsia="Times New Roman" w:hAnsi="Times New Roman" w:cs="Times New Roman"/>
          <w:noProof/>
          <w:sz w:val="16"/>
          <w:szCs w:val="16"/>
        </w:rPr>
        <w:t>* Cumulative amounts for all transfers during programming period.</w:t>
      </w:r>
    </w:p>
    <w:p w14:paraId="48560587" w14:textId="77777777" w:rsidR="00653571" w:rsidRPr="008C5F1C" w:rsidRDefault="00653571" w:rsidP="00653571">
      <w:pPr>
        <w:spacing w:before="120" w:after="120" w:line="240" w:lineRule="auto"/>
        <w:ind w:left="720"/>
        <w:jc w:val="both"/>
        <w:rPr>
          <w:rFonts w:ascii="Times New Roman" w:eastAsia="Calibri" w:hAnsi="Times New Roman" w:cs="Times New Roman"/>
          <w:b/>
          <w:noProof/>
          <w:sz w:val="24"/>
          <w:szCs w:val="20"/>
          <w:lang w:eastAsia="en-GB"/>
        </w:rPr>
      </w:pPr>
    </w:p>
    <w:p w14:paraId="271EE74F" w14:textId="77777777" w:rsidR="00653571" w:rsidRPr="008C5F1C" w:rsidRDefault="00653571" w:rsidP="00653571">
      <w:pPr>
        <w:spacing w:before="120" w:after="120" w:line="240" w:lineRule="auto"/>
        <w:ind w:left="720"/>
        <w:jc w:val="both"/>
        <w:rPr>
          <w:rFonts w:ascii="Times New Roman" w:eastAsia="Calibri" w:hAnsi="Times New Roman" w:cs="Times New Roman"/>
          <w:b/>
          <w:noProof/>
          <w:sz w:val="24"/>
          <w:szCs w:val="20"/>
          <w:lang w:eastAsia="en-GB"/>
        </w:rPr>
      </w:pPr>
    </w:p>
    <w:p w14:paraId="679C7E50" w14:textId="77777777" w:rsidR="00653571" w:rsidRPr="008C5F1C" w:rsidRDefault="00653571" w:rsidP="00653571">
      <w:pPr>
        <w:spacing w:before="120" w:after="120" w:line="240" w:lineRule="auto"/>
        <w:ind w:left="720"/>
        <w:jc w:val="both"/>
        <w:rPr>
          <w:rFonts w:ascii="Times New Roman" w:eastAsia="Calibri" w:hAnsi="Times New Roman" w:cs="Times New Roman"/>
          <w:b/>
          <w:noProof/>
          <w:sz w:val="24"/>
          <w:szCs w:val="20"/>
          <w:lang w:eastAsia="en-GB"/>
        </w:rPr>
      </w:pPr>
      <w:r w:rsidRPr="008C5F1C">
        <w:rPr>
          <w:rFonts w:ascii="Times New Roman" w:eastAsia="Calibri" w:hAnsi="Times New Roman" w:cs="Times New Roman"/>
          <w:b/>
          <w:noProof/>
          <w:sz w:val="24"/>
          <w:szCs w:val="20"/>
          <w:lang w:eastAsia="en-GB"/>
        </w:rPr>
        <w:lastRenderedPageBreak/>
        <w:t xml:space="preserve">Table 18: </w:t>
      </w:r>
      <w:r w:rsidRPr="008C5F1C">
        <w:rPr>
          <w:rFonts w:ascii="Times New Roman" w:eastAsia="Calibri" w:hAnsi="Times New Roman" w:cs="Times New Roman"/>
          <w:b/>
          <w:noProof/>
          <w:sz w:val="24"/>
          <w:szCs w:val="24"/>
          <w:lang w:eastAsia="en-GB"/>
        </w:rPr>
        <w:t>Initial JTF allocation to the programme</w:t>
      </w:r>
      <w:r w:rsidRPr="008C5F1C">
        <w:rPr>
          <w:rFonts w:ascii="Times New Roman" w:eastAsia="Calibri" w:hAnsi="Times New Roman" w:cs="Times New Roman"/>
          <w:b/>
          <w:noProof/>
          <w:sz w:val="24"/>
          <w:szCs w:val="24"/>
          <w:vertAlign w:val="superscript"/>
          <w:lang w:eastAsia="en-GB"/>
        </w:rPr>
        <w:t>1</w:t>
      </w:r>
    </w:p>
    <w:p w14:paraId="79A6C13D" w14:textId="77777777" w:rsidR="00653571" w:rsidRPr="008C5F1C" w:rsidRDefault="00653571" w:rsidP="00653571">
      <w:pPr>
        <w:spacing w:before="120" w:after="120" w:line="240" w:lineRule="auto"/>
        <w:ind w:left="720"/>
        <w:jc w:val="both"/>
        <w:rPr>
          <w:rFonts w:ascii="Times New Roman" w:eastAsia="Calibri" w:hAnsi="Times New Roman" w:cs="Times New Roman"/>
          <w:i/>
          <w:noProof/>
          <w:sz w:val="24"/>
          <w:szCs w:val="20"/>
          <w:lang w:eastAsia="en-GB"/>
        </w:rPr>
      </w:pPr>
      <w:r w:rsidRPr="008C5F1C">
        <w:rPr>
          <w:rFonts w:ascii="Times New Roman" w:eastAsia="Calibri" w:hAnsi="Times New Roman" w:cs="Times New Roman"/>
          <w:i/>
          <w:noProof/>
          <w:sz w:val="24"/>
          <w:szCs w:val="20"/>
          <w:lang w:eastAsia="en-GB"/>
        </w:rPr>
        <w:t>Reference: Article 21</w:t>
      </w:r>
      <w:r w:rsidRPr="008C5F1C">
        <w:rPr>
          <w:rFonts w:ascii="Times New Roman" w:eastAsia="Calibri" w:hAnsi="Times New Roman" w:cs="Times New Roman"/>
          <w:b/>
          <w:i/>
          <w:noProof/>
          <w:sz w:val="24"/>
          <w:szCs w:val="20"/>
          <w:lang w:eastAsia="en-GB"/>
        </w:rPr>
        <w:t xml:space="preserve"> </w:t>
      </w:r>
      <w:r w:rsidRPr="008C5F1C">
        <w:rPr>
          <w:rFonts w:ascii="Times New Roman" w:eastAsia="Calibri" w:hAnsi="Times New Roman" w:cs="Times New Roman"/>
          <w:i/>
          <w:noProof/>
          <w:sz w:val="24"/>
          <w:szCs w:val="20"/>
          <w:lang w:eastAsia="en-GB"/>
        </w:rPr>
        <w:t xml:space="preserve">a </w:t>
      </w:r>
    </w:p>
    <w:tbl>
      <w:tblPr>
        <w:tblStyle w:val="TableGrid1"/>
        <w:tblW w:w="0" w:type="auto"/>
        <w:tblLook w:val="04A0" w:firstRow="1" w:lastRow="0" w:firstColumn="1" w:lastColumn="0" w:noHBand="0" w:noVBand="1"/>
      </w:tblPr>
      <w:tblGrid>
        <w:gridCol w:w="3085"/>
        <w:gridCol w:w="1985"/>
        <w:gridCol w:w="1896"/>
        <w:gridCol w:w="2322"/>
      </w:tblGrid>
      <w:tr w:rsidR="00653571" w:rsidRPr="008C5F1C" w14:paraId="46FE9653" w14:textId="77777777" w:rsidTr="00534127">
        <w:tc>
          <w:tcPr>
            <w:tcW w:w="3085" w:type="dxa"/>
            <w:vMerge w:val="restart"/>
            <w:tcBorders>
              <w:tl2br w:val="single" w:sz="4" w:space="0" w:color="auto"/>
            </w:tcBorders>
          </w:tcPr>
          <w:p w14:paraId="0D503CDF" w14:textId="77777777" w:rsidR="00653571" w:rsidRPr="008C5F1C" w:rsidRDefault="00653571" w:rsidP="00534127">
            <w:pPr>
              <w:spacing w:before="120" w:after="120"/>
              <w:rPr>
                <w:rFonts w:ascii="Times New Roman" w:hAnsi="Times New Roman" w:cs="Times New Roman"/>
                <w:noProof/>
                <w:sz w:val="24"/>
                <w:szCs w:val="24"/>
              </w:rPr>
            </w:pPr>
          </w:p>
        </w:tc>
        <w:tc>
          <w:tcPr>
            <w:tcW w:w="6203" w:type="dxa"/>
            <w:gridSpan w:val="3"/>
          </w:tcPr>
          <w:p w14:paraId="5A3BE64A" w14:textId="77777777" w:rsidR="00653571" w:rsidRPr="008C5F1C" w:rsidRDefault="00653571" w:rsidP="00534127">
            <w:pPr>
              <w:spacing w:before="120" w:after="120"/>
              <w:jc w:val="center"/>
              <w:rPr>
                <w:rFonts w:ascii="Times New Roman" w:hAnsi="Times New Roman" w:cs="Times New Roman"/>
                <w:noProof/>
                <w:sz w:val="24"/>
                <w:szCs w:val="24"/>
              </w:rPr>
            </w:pPr>
            <w:r w:rsidRPr="008C5F1C">
              <w:rPr>
                <w:rFonts w:ascii="Times New Roman" w:hAnsi="Times New Roman" w:cs="Times New Roman"/>
                <w:b/>
                <w:noProof/>
                <w:sz w:val="18"/>
                <w:szCs w:val="18"/>
              </w:rPr>
              <w:t>Initial JTF allocation to the programme* per category of region</w:t>
            </w:r>
          </w:p>
        </w:tc>
      </w:tr>
      <w:tr w:rsidR="00653571" w:rsidRPr="008C5F1C" w14:paraId="2C9975CE" w14:textId="77777777" w:rsidTr="00534127">
        <w:trPr>
          <w:trHeight w:val="1042"/>
        </w:trPr>
        <w:tc>
          <w:tcPr>
            <w:tcW w:w="3085" w:type="dxa"/>
            <w:vMerge/>
            <w:tcBorders>
              <w:tl2br w:val="single" w:sz="4" w:space="0" w:color="auto"/>
            </w:tcBorders>
          </w:tcPr>
          <w:p w14:paraId="2FD9C824" w14:textId="77777777" w:rsidR="00653571" w:rsidRPr="008C5F1C" w:rsidRDefault="00653571" w:rsidP="00534127">
            <w:pPr>
              <w:spacing w:before="120" w:after="120"/>
              <w:rPr>
                <w:rFonts w:ascii="Times New Roman" w:hAnsi="Times New Roman" w:cs="Times New Roman"/>
                <w:noProof/>
                <w:sz w:val="24"/>
                <w:szCs w:val="24"/>
              </w:rPr>
            </w:pPr>
          </w:p>
        </w:tc>
        <w:tc>
          <w:tcPr>
            <w:tcW w:w="1985" w:type="dxa"/>
            <w:vAlign w:val="center"/>
          </w:tcPr>
          <w:p w14:paraId="50DFECB0" w14:textId="77777777" w:rsidR="00653571" w:rsidRPr="008C5F1C" w:rsidRDefault="00653571" w:rsidP="00534127">
            <w:pPr>
              <w:spacing w:before="120" w:after="120"/>
              <w:jc w:val="center"/>
              <w:rPr>
                <w:rFonts w:ascii="Times New Roman" w:hAnsi="Times New Roman" w:cs="Times New Roman"/>
                <w:b/>
                <w:noProof/>
                <w:sz w:val="20"/>
                <w:szCs w:val="20"/>
              </w:rPr>
            </w:pPr>
            <w:r w:rsidRPr="008C5F1C">
              <w:rPr>
                <w:rFonts w:ascii="Times New Roman" w:hAnsi="Times New Roman" w:cs="Times New Roman"/>
                <w:b/>
                <w:noProof/>
                <w:sz w:val="20"/>
                <w:szCs w:val="20"/>
              </w:rPr>
              <w:t>More developed</w:t>
            </w:r>
          </w:p>
        </w:tc>
        <w:tc>
          <w:tcPr>
            <w:tcW w:w="1896" w:type="dxa"/>
            <w:vAlign w:val="center"/>
          </w:tcPr>
          <w:p w14:paraId="3987ED16" w14:textId="77777777" w:rsidR="00653571" w:rsidRPr="008C5F1C" w:rsidRDefault="00653571" w:rsidP="00534127">
            <w:pPr>
              <w:spacing w:before="120" w:after="120"/>
              <w:jc w:val="center"/>
              <w:rPr>
                <w:rFonts w:ascii="Times New Roman" w:hAnsi="Times New Roman" w:cs="Times New Roman"/>
                <w:noProof/>
                <w:sz w:val="20"/>
                <w:szCs w:val="20"/>
              </w:rPr>
            </w:pPr>
            <w:r w:rsidRPr="008C5F1C">
              <w:rPr>
                <w:rFonts w:ascii="Times New Roman" w:hAnsi="Times New Roman" w:cs="Times New Roman"/>
                <w:b/>
                <w:noProof/>
                <w:sz w:val="20"/>
                <w:szCs w:val="20"/>
              </w:rPr>
              <w:t>Transition</w:t>
            </w:r>
          </w:p>
        </w:tc>
        <w:tc>
          <w:tcPr>
            <w:tcW w:w="2322" w:type="dxa"/>
            <w:vAlign w:val="center"/>
          </w:tcPr>
          <w:p w14:paraId="2E9F33F8" w14:textId="77777777" w:rsidR="00653571" w:rsidRPr="008C5F1C" w:rsidRDefault="00653571" w:rsidP="00534127">
            <w:pPr>
              <w:jc w:val="center"/>
              <w:rPr>
                <w:rFonts w:ascii="Times New Roman" w:hAnsi="Times New Roman" w:cs="Times New Roman"/>
                <w:b/>
                <w:noProof/>
                <w:sz w:val="20"/>
                <w:szCs w:val="20"/>
              </w:rPr>
            </w:pPr>
            <w:r w:rsidRPr="008C5F1C">
              <w:rPr>
                <w:rFonts w:ascii="Times New Roman" w:eastAsia="Times New Roman" w:hAnsi="Times New Roman" w:cs="Times New Roman"/>
                <w:b/>
                <w:noProof/>
                <w:sz w:val="20"/>
                <w:szCs w:val="20"/>
              </w:rPr>
              <w:t>Less developed</w:t>
            </w:r>
          </w:p>
        </w:tc>
      </w:tr>
      <w:tr w:rsidR="00653571" w:rsidRPr="008C5F1C" w14:paraId="465564A6" w14:textId="77777777" w:rsidTr="00534127">
        <w:tc>
          <w:tcPr>
            <w:tcW w:w="3085" w:type="dxa"/>
          </w:tcPr>
          <w:p w14:paraId="164928F8" w14:textId="77777777" w:rsidR="00653571" w:rsidRPr="008C5F1C" w:rsidRDefault="00653571" w:rsidP="00534127">
            <w:pPr>
              <w:spacing w:before="120" w:after="120"/>
              <w:rPr>
                <w:rFonts w:ascii="Times New Roman" w:hAnsi="Times New Roman" w:cs="Times New Roman"/>
                <w:noProof/>
                <w:sz w:val="24"/>
                <w:szCs w:val="24"/>
              </w:rPr>
            </w:pPr>
            <w:r w:rsidRPr="008C5F1C">
              <w:rPr>
                <w:rFonts w:ascii="Times New Roman" w:eastAsia="Times New Roman" w:hAnsi="Times New Roman" w:cs="Times New Roman"/>
                <w:b/>
                <w:noProof/>
                <w:sz w:val="16"/>
                <w:szCs w:val="16"/>
              </w:rPr>
              <w:t>Initial JTF allocation in the programme*</w:t>
            </w:r>
          </w:p>
        </w:tc>
        <w:tc>
          <w:tcPr>
            <w:tcW w:w="1985" w:type="dxa"/>
          </w:tcPr>
          <w:p w14:paraId="0FB5705D" w14:textId="77777777" w:rsidR="00653571" w:rsidRPr="008C5F1C" w:rsidRDefault="00653571" w:rsidP="00534127">
            <w:pPr>
              <w:spacing w:before="120" w:after="120"/>
              <w:rPr>
                <w:rFonts w:ascii="Times New Roman" w:hAnsi="Times New Roman" w:cs="Times New Roman"/>
                <w:noProof/>
                <w:sz w:val="24"/>
                <w:szCs w:val="24"/>
              </w:rPr>
            </w:pPr>
          </w:p>
        </w:tc>
        <w:tc>
          <w:tcPr>
            <w:tcW w:w="1896" w:type="dxa"/>
          </w:tcPr>
          <w:p w14:paraId="3EA45117" w14:textId="77777777" w:rsidR="00653571" w:rsidRPr="008C5F1C" w:rsidRDefault="00653571" w:rsidP="00534127">
            <w:pPr>
              <w:spacing w:before="120" w:after="120"/>
              <w:rPr>
                <w:rFonts w:ascii="Times New Roman" w:hAnsi="Times New Roman" w:cs="Times New Roman"/>
                <w:noProof/>
                <w:sz w:val="24"/>
                <w:szCs w:val="24"/>
              </w:rPr>
            </w:pPr>
          </w:p>
        </w:tc>
        <w:tc>
          <w:tcPr>
            <w:tcW w:w="2322" w:type="dxa"/>
          </w:tcPr>
          <w:p w14:paraId="40C7A6C3" w14:textId="77777777" w:rsidR="00653571" w:rsidRPr="008C5F1C" w:rsidRDefault="00653571" w:rsidP="00534127">
            <w:pPr>
              <w:spacing w:before="120" w:after="120"/>
              <w:rPr>
                <w:rFonts w:ascii="Times New Roman" w:hAnsi="Times New Roman" w:cs="Times New Roman"/>
                <w:noProof/>
                <w:sz w:val="24"/>
                <w:szCs w:val="24"/>
              </w:rPr>
            </w:pPr>
          </w:p>
        </w:tc>
      </w:tr>
    </w:tbl>
    <w:p w14:paraId="55031E07" w14:textId="77777777" w:rsidR="00653571" w:rsidRPr="008C5F1C" w:rsidRDefault="00653571" w:rsidP="00653571">
      <w:pPr>
        <w:spacing w:before="120" w:after="120" w:line="240" w:lineRule="auto"/>
        <w:rPr>
          <w:rFonts w:ascii="Times New Roman" w:hAnsi="Times New Roman" w:cs="Times New Roman"/>
          <w:noProof/>
          <w:sz w:val="20"/>
          <w:szCs w:val="16"/>
        </w:rPr>
      </w:pPr>
      <w:r w:rsidRPr="008C5F1C">
        <w:rPr>
          <w:rFonts w:ascii="Times New Roman" w:hAnsi="Times New Roman" w:cs="Times New Roman"/>
          <w:noProof/>
          <w:sz w:val="16"/>
          <w:szCs w:val="16"/>
        </w:rPr>
        <w:t>* Programme with the JTF allocation.</w:t>
      </w:r>
    </w:p>
    <w:p w14:paraId="73A3D7B1" w14:textId="77777777" w:rsidR="00653571" w:rsidRPr="008C5F1C" w:rsidRDefault="00653571" w:rsidP="00653571">
      <w:pPr>
        <w:spacing w:before="120" w:after="120" w:line="240" w:lineRule="auto"/>
        <w:rPr>
          <w:rFonts w:ascii="Times New Roman" w:hAnsi="Times New Roman" w:cs="Times New Roman"/>
          <w:noProof/>
          <w:sz w:val="16"/>
          <w:szCs w:val="20"/>
        </w:rPr>
      </w:pPr>
      <w:r w:rsidRPr="008C5F1C">
        <w:rPr>
          <w:rFonts w:ascii="Times New Roman" w:hAnsi="Times New Roman" w:cs="Times New Roman"/>
          <w:noProof/>
          <w:sz w:val="16"/>
          <w:szCs w:val="20"/>
          <w:vertAlign w:val="superscript"/>
        </w:rPr>
        <w:t>1</w:t>
      </w:r>
      <w:r w:rsidRPr="008C5F1C">
        <w:rPr>
          <w:rFonts w:ascii="Times New Roman" w:hAnsi="Times New Roman" w:cs="Times New Roman"/>
          <w:noProof/>
          <w:sz w:val="16"/>
          <w:szCs w:val="20"/>
        </w:rPr>
        <w:t xml:space="preserve"> When JTF is the ‘fund concerned’ (basic data on the programme, p.1 of programme template).”</w:t>
      </w:r>
    </w:p>
    <w:p w14:paraId="6F96A9BE" w14:textId="77777777" w:rsidR="00653571" w:rsidRPr="008C5F1C" w:rsidRDefault="00653571" w:rsidP="00653571">
      <w:pPr>
        <w:spacing w:before="120" w:after="120" w:line="240" w:lineRule="auto"/>
        <w:rPr>
          <w:rFonts w:ascii="Times New Roman" w:hAnsi="Times New Roman" w:cs="Times New Roman"/>
          <w:noProof/>
          <w:sz w:val="16"/>
          <w:szCs w:val="16"/>
        </w:rPr>
      </w:pPr>
    </w:p>
    <w:p w14:paraId="01FAD563" w14:textId="77777777" w:rsidR="00653571" w:rsidRPr="008C5F1C" w:rsidRDefault="00653571" w:rsidP="00653571">
      <w:pPr>
        <w:rPr>
          <w:rFonts w:ascii="Times New Roman" w:hAnsi="Times New Roman" w:cs="Times New Roman"/>
          <w:noProof/>
          <w:sz w:val="24"/>
          <w:szCs w:val="24"/>
        </w:rPr>
      </w:pPr>
      <w:r w:rsidRPr="008C5F1C">
        <w:rPr>
          <w:rFonts w:ascii="Times New Roman" w:hAnsi="Times New Roman" w:cs="Times New Roman"/>
          <w:noProof/>
          <w:sz w:val="24"/>
          <w:szCs w:val="24"/>
        </w:rPr>
        <w:t>(5)</w:t>
      </w:r>
      <w:r w:rsidRPr="008C5F1C">
        <w:rPr>
          <w:rFonts w:ascii="Times New Roman" w:hAnsi="Times New Roman" w:cs="Times New Roman"/>
          <w:noProof/>
          <w:sz w:val="24"/>
          <w:szCs w:val="24"/>
        </w:rPr>
        <w:tab/>
        <w:t>U</w:t>
      </w:r>
      <w:r w:rsidRPr="008C5F1C">
        <w:rPr>
          <w:rFonts w:ascii="Times New Roman" w:hAnsi="Times New Roman" w:cs="Times New Roman"/>
          <w:noProof/>
          <w:sz w:val="24"/>
        </w:rPr>
        <w:t>nder point 3.A, a</w:t>
      </w:r>
      <w:r w:rsidRPr="008C5F1C">
        <w:rPr>
          <w:rFonts w:ascii="Times New Roman" w:hAnsi="Times New Roman" w:cs="Times New Roman"/>
          <w:noProof/>
          <w:sz w:val="24"/>
          <w:szCs w:val="24"/>
        </w:rPr>
        <w:t xml:space="preserve"> new ticking box is inserted, after Table 18:</w:t>
      </w:r>
    </w:p>
    <w:p w14:paraId="0ED8F815" w14:textId="77777777" w:rsidR="00653571" w:rsidRPr="008C5F1C" w:rsidRDefault="00653571" w:rsidP="00653571">
      <w:pPr>
        <w:spacing w:before="120" w:after="120" w:line="240" w:lineRule="auto"/>
        <w:ind w:left="720"/>
        <w:jc w:val="both"/>
        <w:rPr>
          <w:rFonts w:ascii="Times New Roman" w:eastAsia="Calibri" w:hAnsi="Times New Roman" w:cs="Times New Roman"/>
          <w:b/>
          <w:noProof/>
          <w:sz w:val="24"/>
          <w:szCs w:val="24"/>
          <w:lang w:eastAsia="en-GB"/>
        </w:rPr>
      </w:pPr>
      <w:r w:rsidRPr="008C5F1C">
        <w:rPr>
          <w:rFonts w:ascii="Times New Roman" w:eastAsia="Calibri" w:hAnsi="Times New Roman" w:cs="Times New Roman"/>
          <w:b/>
          <w:noProof/>
          <w:sz w:val="24"/>
          <w:szCs w:val="24"/>
          <w:lang w:eastAsia="en-GB"/>
        </w:rPr>
        <w:t>“Obligatory transfer of ERDF and ESF+ resources as complementary support to the Just Transition Fund</w:t>
      </w:r>
      <w:r w:rsidRPr="008C5F1C">
        <w:rPr>
          <w:rFonts w:ascii="Times New Roman" w:eastAsia="Calibri" w:hAnsi="Times New Roman" w:cs="Times New Roman"/>
          <w:b/>
          <w:noProof/>
          <w:sz w:val="24"/>
          <w:szCs w:val="24"/>
          <w:vertAlign w:val="superscript"/>
          <w:lang w:eastAsia="en-GB"/>
        </w:rPr>
        <w:t>2</w:t>
      </w:r>
    </w:p>
    <w:tbl>
      <w:tblPr>
        <w:tblStyle w:val="TableGrid1"/>
        <w:tblW w:w="0" w:type="auto"/>
        <w:tblInd w:w="720" w:type="dxa"/>
        <w:tblLook w:val="04A0" w:firstRow="1" w:lastRow="0" w:firstColumn="1" w:lastColumn="0" w:noHBand="0" w:noVBand="1"/>
      </w:tblPr>
      <w:tblGrid>
        <w:gridCol w:w="1656"/>
        <w:gridCol w:w="6912"/>
      </w:tblGrid>
      <w:tr w:rsidR="00653571" w:rsidRPr="008C5F1C" w14:paraId="7A689501" w14:textId="77777777" w:rsidTr="00534127">
        <w:tc>
          <w:tcPr>
            <w:tcW w:w="1656" w:type="dxa"/>
            <w:vMerge w:val="restart"/>
          </w:tcPr>
          <w:p w14:paraId="34B1EB30" w14:textId="77777777" w:rsidR="00653571" w:rsidRPr="008C5F1C" w:rsidRDefault="00653571" w:rsidP="00534127">
            <w:pPr>
              <w:contextualSpacing/>
              <w:rPr>
                <w:rFonts w:ascii="Times New Roman" w:hAnsi="Times New Roman" w:cs="Times New Roman"/>
                <w:b/>
                <w:noProof/>
                <w:sz w:val="24"/>
                <w:szCs w:val="24"/>
              </w:rPr>
            </w:pPr>
            <w:r w:rsidRPr="008C5F1C">
              <w:rPr>
                <w:rFonts w:ascii="Times New Roman" w:hAnsi="Times New Roman" w:cs="Times New Roman"/>
                <w:b/>
                <w:noProof/>
                <w:sz w:val="20"/>
              </w:rPr>
              <w:t>Transfer to JTF</w:t>
            </w:r>
          </w:p>
        </w:tc>
        <w:tc>
          <w:tcPr>
            <w:tcW w:w="6912" w:type="dxa"/>
          </w:tcPr>
          <w:p w14:paraId="28986BB4" w14:textId="77777777" w:rsidR="00653571" w:rsidRPr="008C5F1C" w:rsidRDefault="00653571" w:rsidP="00534127">
            <w:pPr>
              <w:contextualSpacing/>
              <w:rPr>
                <w:rFonts w:ascii="Times New Roman" w:hAnsi="Times New Roman" w:cs="Times New Roman"/>
                <w:b/>
                <w:noProof/>
                <w:sz w:val="24"/>
                <w:szCs w:val="24"/>
              </w:rPr>
            </w:pPr>
            <w:r w:rsidRPr="008C5F1C">
              <w:rPr>
                <w:rFonts w:ascii="Times New Roman" w:hAnsi="Times New Roman" w:cs="Times New Roman"/>
                <w:noProof/>
                <w:sz w:val="20"/>
              </w:rPr>
              <w:fldChar w:fldCharType="begin">
                <w:ffData>
                  <w:name w:val="Check1"/>
                  <w:enabled/>
                  <w:calcOnExit w:val="0"/>
                  <w:checkBox>
                    <w:sizeAuto/>
                    <w:default w:val="0"/>
                  </w:checkBox>
                </w:ffData>
              </w:fldChar>
            </w:r>
            <w:r w:rsidRPr="008C5F1C">
              <w:rPr>
                <w:rFonts w:ascii="Times New Roman" w:hAnsi="Times New Roman" w:cs="Times New Roman"/>
                <w:noProof/>
                <w:sz w:val="20"/>
              </w:rPr>
              <w:instrText xml:space="preserve"> FORMCHECKBOX </w:instrText>
            </w:r>
            <w:r w:rsidR="00AD12F7">
              <w:rPr>
                <w:rFonts w:ascii="Times New Roman" w:hAnsi="Times New Roman" w:cs="Times New Roman"/>
                <w:noProof/>
                <w:sz w:val="20"/>
              </w:rPr>
            </w:r>
            <w:r w:rsidR="00AD12F7">
              <w:rPr>
                <w:rFonts w:ascii="Times New Roman" w:hAnsi="Times New Roman" w:cs="Times New Roman"/>
                <w:noProof/>
                <w:sz w:val="20"/>
              </w:rPr>
              <w:fldChar w:fldCharType="separate"/>
            </w:r>
            <w:r w:rsidRPr="008C5F1C">
              <w:rPr>
                <w:rFonts w:ascii="Times New Roman" w:hAnsi="Times New Roman" w:cs="Times New Roman"/>
                <w:noProof/>
                <w:sz w:val="20"/>
              </w:rPr>
              <w:fldChar w:fldCharType="end"/>
            </w:r>
            <w:r w:rsidRPr="008C5F1C">
              <w:rPr>
                <w:rFonts w:ascii="Times New Roman" w:hAnsi="Times New Roman" w:cs="Times New Roman"/>
                <w:noProof/>
                <w:sz w:val="20"/>
              </w:rPr>
              <w:t xml:space="preserve"> concerns internal transfers within the programme with JTF allocation (Table 18A)</w:t>
            </w:r>
          </w:p>
        </w:tc>
      </w:tr>
      <w:tr w:rsidR="00653571" w:rsidRPr="008C5F1C" w14:paraId="29D59FAD" w14:textId="77777777" w:rsidTr="00534127">
        <w:tc>
          <w:tcPr>
            <w:tcW w:w="1656" w:type="dxa"/>
            <w:vMerge/>
          </w:tcPr>
          <w:p w14:paraId="1929458C" w14:textId="77777777" w:rsidR="00653571" w:rsidRPr="008C5F1C" w:rsidRDefault="00653571" w:rsidP="00534127">
            <w:pPr>
              <w:contextualSpacing/>
              <w:rPr>
                <w:rFonts w:ascii="Times New Roman" w:hAnsi="Times New Roman" w:cs="Times New Roman"/>
                <w:b/>
                <w:noProof/>
                <w:sz w:val="24"/>
                <w:szCs w:val="24"/>
              </w:rPr>
            </w:pPr>
          </w:p>
        </w:tc>
        <w:tc>
          <w:tcPr>
            <w:tcW w:w="6912" w:type="dxa"/>
          </w:tcPr>
          <w:p w14:paraId="5F5DBAD6" w14:textId="77777777" w:rsidR="00653571" w:rsidRPr="008C5F1C" w:rsidRDefault="00653571" w:rsidP="00534127">
            <w:pPr>
              <w:contextualSpacing/>
              <w:rPr>
                <w:rFonts w:ascii="Times New Roman" w:hAnsi="Times New Roman" w:cs="Times New Roman"/>
                <w:b/>
                <w:noProof/>
                <w:sz w:val="24"/>
                <w:szCs w:val="24"/>
              </w:rPr>
            </w:pPr>
            <w:r w:rsidRPr="008C5F1C">
              <w:rPr>
                <w:rFonts w:ascii="Times New Roman" w:hAnsi="Times New Roman" w:cs="Times New Roman"/>
                <w:noProof/>
                <w:sz w:val="20"/>
              </w:rPr>
              <w:fldChar w:fldCharType="begin">
                <w:ffData>
                  <w:name w:val="Check1"/>
                  <w:enabled/>
                  <w:calcOnExit w:val="0"/>
                  <w:checkBox>
                    <w:sizeAuto/>
                    <w:default w:val="0"/>
                  </w:checkBox>
                </w:ffData>
              </w:fldChar>
            </w:r>
            <w:r w:rsidRPr="008C5F1C">
              <w:rPr>
                <w:rFonts w:ascii="Times New Roman" w:hAnsi="Times New Roman" w:cs="Times New Roman"/>
                <w:noProof/>
                <w:sz w:val="20"/>
              </w:rPr>
              <w:instrText xml:space="preserve"> FORMCHECKBOX </w:instrText>
            </w:r>
            <w:r w:rsidR="00AD12F7">
              <w:rPr>
                <w:rFonts w:ascii="Times New Roman" w:hAnsi="Times New Roman" w:cs="Times New Roman"/>
                <w:noProof/>
                <w:sz w:val="20"/>
              </w:rPr>
            </w:r>
            <w:r w:rsidR="00AD12F7">
              <w:rPr>
                <w:rFonts w:ascii="Times New Roman" w:hAnsi="Times New Roman" w:cs="Times New Roman"/>
                <w:noProof/>
                <w:sz w:val="20"/>
              </w:rPr>
              <w:fldChar w:fldCharType="separate"/>
            </w:r>
            <w:r w:rsidRPr="008C5F1C">
              <w:rPr>
                <w:rFonts w:ascii="Times New Roman" w:hAnsi="Times New Roman" w:cs="Times New Roman"/>
                <w:noProof/>
                <w:sz w:val="20"/>
              </w:rPr>
              <w:fldChar w:fldCharType="end"/>
            </w:r>
            <w:r w:rsidRPr="008C5F1C">
              <w:rPr>
                <w:rFonts w:ascii="Times New Roman" w:hAnsi="Times New Roman" w:cs="Times New Roman"/>
                <w:noProof/>
                <w:sz w:val="20"/>
              </w:rPr>
              <w:t xml:space="preserve"> concerns transfers from other programmes to the programme with JTF allocation  (Table 18B)</w:t>
            </w:r>
          </w:p>
        </w:tc>
      </w:tr>
      <w:tr w:rsidR="00653571" w:rsidRPr="008C5F1C" w14:paraId="4BE6A3C5" w14:textId="77777777" w:rsidTr="00534127">
        <w:tc>
          <w:tcPr>
            <w:tcW w:w="1656" w:type="dxa"/>
          </w:tcPr>
          <w:p w14:paraId="035B73F6" w14:textId="77777777" w:rsidR="00653571" w:rsidRPr="008C5F1C" w:rsidRDefault="00653571" w:rsidP="00534127">
            <w:pPr>
              <w:contextualSpacing/>
              <w:rPr>
                <w:rFonts w:ascii="Times New Roman" w:hAnsi="Times New Roman" w:cs="Times New Roman"/>
                <w:b/>
                <w:noProof/>
                <w:sz w:val="24"/>
                <w:szCs w:val="24"/>
              </w:rPr>
            </w:pPr>
          </w:p>
        </w:tc>
        <w:tc>
          <w:tcPr>
            <w:tcW w:w="6912" w:type="dxa"/>
          </w:tcPr>
          <w:p w14:paraId="667C5C1D" w14:textId="77777777" w:rsidR="00653571" w:rsidRPr="008C5F1C" w:rsidRDefault="00653571" w:rsidP="00534127">
            <w:pPr>
              <w:rPr>
                <w:rFonts w:ascii="Times New Roman" w:hAnsi="Times New Roman" w:cs="Times New Roman"/>
                <w:noProof/>
                <w:sz w:val="20"/>
              </w:rPr>
            </w:pPr>
            <w:r w:rsidRPr="008C5F1C">
              <w:rPr>
                <w:rFonts w:ascii="Times New Roman" w:hAnsi="Times New Roman" w:cs="Times New Roman"/>
                <w:noProof/>
                <w:sz w:val="20"/>
              </w:rPr>
              <w:fldChar w:fldCharType="begin">
                <w:ffData>
                  <w:name w:val="Check1"/>
                  <w:enabled/>
                  <w:calcOnExit w:val="0"/>
                  <w:checkBox>
                    <w:sizeAuto/>
                    <w:default w:val="0"/>
                  </w:checkBox>
                </w:ffData>
              </w:fldChar>
            </w:r>
            <w:r w:rsidRPr="008C5F1C">
              <w:rPr>
                <w:rFonts w:ascii="Times New Roman" w:hAnsi="Times New Roman" w:cs="Times New Roman"/>
                <w:noProof/>
                <w:sz w:val="20"/>
              </w:rPr>
              <w:instrText xml:space="preserve"> FORMCHECKBOX </w:instrText>
            </w:r>
            <w:r w:rsidR="00AD12F7">
              <w:rPr>
                <w:rFonts w:ascii="Times New Roman" w:hAnsi="Times New Roman" w:cs="Times New Roman"/>
                <w:noProof/>
                <w:sz w:val="20"/>
              </w:rPr>
            </w:r>
            <w:r w:rsidR="00AD12F7">
              <w:rPr>
                <w:rFonts w:ascii="Times New Roman" w:hAnsi="Times New Roman" w:cs="Times New Roman"/>
                <w:noProof/>
                <w:sz w:val="20"/>
              </w:rPr>
              <w:fldChar w:fldCharType="separate"/>
            </w:r>
            <w:r w:rsidRPr="008C5F1C">
              <w:rPr>
                <w:rFonts w:ascii="Times New Roman" w:hAnsi="Times New Roman" w:cs="Times New Roman"/>
                <w:noProof/>
                <w:sz w:val="20"/>
              </w:rPr>
              <w:fldChar w:fldCharType="end"/>
            </w:r>
            <w:r w:rsidRPr="008C5F1C">
              <w:rPr>
                <w:rFonts w:ascii="Times New Roman" w:hAnsi="Times New Roman" w:cs="Times New Roman"/>
                <w:noProof/>
                <w:sz w:val="20"/>
              </w:rPr>
              <w:t xml:space="preserve"> N/A (ie no support from JTF to the programme)</w:t>
            </w:r>
          </w:p>
        </w:tc>
      </w:tr>
    </w:tbl>
    <w:p w14:paraId="6A25913C" w14:textId="77777777" w:rsidR="00653571" w:rsidRPr="008C5F1C" w:rsidRDefault="00653571" w:rsidP="00653571">
      <w:pPr>
        <w:spacing w:before="120" w:after="0" w:line="240" w:lineRule="auto"/>
        <w:rPr>
          <w:rFonts w:ascii="Times New Roman" w:hAnsi="Times New Roman" w:cs="Times New Roman"/>
          <w:noProof/>
          <w:sz w:val="18"/>
          <w:szCs w:val="24"/>
        </w:rPr>
      </w:pPr>
      <w:r w:rsidRPr="008C5F1C">
        <w:rPr>
          <w:rFonts w:ascii="Times New Roman" w:hAnsi="Times New Roman" w:cs="Times New Roman"/>
          <w:noProof/>
          <w:sz w:val="18"/>
          <w:vertAlign w:val="superscript"/>
        </w:rPr>
        <w:t>2</w:t>
      </w:r>
      <w:r w:rsidRPr="008C5F1C">
        <w:rPr>
          <w:rFonts w:ascii="Times New Roman" w:hAnsi="Times New Roman" w:cs="Times New Roman"/>
          <w:noProof/>
          <w:sz w:val="18"/>
        </w:rPr>
        <w:t xml:space="preserve"> In case a programme supported by the JTF receives complementary support (cf Article 21a) within the programme and from other programmes both Tables 18A and 18B need to be filled in.</w:t>
      </w:r>
      <w:r w:rsidRPr="008C5F1C">
        <w:rPr>
          <w:rFonts w:ascii="Times New Roman" w:eastAsia="Times New Roman" w:hAnsi="Times New Roman" w:cs="Times New Roman"/>
          <w:noProof/>
          <w:sz w:val="24"/>
          <w:szCs w:val="16"/>
          <w:lang w:eastAsia="en-GB"/>
        </w:rPr>
        <w:t>”</w:t>
      </w:r>
    </w:p>
    <w:p w14:paraId="3E418E61" w14:textId="77777777" w:rsidR="00653571" w:rsidRPr="008C5F1C" w:rsidRDefault="00653571" w:rsidP="00653571">
      <w:pPr>
        <w:spacing w:before="120" w:after="120" w:line="240" w:lineRule="auto"/>
        <w:rPr>
          <w:rFonts w:ascii="Times New Roman" w:hAnsi="Times New Roman" w:cs="Times New Roman"/>
          <w:noProof/>
          <w:sz w:val="24"/>
          <w:szCs w:val="24"/>
        </w:rPr>
      </w:pPr>
    </w:p>
    <w:p w14:paraId="73FFE212" w14:textId="77777777" w:rsidR="00653571" w:rsidRPr="008C5F1C" w:rsidRDefault="00653571" w:rsidP="00653571">
      <w:pPr>
        <w:rPr>
          <w:rFonts w:ascii="Times New Roman" w:hAnsi="Times New Roman" w:cs="Times New Roman"/>
          <w:noProof/>
          <w:sz w:val="24"/>
          <w:szCs w:val="24"/>
        </w:rPr>
      </w:pPr>
      <w:r w:rsidRPr="008C5F1C">
        <w:rPr>
          <w:rFonts w:ascii="Times New Roman" w:hAnsi="Times New Roman" w:cs="Times New Roman"/>
          <w:noProof/>
          <w:sz w:val="24"/>
          <w:szCs w:val="24"/>
        </w:rPr>
        <w:br w:type="page"/>
      </w:r>
    </w:p>
    <w:p w14:paraId="3A90CDA4" w14:textId="77777777" w:rsidR="00653571" w:rsidRPr="008C5F1C" w:rsidRDefault="00653571" w:rsidP="00653571">
      <w:pPr>
        <w:rPr>
          <w:rFonts w:ascii="Times New Roman" w:hAnsi="Times New Roman" w:cs="Times New Roman"/>
          <w:noProof/>
          <w:szCs w:val="24"/>
        </w:rPr>
      </w:pPr>
      <w:r w:rsidRPr="008C5F1C">
        <w:rPr>
          <w:rFonts w:ascii="Times New Roman" w:hAnsi="Times New Roman" w:cs="Times New Roman"/>
          <w:b/>
          <w:noProof/>
          <w:sz w:val="24"/>
          <w:szCs w:val="24"/>
        </w:rPr>
        <w:lastRenderedPageBreak/>
        <w:t xml:space="preserve"> Table 18A: Transfer of ERDF and ESF+ resources to the Just Transition Fund (JTF) within the programme</w:t>
      </w:r>
    </w:p>
    <w:p w14:paraId="602DE537" w14:textId="77777777" w:rsidR="00653571" w:rsidRPr="008C5F1C" w:rsidRDefault="00653571" w:rsidP="00653571">
      <w:pPr>
        <w:spacing w:before="120" w:after="120" w:line="240" w:lineRule="auto"/>
        <w:rPr>
          <w:rFonts w:ascii="Times New Roman" w:hAnsi="Times New Roman" w:cs="Times New Roman"/>
          <w:noProof/>
          <w:sz w:val="24"/>
          <w:szCs w:val="24"/>
        </w:rPr>
      </w:pPr>
    </w:p>
    <w:tbl>
      <w:tblPr>
        <w:tblStyle w:val="TableGrid1"/>
        <w:tblW w:w="0" w:type="auto"/>
        <w:tblLook w:val="04A0" w:firstRow="1" w:lastRow="0" w:firstColumn="1" w:lastColumn="0" w:noHBand="0" w:noVBand="1"/>
      </w:tblPr>
      <w:tblGrid>
        <w:gridCol w:w="1845"/>
        <w:gridCol w:w="3962"/>
        <w:gridCol w:w="1694"/>
        <w:gridCol w:w="1695"/>
        <w:gridCol w:w="1660"/>
      </w:tblGrid>
      <w:tr w:rsidR="00653571" w:rsidRPr="008C5F1C" w14:paraId="4C825072" w14:textId="77777777" w:rsidTr="008B3BA1">
        <w:tc>
          <w:tcPr>
            <w:tcW w:w="5807" w:type="dxa"/>
            <w:gridSpan w:val="2"/>
            <w:vMerge w:val="restart"/>
            <w:tcBorders>
              <w:tl2br w:val="single" w:sz="4" w:space="0" w:color="auto"/>
            </w:tcBorders>
          </w:tcPr>
          <w:p w14:paraId="5BBF6A9C" w14:textId="77777777" w:rsidR="00653571" w:rsidRPr="008C5F1C" w:rsidRDefault="00653571" w:rsidP="00534127">
            <w:pPr>
              <w:spacing w:before="120" w:after="120"/>
              <w:rPr>
                <w:rFonts w:ascii="Times New Roman" w:hAnsi="Times New Roman" w:cs="Times New Roman"/>
                <w:noProof/>
                <w:sz w:val="20"/>
                <w:szCs w:val="20"/>
              </w:rPr>
            </w:pPr>
          </w:p>
        </w:tc>
        <w:tc>
          <w:tcPr>
            <w:tcW w:w="5049" w:type="dxa"/>
            <w:gridSpan w:val="3"/>
          </w:tcPr>
          <w:p w14:paraId="5969D7A2" w14:textId="77777777" w:rsidR="00653571" w:rsidRPr="008C5F1C" w:rsidRDefault="00653571" w:rsidP="00534127">
            <w:pPr>
              <w:spacing w:before="120" w:after="120"/>
              <w:rPr>
                <w:rFonts w:ascii="Times New Roman" w:hAnsi="Times New Roman" w:cs="Times New Roman"/>
                <w:b/>
                <w:noProof/>
                <w:sz w:val="20"/>
                <w:szCs w:val="20"/>
              </w:rPr>
            </w:pPr>
            <w:r w:rsidRPr="008C5F1C">
              <w:rPr>
                <w:rFonts w:ascii="Times New Roman" w:hAnsi="Times New Roman" w:cs="Times New Roman"/>
                <w:b/>
                <w:noProof/>
                <w:sz w:val="18"/>
                <w:szCs w:val="20"/>
              </w:rPr>
              <w:t>JTF allocation in the programme* per category of region</w:t>
            </w:r>
          </w:p>
        </w:tc>
      </w:tr>
      <w:tr w:rsidR="00653571" w:rsidRPr="008C5F1C" w14:paraId="2FB798F4" w14:textId="77777777" w:rsidTr="008B3BA1">
        <w:tc>
          <w:tcPr>
            <w:tcW w:w="5807" w:type="dxa"/>
            <w:gridSpan w:val="2"/>
            <w:vMerge/>
            <w:tcBorders>
              <w:tl2br w:val="single" w:sz="4" w:space="0" w:color="auto"/>
            </w:tcBorders>
          </w:tcPr>
          <w:p w14:paraId="3E550326" w14:textId="77777777" w:rsidR="00653571" w:rsidRPr="008C5F1C" w:rsidRDefault="00653571" w:rsidP="00534127">
            <w:pPr>
              <w:spacing w:before="120" w:after="120"/>
              <w:rPr>
                <w:rFonts w:ascii="Times New Roman" w:hAnsi="Times New Roman" w:cs="Times New Roman"/>
                <w:noProof/>
                <w:sz w:val="20"/>
                <w:szCs w:val="20"/>
              </w:rPr>
            </w:pPr>
          </w:p>
        </w:tc>
        <w:tc>
          <w:tcPr>
            <w:tcW w:w="1694" w:type="dxa"/>
          </w:tcPr>
          <w:p w14:paraId="5E66AB8F" w14:textId="77777777" w:rsidR="00653571" w:rsidRPr="008C5F1C" w:rsidRDefault="00653571" w:rsidP="00534127">
            <w:pPr>
              <w:spacing w:before="120" w:after="120"/>
              <w:jc w:val="center"/>
              <w:rPr>
                <w:rFonts w:ascii="Times New Roman" w:hAnsi="Times New Roman" w:cs="Times New Roman"/>
                <w:b/>
                <w:noProof/>
                <w:sz w:val="20"/>
                <w:szCs w:val="20"/>
              </w:rPr>
            </w:pPr>
            <w:r w:rsidRPr="008C5F1C">
              <w:rPr>
                <w:rFonts w:ascii="Times New Roman" w:hAnsi="Times New Roman" w:cs="Times New Roman"/>
                <w:b/>
                <w:noProof/>
                <w:sz w:val="20"/>
                <w:szCs w:val="20"/>
              </w:rPr>
              <w:t>More developed</w:t>
            </w:r>
          </w:p>
        </w:tc>
        <w:tc>
          <w:tcPr>
            <w:tcW w:w="1695" w:type="dxa"/>
          </w:tcPr>
          <w:p w14:paraId="23D0763A" w14:textId="77777777" w:rsidR="00653571" w:rsidRPr="008C5F1C" w:rsidRDefault="00653571" w:rsidP="00534127">
            <w:pPr>
              <w:spacing w:before="120" w:after="120"/>
              <w:jc w:val="center"/>
              <w:rPr>
                <w:rFonts w:ascii="Times New Roman" w:hAnsi="Times New Roman" w:cs="Times New Roman"/>
                <w:b/>
                <w:noProof/>
                <w:sz w:val="20"/>
                <w:szCs w:val="20"/>
              </w:rPr>
            </w:pPr>
            <w:r w:rsidRPr="008C5F1C">
              <w:rPr>
                <w:rFonts w:ascii="Times New Roman" w:hAnsi="Times New Roman" w:cs="Times New Roman"/>
                <w:b/>
                <w:noProof/>
                <w:sz w:val="20"/>
                <w:szCs w:val="20"/>
              </w:rPr>
              <w:t>Transition</w:t>
            </w:r>
          </w:p>
        </w:tc>
        <w:tc>
          <w:tcPr>
            <w:tcW w:w="1660" w:type="dxa"/>
          </w:tcPr>
          <w:p w14:paraId="0F544A6B" w14:textId="77777777" w:rsidR="00653571" w:rsidRPr="008C5F1C" w:rsidRDefault="00653571" w:rsidP="00534127">
            <w:pPr>
              <w:spacing w:before="120" w:after="120"/>
              <w:jc w:val="center"/>
              <w:rPr>
                <w:rFonts w:ascii="Times New Roman" w:hAnsi="Times New Roman" w:cs="Times New Roman"/>
                <w:b/>
                <w:noProof/>
                <w:sz w:val="20"/>
                <w:szCs w:val="20"/>
              </w:rPr>
            </w:pPr>
            <w:r w:rsidRPr="008C5F1C">
              <w:rPr>
                <w:rFonts w:ascii="Times New Roman" w:hAnsi="Times New Roman" w:cs="Times New Roman"/>
                <w:b/>
                <w:noProof/>
                <w:sz w:val="20"/>
                <w:szCs w:val="20"/>
              </w:rPr>
              <w:t>Less developed</w:t>
            </w:r>
          </w:p>
        </w:tc>
      </w:tr>
      <w:tr w:rsidR="00653571" w:rsidRPr="008C5F1C" w14:paraId="3F5E1836" w14:textId="77777777" w:rsidTr="008B3BA1">
        <w:tc>
          <w:tcPr>
            <w:tcW w:w="5807" w:type="dxa"/>
            <w:gridSpan w:val="2"/>
          </w:tcPr>
          <w:p w14:paraId="31739751" w14:textId="77777777" w:rsidR="00653571" w:rsidRPr="008C5F1C" w:rsidRDefault="00653571" w:rsidP="00534127">
            <w:pPr>
              <w:spacing w:before="120" w:after="120"/>
              <w:rPr>
                <w:rFonts w:ascii="Times New Roman" w:hAnsi="Times New Roman" w:cs="Times New Roman"/>
                <w:b/>
                <w:noProof/>
                <w:sz w:val="20"/>
                <w:szCs w:val="20"/>
              </w:rPr>
            </w:pPr>
            <w:r w:rsidRPr="008C5F1C">
              <w:rPr>
                <w:rFonts w:ascii="Times New Roman" w:eastAsia="Times New Roman" w:hAnsi="Times New Roman" w:cs="Times New Roman"/>
                <w:b/>
                <w:noProof/>
                <w:sz w:val="18"/>
                <w:szCs w:val="20"/>
              </w:rPr>
              <w:t>Transfer within the programme* (complementary support) per category of region</w:t>
            </w:r>
          </w:p>
        </w:tc>
        <w:tc>
          <w:tcPr>
            <w:tcW w:w="1694" w:type="dxa"/>
            <w:shd w:val="clear" w:color="auto" w:fill="BFBFBF" w:themeFill="background1" w:themeFillShade="BF"/>
          </w:tcPr>
          <w:p w14:paraId="3A80CDA0" w14:textId="77777777" w:rsidR="00653571" w:rsidRPr="008C5F1C" w:rsidRDefault="00653571" w:rsidP="00534127">
            <w:pPr>
              <w:spacing w:before="120" w:after="120"/>
              <w:rPr>
                <w:rFonts w:ascii="Times New Roman" w:hAnsi="Times New Roman" w:cs="Times New Roman"/>
                <w:noProof/>
                <w:sz w:val="20"/>
                <w:szCs w:val="20"/>
              </w:rPr>
            </w:pPr>
          </w:p>
        </w:tc>
        <w:tc>
          <w:tcPr>
            <w:tcW w:w="1695" w:type="dxa"/>
            <w:shd w:val="clear" w:color="auto" w:fill="BFBFBF" w:themeFill="background1" w:themeFillShade="BF"/>
          </w:tcPr>
          <w:p w14:paraId="7A5D4CBC" w14:textId="77777777" w:rsidR="00653571" w:rsidRPr="008C5F1C" w:rsidRDefault="00653571" w:rsidP="00534127">
            <w:pPr>
              <w:spacing w:before="120" w:after="120"/>
              <w:rPr>
                <w:rFonts w:ascii="Times New Roman" w:hAnsi="Times New Roman" w:cs="Times New Roman"/>
                <w:noProof/>
                <w:sz w:val="20"/>
                <w:szCs w:val="20"/>
              </w:rPr>
            </w:pPr>
          </w:p>
        </w:tc>
        <w:tc>
          <w:tcPr>
            <w:tcW w:w="1660" w:type="dxa"/>
            <w:shd w:val="clear" w:color="auto" w:fill="BFBFBF" w:themeFill="background1" w:themeFillShade="BF"/>
          </w:tcPr>
          <w:p w14:paraId="6855D1CA" w14:textId="77777777" w:rsidR="00653571" w:rsidRPr="008C5F1C" w:rsidRDefault="00653571" w:rsidP="00534127">
            <w:pPr>
              <w:spacing w:before="120" w:after="120"/>
              <w:rPr>
                <w:rFonts w:ascii="Times New Roman" w:hAnsi="Times New Roman" w:cs="Times New Roman"/>
                <w:noProof/>
                <w:sz w:val="20"/>
                <w:szCs w:val="20"/>
              </w:rPr>
            </w:pPr>
          </w:p>
        </w:tc>
      </w:tr>
      <w:tr w:rsidR="00653571" w:rsidRPr="008C5F1C" w14:paraId="7885A286" w14:textId="77777777" w:rsidTr="008B3BA1">
        <w:tc>
          <w:tcPr>
            <w:tcW w:w="1845" w:type="dxa"/>
            <w:vMerge w:val="restart"/>
          </w:tcPr>
          <w:p w14:paraId="17D3A3B1" w14:textId="77777777" w:rsidR="00653571" w:rsidRPr="008C5F1C" w:rsidRDefault="00653571" w:rsidP="00534127">
            <w:pPr>
              <w:spacing w:before="120" w:after="120"/>
              <w:rPr>
                <w:rFonts w:ascii="Times New Roman" w:hAnsi="Times New Roman" w:cs="Times New Roman"/>
                <w:b/>
                <w:noProof/>
                <w:sz w:val="20"/>
                <w:szCs w:val="20"/>
              </w:rPr>
            </w:pPr>
            <w:r w:rsidRPr="008C5F1C">
              <w:rPr>
                <w:rFonts w:ascii="Times New Roman" w:hAnsi="Times New Roman" w:cs="Times New Roman"/>
                <w:b/>
                <w:noProof/>
                <w:sz w:val="20"/>
                <w:szCs w:val="20"/>
              </w:rPr>
              <w:t>ERDF</w:t>
            </w:r>
          </w:p>
        </w:tc>
        <w:tc>
          <w:tcPr>
            <w:tcW w:w="3962" w:type="dxa"/>
          </w:tcPr>
          <w:p w14:paraId="2D3B6923" w14:textId="77777777" w:rsidR="00653571" w:rsidRPr="008C5F1C" w:rsidRDefault="00653571" w:rsidP="00534127">
            <w:pPr>
              <w:spacing w:before="120" w:after="120"/>
              <w:rPr>
                <w:rFonts w:ascii="Times New Roman" w:hAnsi="Times New Roman" w:cs="Times New Roman"/>
                <w:noProof/>
                <w:sz w:val="18"/>
                <w:szCs w:val="20"/>
              </w:rPr>
            </w:pPr>
            <w:r w:rsidRPr="008C5F1C">
              <w:rPr>
                <w:rFonts w:ascii="Times New Roman" w:hAnsi="Times New Roman" w:cs="Times New Roman"/>
                <w:noProof/>
                <w:sz w:val="18"/>
                <w:szCs w:val="20"/>
              </w:rPr>
              <w:t>More developed</w:t>
            </w:r>
          </w:p>
        </w:tc>
        <w:tc>
          <w:tcPr>
            <w:tcW w:w="1694" w:type="dxa"/>
          </w:tcPr>
          <w:p w14:paraId="5B3D2128" w14:textId="77777777" w:rsidR="00653571" w:rsidRPr="008C5F1C" w:rsidRDefault="00653571" w:rsidP="00534127">
            <w:pPr>
              <w:spacing w:before="120" w:after="120"/>
              <w:rPr>
                <w:rFonts w:ascii="Times New Roman" w:hAnsi="Times New Roman" w:cs="Times New Roman"/>
                <w:noProof/>
                <w:sz w:val="20"/>
                <w:szCs w:val="20"/>
              </w:rPr>
            </w:pPr>
          </w:p>
        </w:tc>
        <w:tc>
          <w:tcPr>
            <w:tcW w:w="1695" w:type="dxa"/>
          </w:tcPr>
          <w:p w14:paraId="532DD345" w14:textId="77777777" w:rsidR="00653571" w:rsidRPr="008C5F1C" w:rsidRDefault="00653571" w:rsidP="00534127">
            <w:pPr>
              <w:spacing w:before="120" w:after="120"/>
              <w:rPr>
                <w:rFonts w:ascii="Times New Roman" w:hAnsi="Times New Roman" w:cs="Times New Roman"/>
                <w:noProof/>
                <w:sz w:val="20"/>
                <w:szCs w:val="20"/>
              </w:rPr>
            </w:pPr>
          </w:p>
        </w:tc>
        <w:tc>
          <w:tcPr>
            <w:tcW w:w="1660" w:type="dxa"/>
          </w:tcPr>
          <w:p w14:paraId="200EF2CF" w14:textId="77777777" w:rsidR="00653571" w:rsidRPr="008C5F1C" w:rsidRDefault="00653571" w:rsidP="00534127">
            <w:pPr>
              <w:spacing w:before="120" w:after="120"/>
              <w:rPr>
                <w:rFonts w:ascii="Times New Roman" w:hAnsi="Times New Roman" w:cs="Times New Roman"/>
                <w:noProof/>
                <w:sz w:val="20"/>
                <w:szCs w:val="20"/>
              </w:rPr>
            </w:pPr>
          </w:p>
        </w:tc>
      </w:tr>
      <w:tr w:rsidR="00653571" w:rsidRPr="008C5F1C" w14:paraId="6EC3FAD4" w14:textId="77777777" w:rsidTr="008B3BA1">
        <w:tc>
          <w:tcPr>
            <w:tcW w:w="1845" w:type="dxa"/>
            <w:vMerge/>
          </w:tcPr>
          <w:p w14:paraId="39B8D8C7" w14:textId="77777777" w:rsidR="00653571" w:rsidRPr="008C5F1C" w:rsidRDefault="00653571" w:rsidP="00534127">
            <w:pPr>
              <w:spacing w:before="120" w:after="120"/>
              <w:rPr>
                <w:rFonts w:ascii="Times New Roman" w:hAnsi="Times New Roman" w:cs="Times New Roman"/>
                <w:noProof/>
                <w:sz w:val="20"/>
                <w:szCs w:val="20"/>
              </w:rPr>
            </w:pPr>
          </w:p>
        </w:tc>
        <w:tc>
          <w:tcPr>
            <w:tcW w:w="3962" w:type="dxa"/>
          </w:tcPr>
          <w:p w14:paraId="03612BEE" w14:textId="77777777" w:rsidR="00653571" w:rsidRPr="008C5F1C" w:rsidRDefault="00653571" w:rsidP="00534127">
            <w:pPr>
              <w:spacing w:before="120" w:after="120"/>
              <w:rPr>
                <w:rFonts w:ascii="Times New Roman" w:hAnsi="Times New Roman" w:cs="Times New Roman"/>
                <w:noProof/>
                <w:sz w:val="18"/>
                <w:szCs w:val="20"/>
              </w:rPr>
            </w:pPr>
            <w:r w:rsidRPr="008C5F1C">
              <w:rPr>
                <w:rFonts w:ascii="Times New Roman" w:hAnsi="Times New Roman" w:cs="Times New Roman"/>
                <w:noProof/>
                <w:sz w:val="18"/>
                <w:szCs w:val="20"/>
              </w:rPr>
              <w:t>Transition</w:t>
            </w:r>
          </w:p>
        </w:tc>
        <w:tc>
          <w:tcPr>
            <w:tcW w:w="1694" w:type="dxa"/>
          </w:tcPr>
          <w:p w14:paraId="41DEF093" w14:textId="77777777" w:rsidR="00653571" w:rsidRPr="008C5F1C" w:rsidRDefault="00653571" w:rsidP="00534127">
            <w:pPr>
              <w:spacing w:before="120" w:after="120"/>
              <w:rPr>
                <w:rFonts w:ascii="Times New Roman" w:hAnsi="Times New Roman" w:cs="Times New Roman"/>
                <w:noProof/>
                <w:sz w:val="20"/>
                <w:szCs w:val="20"/>
              </w:rPr>
            </w:pPr>
          </w:p>
        </w:tc>
        <w:tc>
          <w:tcPr>
            <w:tcW w:w="1695" w:type="dxa"/>
          </w:tcPr>
          <w:p w14:paraId="20C00A33" w14:textId="77777777" w:rsidR="00653571" w:rsidRPr="008C5F1C" w:rsidRDefault="00653571" w:rsidP="00534127">
            <w:pPr>
              <w:spacing w:before="120" w:after="120"/>
              <w:rPr>
                <w:rFonts w:ascii="Times New Roman" w:hAnsi="Times New Roman" w:cs="Times New Roman"/>
                <w:noProof/>
                <w:sz w:val="20"/>
                <w:szCs w:val="20"/>
              </w:rPr>
            </w:pPr>
          </w:p>
        </w:tc>
        <w:tc>
          <w:tcPr>
            <w:tcW w:w="1660" w:type="dxa"/>
          </w:tcPr>
          <w:p w14:paraId="0254155B" w14:textId="77777777" w:rsidR="00653571" w:rsidRPr="008C5F1C" w:rsidRDefault="00653571" w:rsidP="00534127">
            <w:pPr>
              <w:spacing w:before="120" w:after="120"/>
              <w:rPr>
                <w:rFonts w:ascii="Times New Roman" w:hAnsi="Times New Roman" w:cs="Times New Roman"/>
                <w:noProof/>
                <w:sz w:val="20"/>
                <w:szCs w:val="20"/>
              </w:rPr>
            </w:pPr>
          </w:p>
        </w:tc>
      </w:tr>
      <w:tr w:rsidR="00653571" w:rsidRPr="008C5F1C" w14:paraId="20A2F947" w14:textId="77777777" w:rsidTr="008B3BA1">
        <w:tc>
          <w:tcPr>
            <w:tcW w:w="1845" w:type="dxa"/>
            <w:vMerge/>
          </w:tcPr>
          <w:p w14:paraId="6F7A8EC0" w14:textId="77777777" w:rsidR="00653571" w:rsidRPr="008C5F1C" w:rsidRDefault="00653571" w:rsidP="00534127">
            <w:pPr>
              <w:spacing w:before="120" w:after="120"/>
              <w:rPr>
                <w:rFonts w:ascii="Times New Roman" w:hAnsi="Times New Roman" w:cs="Times New Roman"/>
                <w:noProof/>
                <w:sz w:val="20"/>
                <w:szCs w:val="20"/>
              </w:rPr>
            </w:pPr>
          </w:p>
        </w:tc>
        <w:tc>
          <w:tcPr>
            <w:tcW w:w="3962" w:type="dxa"/>
          </w:tcPr>
          <w:p w14:paraId="4BC356B5" w14:textId="77777777" w:rsidR="00653571" w:rsidRPr="008C5F1C" w:rsidRDefault="00653571" w:rsidP="00534127">
            <w:pPr>
              <w:spacing w:before="120" w:after="120"/>
              <w:rPr>
                <w:rFonts w:ascii="Times New Roman" w:hAnsi="Times New Roman" w:cs="Times New Roman"/>
                <w:noProof/>
                <w:sz w:val="18"/>
                <w:szCs w:val="20"/>
              </w:rPr>
            </w:pPr>
            <w:r w:rsidRPr="008C5F1C">
              <w:rPr>
                <w:rFonts w:ascii="Times New Roman" w:hAnsi="Times New Roman" w:cs="Times New Roman"/>
                <w:noProof/>
                <w:sz w:val="18"/>
                <w:szCs w:val="20"/>
              </w:rPr>
              <w:t>Less developed</w:t>
            </w:r>
          </w:p>
        </w:tc>
        <w:tc>
          <w:tcPr>
            <w:tcW w:w="1694" w:type="dxa"/>
          </w:tcPr>
          <w:p w14:paraId="1FE23A71" w14:textId="77777777" w:rsidR="00653571" w:rsidRPr="008C5F1C" w:rsidRDefault="00653571" w:rsidP="00534127">
            <w:pPr>
              <w:spacing w:before="120" w:after="120"/>
              <w:rPr>
                <w:rFonts w:ascii="Times New Roman" w:hAnsi="Times New Roman" w:cs="Times New Roman"/>
                <w:noProof/>
                <w:sz w:val="20"/>
                <w:szCs w:val="20"/>
              </w:rPr>
            </w:pPr>
          </w:p>
        </w:tc>
        <w:tc>
          <w:tcPr>
            <w:tcW w:w="1695" w:type="dxa"/>
          </w:tcPr>
          <w:p w14:paraId="44E8CEFA" w14:textId="77777777" w:rsidR="00653571" w:rsidRPr="008C5F1C" w:rsidRDefault="00653571" w:rsidP="00534127">
            <w:pPr>
              <w:spacing w:before="120" w:after="120"/>
              <w:rPr>
                <w:rFonts w:ascii="Times New Roman" w:hAnsi="Times New Roman" w:cs="Times New Roman"/>
                <w:noProof/>
                <w:sz w:val="20"/>
                <w:szCs w:val="20"/>
              </w:rPr>
            </w:pPr>
          </w:p>
        </w:tc>
        <w:tc>
          <w:tcPr>
            <w:tcW w:w="1660" w:type="dxa"/>
          </w:tcPr>
          <w:p w14:paraId="32592310" w14:textId="77777777" w:rsidR="00653571" w:rsidRPr="008C5F1C" w:rsidRDefault="00653571" w:rsidP="00534127">
            <w:pPr>
              <w:spacing w:before="120" w:after="120"/>
              <w:rPr>
                <w:rFonts w:ascii="Times New Roman" w:hAnsi="Times New Roman" w:cs="Times New Roman"/>
                <w:noProof/>
                <w:sz w:val="20"/>
                <w:szCs w:val="20"/>
              </w:rPr>
            </w:pPr>
          </w:p>
        </w:tc>
      </w:tr>
      <w:tr w:rsidR="00653571" w:rsidRPr="008C5F1C" w14:paraId="50BE13F6" w14:textId="77777777" w:rsidTr="008B3BA1">
        <w:tc>
          <w:tcPr>
            <w:tcW w:w="1845" w:type="dxa"/>
            <w:vMerge/>
          </w:tcPr>
          <w:p w14:paraId="2741D1D1" w14:textId="77777777" w:rsidR="00653571" w:rsidRPr="008C5F1C" w:rsidRDefault="00653571" w:rsidP="00534127">
            <w:pPr>
              <w:spacing w:before="120" w:after="120"/>
              <w:rPr>
                <w:rFonts w:ascii="Times New Roman" w:hAnsi="Times New Roman" w:cs="Times New Roman"/>
                <w:noProof/>
                <w:sz w:val="20"/>
                <w:szCs w:val="20"/>
              </w:rPr>
            </w:pPr>
          </w:p>
        </w:tc>
        <w:tc>
          <w:tcPr>
            <w:tcW w:w="3962" w:type="dxa"/>
          </w:tcPr>
          <w:p w14:paraId="231AFB2C" w14:textId="77777777" w:rsidR="00653571" w:rsidRPr="008C5F1C" w:rsidRDefault="00653571" w:rsidP="00534127">
            <w:pPr>
              <w:spacing w:before="120" w:after="120"/>
              <w:rPr>
                <w:rFonts w:ascii="Times New Roman" w:hAnsi="Times New Roman" w:cs="Times New Roman"/>
                <w:noProof/>
                <w:sz w:val="18"/>
                <w:szCs w:val="20"/>
              </w:rPr>
            </w:pPr>
            <w:r w:rsidRPr="008C5F1C">
              <w:rPr>
                <w:rFonts w:ascii="Times New Roman" w:hAnsi="Times New Roman" w:cs="Times New Roman"/>
                <w:noProof/>
                <w:sz w:val="18"/>
                <w:szCs w:val="20"/>
              </w:rPr>
              <w:t>Outermost and northern sparsely populated</w:t>
            </w:r>
          </w:p>
        </w:tc>
        <w:tc>
          <w:tcPr>
            <w:tcW w:w="1694" w:type="dxa"/>
          </w:tcPr>
          <w:p w14:paraId="5D227BF5" w14:textId="77777777" w:rsidR="00653571" w:rsidRPr="008C5F1C" w:rsidRDefault="00653571" w:rsidP="00534127">
            <w:pPr>
              <w:spacing w:before="120" w:after="120"/>
              <w:rPr>
                <w:rFonts w:ascii="Times New Roman" w:hAnsi="Times New Roman" w:cs="Times New Roman"/>
                <w:noProof/>
                <w:sz w:val="20"/>
                <w:szCs w:val="20"/>
              </w:rPr>
            </w:pPr>
          </w:p>
        </w:tc>
        <w:tc>
          <w:tcPr>
            <w:tcW w:w="1695" w:type="dxa"/>
          </w:tcPr>
          <w:p w14:paraId="0EFA4FF5" w14:textId="77777777" w:rsidR="00653571" w:rsidRPr="008C5F1C" w:rsidRDefault="00653571" w:rsidP="00534127">
            <w:pPr>
              <w:spacing w:before="120" w:after="120"/>
              <w:rPr>
                <w:rFonts w:ascii="Times New Roman" w:hAnsi="Times New Roman" w:cs="Times New Roman"/>
                <w:noProof/>
                <w:sz w:val="20"/>
                <w:szCs w:val="20"/>
              </w:rPr>
            </w:pPr>
          </w:p>
        </w:tc>
        <w:tc>
          <w:tcPr>
            <w:tcW w:w="1660" w:type="dxa"/>
          </w:tcPr>
          <w:p w14:paraId="33DA1756" w14:textId="77777777" w:rsidR="00653571" w:rsidRPr="008C5F1C" w:rsidRDefault="00653571" w:rsidP="00534127">
            <w:pPr>
              <w:spacing w:before="120" w:after="120"/>
              <w:rPr>
                <w:rFonts w:ascii="Times New Roman" w:hAnsi="Times New Roman" w:cs="Times New Roman"/>
                <w:noProof/>
                <w:sz w:val="20"/>
                <w:szCs w:val="20"/>
              </w:rPr>
            </w:pPr>
          </w:p>
        </w:tc>
      </w:tr>
      <w:tr w:rsidR="00653571" w:rsidRPr="008C5F1C" w14:paraId="4F6829CD" w14:textId="77777777" w:rsidTr="008B3BA1">
        <w:tc>
          <w:tcPr>
            <w:tcW w:w="1845" w:type="dxa"/>
            <w:vMerge w:val="restart"/>
          </w:tcPr>
          <w:p w14:paraId="2710966A" w14:textId="77777777" w:rsidR="00653571" w:rsidRPr="008C5F1C" w:rsidRDefault="00653571" w:rsidP="00534127">
            <w:pPr>
              <w:spacing w:before="120" w:after="120"/>
              <w:rPr>
                <w:rFonts w:ascii="Times New Roman" w:hAnsi="Times New Roman" w:cs="Times New Roman"/>
                <w:b/>
                <w:noProof/>
                <w:sz w:val="20"/>
                <w:szCs w:val="20"/>
              </w:rPr>
            </w:pPr>
            <w:r w:rsidRPr="008C5F1C">
              <w:rPr>
                <w:rFonts w:ascii="Times New Roman" w:hAnsi="Times New Roman" w:cs="Times New Roman"/>
                <w:b/>
                <w:noProof/>
                <w:sz w:val="20"/>
                <w:szCs w:val="20"/>
              </w:rPr>
              <w:t>ESF+</w:t>
            </w:r>
          </w:p>
        </w:tc>
        <w:tc>
          <w:tcPr>
            <w:tcW w:w="3962" w:type="dxa"/>
          </w:tcPr>
          <w:p w14:paraId="42673660" w14:textId="77777777" w:rsidR="00653571" w:rsidRPr="008C5F1C" w:rsidRDefault="00653571" w:rsidP="00534127">
            <w:pPr>
              <w:spacing w:before="60" w:after="60"/>
              <w:rPr>
                <w:rFonts w:ascii="Times New Roman" w:eastAsia="Times New Roman" w:hAnsi="Times New Roman" w:cs="Times New Roman"/>
                <w:noProof/>
                <w:sz w:val="18"/>
                <w:szCs w:val="20"/>
              </w:rPr>
            </w:pPr>
            <w:r w:rsidRPr="008C5F1C">
              <w:rPr>
                <w:rFonts w:ascii="Times New Roman" w:eastAsia="Times New Roman" w:hAnsi="Times New Roman" w:cs="Times New Roman"/>
                <w:noProof/>
                <w:sz w:val="18"/>
                <w:szCs w:val="20"/>
              </w:rPr>
              <w:t>More developed</w:t>
            </w:r>
          </w:p>
        </w:tc>
        <w:tc>
          <w:tcPr>
            <w:tcW w:w="1694" w:type="dxa"/>
          </w:tcPr>
          <w:p w14:paraId="0C9DE0DD" w14:textId="77777777" w:rsidR="00653571" w:rsidRPr="008C5F1C" w:rsidRDefault="00653571" w:rsidP="00534127">
            <w:pPr>
              <w:spacing w:before="120" w:after="120"/>
              <w:rPr>
                <w:rFonts w:ascii="Times New Roman" w:hAnsi="Times New Roman" w:cs="Times New Roman"/>
                <w:noProof/>
                <w:sz w:val="20"/>
                <w:szCs w:val="20"/>
              </w:rPr>
            </w:pPr>
          </w:p>
        </w:tc>
        <w:tc>
          <w:tcPr>
            <w:tcW w:w="1695" w:type="dxa"/>
          </w:tcPr>
          <w:p w14:paraId="1FC8258D" w14:textId="77777777" w:rsidR="00653571" w:rsidRPr="008C5F1C" w:rsidRDefault="00653571" w:rsidP="00534127">
            <w:pPr>
              <w:spacing w:before="120" w:after="120"/>
              <w:rPr>
                <w:rFonts w:ascii="Times New Roman" w:hAnsi="Times New Roman" w:cs="Times New Roman"/>
                <w:noProof/>
                <w:sz w:val="20"/>
                <w:szCs w:val="20"/>
              </w:rPr>
            </w:pPr>
          </w:p>
        </w:tc>
        <w:tc>
          <w:tcPr>
            <w:tcW w:w="1660" w:type="dxa"/>
          </w:tcPr>
          <w:p w14:paraId="5C554C97" w14:textId="77777777" w:rsidR="00653571" w:rsidRPr="008C5F1C" w:rsidRDefault="00653571" w:rsidP="00534127">
            <w:pPr>
              <w:spacing w:before="120" w:after="120"/>
              <w:rPr>
                <w:rFonts w:ascii="Times New Roman" w:hAnsi="Times New Roman" w:cs="Times New Roman"/>
                <w:noProof/>
                <w:sz w:val="20"/>
                <w:szCs w:val="20"/>
              </w:rPr>
            </w:pPr>
          </w:p>
        </w:tc>
      </w:tr>
      <w:tr w:rsidR="00653571" w:rsidRPr="008C5F1C" w14:paraId="3B934704" w14:textId="77777777" w:rsidTr="008B3BA1">
        <w:tc>
          <w:tcPr>
            <w:tcW w:w="1845" w:type="dxa"/>
            <w:vMerge/>
          </w:tcPr>
          <w:p w14:paraId="6A187B5B" w14:textId="77777777" w:rsidR="00653571" w:rsidRPr="008C5F1C" w:rsidRDefault="00653571" w:rsidP="00534127">
            <w:pPr>
              <w:spacing w:before="120" w:after="120"/>
              <w:rPr>
                <w:rFonts w:ascii="Times New Roman" w:hAnsi="Times New Roman" w:cs="Times New Roman"/>
                <w:noProof/>
                <w:sz w:val="20"/>
                <w:szCs w:val="20"/>
              </w:rPr>
            </w:pPr>
          </w:p>
        </w:tc>
        <w:tc>
          <w:tcPr>
            <w:tcW w:w="3962" w:type="dxa"/>
          </w:tcPr>
          <w:p w14:paraId="484142C0" w14:textId="77777777" w:rsidR="00653571" w:rsidRPr="008C5F1C" w:rsidRDefault="00653571" w:rsidP="00534127">
            <w:pPr>
              <w:spacing w:before="60" w:after="60"/>
              <w:rPr>
                <w:rFonts w:ascii="Times New Roman" w:eastAsia="Times New Roman" w:hAnsi="Times New Roman" w:cs="Times New Roman"/>
                <w:noProof/>
                <w:sz w:val="18"/>
                <w:szCs w:val="20"/>
              </w:rPr>
            </w:pPr>
            <w:r w:rsidRPr="008C5F1C">
              <w:rPr>
                <w:rFonts w:ascii="Times New Roman" w:hAnsi="Times New Roman" w:cs="Times New Roman"/>
                <w:noProof/>
                <w:sz w:val="18"/>
                <w:szCs w:val="20"/>
              </w:rPr>
              <w:t>Transition</w:t>
            </w:r>
          </w:p>
        </w:tc>
        <w:tc>
          <w:tcPr>
            <w:tcW w:w="1694" w:type="dxa"/>
          </w:tcPr>
          <w:p w14:paraId="0AAAA0C9" w14:textId="77777777" w:rsidR="00653571" w:rsidRPr="008C5F1C" w:rsidRDefault="00653571" w:rsidP="00534127">
            <w:pPr>
              <w:spacing w:before="120" w:after="120"/>
              <w:rPr>
                <w:rFonts w:ascii="Times New Roman" w:hAnsi="Times New Roman" w:cs="Times New Roman"/>
                <w:noProof/>
                <w:sz w:val="20"/>
                <w:szCs w:val="20"/>
              </w:rPr>
            </w:pPr>
          </w:p>
        </w:tc>
        <w:tc>
          <w:tcPr>
            <w:tcW w:w="1695" w:type="dxa"/>
          </w:tcPr>
          <w:p w14:paraId="4EE6FB1D" w14:textId="77777777" w:rsidR="00653571" w:rsidRPr="008C5F1C" w:rsidRDefault="00653571" w:rsidP="00534127">
            <w:pPr>
              <w:spacing w:before="120" w:after="120"/>
              <w:rPr>
                <w:rFonts w:ascii="Times New Roman" w:hAnsi="Times New Roman" w:cs="Times New Roman"/>
                <w:noProof/>
                <w:sz w:val="20"/>
                <w:szCs w:val="20"/>
              </w:rPr>
            </w:pPr>
          </w:p>
        </w:tc>
        <w:tc>
          <w:tcPr>
            <w:tcW w:w="1660" w:type="dxa"/>
          </w:tcPr>
          <w:p w14:paraId="0E3C54F0" w14:textId="77777777" w:rsidR="00653571" w:rsidRPr="008C5F1C" w:rsidRDefault="00653571" w:rsidP="00534127">
            <w:pPr>
              <w:spacing w:before="120" w:after="120"/>
              <w:rPr>
                <w:rFonts w:ascii="Times New Roman" w:hAnsi="Times New Roman" w:cs="Times New Roman"/>
                <w:noProof/>
                <w:sz w:val="20"/>
                <w:szCs w:val="20"/>
              </w:rPr>
            </w:pPr>
          </w:p>
        </w:tc>
      </w:tr>
      <w:tr w:rsidR="00653571" w:rsidRPr="008C5F1C" w14:paraId="0AC6A920" w14:textId="77777777" w:rsidTr="008B3BA1">
        <w:tc>
          <w:tcPr>
            <w:tcW w:w="1845" w:type="dxa"/>
            <w:vMerge/>
          </w:tcPr>
          <w:p w14:paraId="1C183767" w14:textId="77777777" w:rsidR="00653571" w:rsidRPr="008C5F1C" w:rsidRDefault="00653571" w:rsidP="00534127">
            <w:pPr>
              <w:spacing w:before="120" w:after="120"/>
              <w:rPr>
                <w:rFonts w:ascii="Times New Roman" w:hAnsi="Times New Roman" w:cs="Times New Roman"/>
                <w:noProof/>
                <w:sz w:val="20"/>
                <w:szCs w:val="20"/>
              </w:rPr>
            </w:pPr>
          </w:p>
        </w:tc>
        <w:tc>
          <w:tcPr>
            <w:tcW w:w="3962" w:type="dxa"/>
          </w:tcPr>
          <w:p w14:paraId="681220D0" w14:textId="77777777" w:rsidR="00653571" w:rsidRPr="008C5F1C" w:rsidRDefault="00653571" w:rsidP="00534127">
            <w:pPr>
              <w:spacing w:before="60" w:after="60"/>
              <w:rPr>
                <w:rFonts w:ascii="Times New Roman" w:hAnsi="Times New Roman" w:cs="Times New Roman"/>
                <w:noProof/>
                <w:sz w:val="18"/>
                <w:szCs w:val="20"/>
              </w:rPr>
            </w:pPr>
            <w:r w:rsidRPr="008C5F1C">
              <w:rPr>
                <w:rFonts w:ascii="Times New Roman" w:eastAsia="Times New Roman" w:hAnsi="Times New Roman" w:cs="Times New Roman"/>
                <w:noProof/>
                <w:sz w:val="18"/>
                <w:szCs w:val="20"/>
              </w:rPr>
              <w:t>Less developed</w:t>
            </w:r>
          </w:p>
        </w:tc>
        <w:tc>
          <w:tcPr>
            <w:tcW w:w="1694" w:type="dxa"/>
          </w:tcPr>
          <w:p w14:paraId="1A81C6D2" w14:textId="77777777" w:rsidR="00653571" w:rsidRPr="008C5F1C" w:rsidRDefault="00653571" w:rsidP="00534127">
            <w:pPr>
              <w:spacing w:before="120" w:after="120"/>
              <w:rPr>
                <w:rFonts w:ascii="Times New Roman" w:hAnsi="Times New Roman" w:cs="Times New Roman"/>
                <w:noProof/>
                <w:sz w:val="20"/>
                <w:szCs w:val="20"/>
              </w:rPr>
            </w:pPr>
          </w:p>
        </w:tc>
        <w:tc>
          <w:tcPr>
            <w:tcW w:w="1695" w:type="dxa"/>
          </w:tcPr>
          <w:p w14:paraId="7FB53868" w14:textId="77777777" w:rsidR="00653571" w:rsidRPr="008C5F1C" w:rsidRDefault="00653571" w:rsidP="00534127">
            <w:pPr>
              <w:spacing w:before="120" w:after="120"/>
              <w:rPr>
                <w:rFonts w:ascii="Times New Roman" w:hAnsi="Times New Roman" w:cs="Times New Roman"/>
                <w:noProof/>
                <w:sz w:val="20"/>
                <w:szCs w:val="20"/>
              </w:rPr>
            </w:pPr>
          </w:p>
        </w:tc>
        <w:tc>
          <w:tcPr>
            <w:tcW w:w="1660" w:type="dxa"/>
          </w:tcPr>
          <w:p w14:paraId="6641F0FB" w14:textId="77777777" w:rsidR="00653571" w:rsidRPr="008C5F1C" w:rsidRDefault="00653571" w:rsidP="00534127">
            <w:pPr>
              <w:spacing w:before="120" w:after="120"/>
              <w:rPr>
                <w:rFonts w:ascii="Times New Roman" w:hAnsi="Times New Roman" w:cs="Times New Roman"/>
                <w:noProof/>
                <w:sz w:val="20"/>
                <w:szCs w:val="20"/>
              </w:rPr>
            </w:pPr>
          </w:p>
        </w:tc>
      </w:tr>
      <w:tr w:rsidR="00653571" w:rsidRPr="008C5F1C" w14:paraId="63C23897" w14:textId="77777777" w:rsidTr="008B3BA1">
        <w:tc>
          <w:tcPr>
            <w:tcW w:w="1845" w:type="dxa"/>
            <w:vMerge/>
          </w:tcPr>
          <w:p w14:paraId="0252DF3C" w14:textId="77777777" w:rsidR="00653571" w:rsidRPr="008C5F1C" w:rsidRDefault="00653571" w:rsidP="00534127">
            <w:pPr>
              <w:spacing w:before="120" w:after="120"/>
              <w:rPr>
                <w:rFonts w:ascii="Times New Roman" w:hAnsi="Times New Roman" w:cs="Times New Roman"/>
                <w:noProof/>
                <w:sz w:val="20"/>
                <w:szCs w:val="20"/>
              </w:rPr>
            </w:pPr>
          </w:p>
        </w:tc>
        <w:tc>
          <w:tcPr>
            <w:tcW w:w="3962" w:type="dxa"/>
          </w:tcPr>
          <w:p w14:paraId="404AB386" w14:textId="77777777" w:rsidR="00653571" w:rsidRPr="008C5F1C" w:rsidRDefault="00653571" w:rsidP="00534127">
            <w:pPr>
              <w:spacing w:before="60" w:after="60"/>
              <w:rPr>
                <w:rFonts w:ascii="Times New Roman" w:eastAsia="Times New Roman" w:hAnsi="Times New Roman" w:cs="Times New Roman"/>
                <w:noProof/>
                <w:sz w:val="18"/>
                <w:szCs w:val="20"/>
              </w:rPr>
            </w:pPr>
            <w:r w:rsidRPr="008C5F1C">
              <w:rPr>
                <w:rFonts w:ascii="Times New Roman" w:hAnsi="Times New Roman" w:cs="Times New Roman"/>
                <w:noProof/>
                <w:sz w:val="18"/>
                <w:szCs w:val="20"/>
              </w:rPr>
              <w:t>Outermost and northern sparsely populated</w:t>
            </w:r>
          </w:p>
        </w:tc>
        <w:tc>
          <w:tcPr>
            <w:tcW w:w="1694" w:type="dxa"/>
          </w:tcPr>
          <w:p w14:paraId="0CD5F467" w14:textId="77777777" w:rsidR="00653571" w:rsidRPr="008C5F1C" w:rsidRDefault="00653571" w:rsidP="00534127">
            <w:pPr>
              <w:spacing w:before="120" w:after="120"/>
              <w:rPr>
                <w:rFonts w:ascii="Times New Roman" w:hAnsi="Times New Roman" w:cs="Times New Roman"/>
                <w:noProof/>
                <w:sz w:val="20"/>
                <w:szCs w:val="20"/>
              </w:rPr>
            </w:pPr>
          </w:p>
        </w:tc>
        <w:tc>
          <w:tcPr>
            <w:tcW w:w="1695" w:type="dxa"/>
          </w:tcPr>
          <w:p w14:paraId="070DB9EF" w14:textId="77777777" w:rsidR="00653571" w:rsidRPr="008C5F1C" w:rsidRDefault="00653571" w:rsidP="00534127">
            <w:pPr>
              <w:spacing w:before="120" w:after="120"/>
              <w:rPr>
                <w:rFonts w:ascii="Times New Roman" w:hAnsi="Times New Roman" w:cs="Times New Roman"/>
                <w:noProof/>
                <w:sz w:val="20"/>
                <w:szCs w:val="20"/>
              </w:rPr>
            </w:pPr>
          </w:p>
        </w:tc>
        <w:tc>
          <w:tcPr>
            <w:tcW w:w="1660" w:type="dxa"/>
          </w:tcPr>
          <w:p w14:paraId="34A2C73D" w14:textId="77777777" w:rsidR="00653571" w:rsidRPr="008C5F1C" w:rsidRDefault="00653571" w:rsidP="00534127">
            <w:pPr>
              <w:spacing w:before="120" w:after="120"/>
              <w:rPr>
                <w:rFonts w:ascii="Times New Roman" w:hAnsi="Times New Roman" w:cs="Times New Roman"/>
                <w:noProof/>
                <w:sz w:val="20"/>
                <w:szCs w:val="20"/>
              </w:rPr>
            </w:pPr>
          </w:p>
        </w:tc>
      </w:tr>
      <w:tr w:rsidR="00653571" w:rsidRPr="008C5F1C" w14:paraId="675BC76B" w14:textId="77777777" w:rsidTr="008B3BA1">
        <w:tc>
          <w:tcPr>
            <w:tcW w:w="1845" w:type="dxa"/>
          </w:tcPr>
          <w:p w14:paraId="2D01D2FF" w14:textId="77777777" w:rsidR="00653571" w:rsidRPr="008C5F1C" w:rsidRDefault="00653571" w:rsidP="00534127">
            <w:pPr>
              <w:spacing w:before="120" w:after="120"/>
              <w:rPr>
                <w:rFonts w:ascii="Times New Roman" w:hAnsi="Times New Roman" w:cs="Times New Roman"/>
                <w:b/>
                <w:noProof/>
                <w:sz w:val="20"/>
                <w:szCs w:val="20"/>
              </w:rPr>
            </w:pPr>
            <w:r w:rsidRPr="008C5F1C">
              <w:rPr>
                <w:rFonts w:ascii="Times New Roman" w:hAnsi="Times New Roman" w:cs="Times New Roman"/>
                <w:b/>
                <w:noProof/>
                <w:sz w:val="20"/>
                <w:szCs w:val="20"/>
              </w:rPr>
              <w:t xml:space="preserve">Total </w:t>
            </w:r>
          </w:p>
        </w:tc>
        <w:tc>
          <w:tcPr>
            <w:tcW w:w="3962" w:type="dxa"/>
          </w:tcPr>
          <w:p w14:paraId="3A0847D2" w14:textId="77777777" w:rsidR="00653571" w:rsidRPr="008C5F1C" w:rsidRDefault="00653571" w:rsidP="00534127">
            <w:pPr>
              <w:spacing w:before="120" w:after="120"/>
              <w:rPr>
                <w:rFonts w:ascii="Times New Roman" w:hAnsi="Times New Roman" w:cs="Times New Roman"/>
                <w:noProof/>
                <w:sz w:val="18"/>
                <w:szCs w:val="20"/>
              </w:rPr>
            </w:pPr>
            <w:r w:rsidRPr="008C5F1C">
              <w:rPr>
                <w:rFonts w:ascii="Times New Roman" w:hAnsi="Times New Roman" w:cs="Times New Roman"/>
                <w:noProof/>
                <w:sz w:val="18"/>
                <w:szCs w:val="20"/>
              </w:rPr>
              <w:t>More developed</w:t>
            </w:r>
          </w:p>
        </w:tc>
        <w:tc>
          <w:tcPr>
            <w:tcW w:w="1694" w:type="dxa"/>
          </w:tcPr>
          <w:p w14:paraId="6AB80C31" w14:textId="77777777" w:rsidR="00653571" w:rsidRPr="008C5F1C" w:rsidRDefault="00653571" w:rsidP="00534127">
            <w:pPr>
              <w:spacing w:before="120" w:after="120"/>
              <w:rPr>
                <w:rFonts w:ascii="Times New Roman" w:hAnsi="Times New Roman" w:cs="Times New Roman"/>
                <w:noProof/>
                <w:sz w:val="20"/>
                <w:szCs w:val="20"/>
              </w:rPr>
            </w:pPr>
          </w:p>
        </w:tc>
        <w:tc>
          <w:tcPr>
            <w:tcW w:w="1695" w:type="dxa"/>
          </w:tcPr>
          <w:p w14:paraId="31B8A9E4" w14:textId="77777777" w:rsidR="00653571" w:rsidRPr="008C5F1C" w:rsidRDefault="00653571" w:rsidP="00534127">
            <w:pPr>
              <w:spacing w:before="120" w:after="120"/>
              <w:rPr>
                <w:rFonts w:ascii="Times New Roman" w:hAnsi="Times New Roman" w:cs="Times New Roman"/>
                <w:noProof/>
                <w:sz w:val="20"/>
                <w:szCs w:val="20"/>
              </w:rPr>
            </w:pPr>
          </w:p>
        </w:tc>
        <w:tc>
          <w:tcPr>
            <w:tcW w:w="1660" w:type="dxa"/>
          </w:tcPr>
          <w:p w14:paraId="145A4D7F" w14:textId="77777777" w:rsidR="00653571" w:rsidRPr="008C5F1C" w:rsidRDefault="00653571" w:rsidP="00534127">
            <w:pPr>
              <w:spacing w:before="120" w:after="120"/>
              <w:rPr>
                <w:rFonts w:ascii="Times New Roman" w:hAnsi="Times New Roman" w:cs="Times New Roman"/>
                <w:noProof/>
                <w:sz w:val="20"/>
                <w:szCs w:val="20"/>
              </w:rPr>
            </w:pPr>
          </w:p>
        </w:tc>
      </w:tr>
      <w:tr w:rsidR="00653571" w:rsidRPr="008C5F1C" w14:paraId="65766217" w14:textId="77777777" w:rsidTr="008B3BA1">
        <w:tc>
          <w:tcPr>
            <w:tcW w:w="1845" w:type="dxa"/>
          </w:tcPr>
          <w:p w14:paraId="46FE3C3F" w14:textId="77777777" w:rsidR="00653571" w:rsidRPr="008C5F1C" w:rsidRDefault="00653571" w:rsidP="00534127">
            <w:pPr>
              <w:spacing w:before="120" w:after="120"/>
              <w:rPr>
                <w:rFonts w:ascii="Times New Roman" w:hAnsi="Times New Roman" w:cs="Times New Roman"/>
                <w:noProof/>
                <w:sz w:val="20"/>
                <w:szCs w:val="20"/>
              </w:rPr>
            </w:pPr>
          </w:p>
        </w:tc>
        <w:tc>
          <w:tcPr>
            <w:tcW w:w="3962" w:type="dxa"/>
          </w:tcPr>
          <w:p w14:paraId="225A17B4" w14:textId="77777777" w:rsidR="00653571" w:rsidRPr="008C5F1C" w:rsidRDefault="00653571" w:rsidP="00534127">
            <w:pPr>
              <w:spacing w:before="120" w:after="120"/>
              <w:rPr>
                <w:rFonts w:ascii="Times New Roman" w:hAnsi="Times New Roman" w:cs="Times New Roman"/>
                <w:noProof/>
                <w:sz w:val="18"/>
                <w:szCs w:val="20"/>
              </w:rPr>
            </w:pPr>
            <w:r w:rsidRPr="008C5F1C">
              <w:rPr>
                <w:rFonts w:ascii="Times New Roman" w:hAnsi="Times New Roman" w:cs="Times New Roman"/>
                <w:noProof/>
                <w:sz w:val="18"/>
                <w:szCs w:val="20"/>
              </w:rPr>
              <w:t>Transition</w:t>
            </w:r>
          </w:p>
        </w:tc>
        <w:tc>
          <w:tcPr>
            <w:tcW w:w="1694" w:type="dxa"/>
          </w:tcPr>
          <w:p w14:paraId="754C0D8F" w14:textId="77777777" w:rsidR="00653571" w:rsidRPr="008C5F1C" w:rsidRDefault="00653571" w:rsidP="00534127">
            <w:pPr>
              <w:spacing w:before="120" w:after="120"/>
              <w:rPr>
                <w:rFonts w:ascii="Times New Roman" w:hAnsi="Times New Roman" w:cs="Times New Roman"/>
                <w:noProof/>
                <w:sz w:val="20"/>
                <w:szCs w:val="20"/>
              </w:rPr>
            </w:pPr>
          </w:p>
        </w:tc>
        <w:tc>
          <w:tcPr>
            <w:tcW w:w="1695" w:type="dxa"/>
          </w:tcPr>
          <w:p w14:paraId="01B1177F" w14:textId="77777777" w:rsidR="00653571" w:rsidRPr="008C5F1C" w:rsidRDefault="00653571" w:rsidP="00534127">
            <w:pPr>
              <w:spacing w:before="120" w:after="120"/>
              <w:rPr>
                <w:rFonts w:ascii="Times New Roman" w:hAnsi="Times New Roman" w:cs="Times New Roman"/>
                <w:noProof/>
                <w:sz w:val="20"/>
                <w:szCs w:val="20"/>
              </w:rPr>
            </w:pPr>
          </w:p>
        </w:tc>
        <w:tc>
          <w:tcPr>
            <w:tcW w:w="1660" w:type="dxa"/>
          </w:tcPr>
          <w:p w14:paraId="01DF1006" w14:textId="77777777" w:rsidR="00653571" w:rsidRPr="008C5F1C" w:rsidRDefault="00653571" w:rsidP="00534127">
            <w:pPr>
              <w:spacing w:before="120" w:after="120"/>
              <w:rPr>
                <w:rFonts w:ascii="Times New Roman" w:hAnsi="Times New Roman" w:cs="Times New Roman"/>
                <w:noProof/>
                <w:sz w:val="20"/>
                <w:szCs w:val="20"/>
              </w:rPr>
            </w:pPr>
          </w:p>
        </w:tc>
      </w:tr>
      <w:tr w:rsidR="00653571" w:rsidRPr="008C5F1C" w14:paraId="6C31B9C3" w14:textId="77777777" w:rsidTr="008B3BA1">
        <w:tc>
          <w:tcPr>
            <w:tcW w:w="1845" w:type="dxa"/>
          </w:tcPr>
          <w:p w14:paraId="099DE7C4" w14:textId="77777777" w:rsidR="00653571" w:rsidRPr="008C5F1C" w:rsidRDefault="00653571" w:rsidP="00534127">
            <w:pPr>
              <w:spacing w:before="120" w:after="120"/>
              <w:rPr>
                <w:rFonts w:ascii="Times New Roman" w:hAnsi="Times New Roman" w:cs="Times New Roman"/>
                <w:noProof/>
                <w:sz w:val="20"/>
                <w:szCs w:val="20"/>
              </w:rPr>
            </w:pPr>
          </w:p>
        </w:tc>
        <w:tc>
          <w:tcPr>
            <w:tcW w:w="3962" w:type="dxa"/>
          </w:tcPr>
          <w:p w14:paraId="09D10D1E" w14:textId="77777777" w:rsidR="00653571" w:rsidRPr="008C5F1C" w:rsidRDefault="00653571" w:rsidP="00534127">
            <w:pPr>
              <w:spacing w:before="120" w:after="120"/>
              <w:rPr>
                <w:rFonts w:ascii="Times New Roman" w:hAnsi="Times New Roman" w:cs="Times New Roman"/>
                <w:noProof/>
                <w:sz w:val="18"/>
                <w:szCs w:val="20"/>
              </w:rPr>
            </w:pPr>
            <w:r w:rsidRPr="008C5F1C">
              <w:rPr>
                <w:rFonts w:ascii="Times New Roman" w:hAnsi="Times New Roman" w:cs="Times New Roman"/>
                <w:noProof/>
                <w:sz w:val="18"/>
                <w:szCs w:val="20"/>
              </w:rPr>
              <w:t>Less developed</w:t>
            </w:r>
          </w:p>
        </w:tc>
        <w:tc>
          <w:tcPr>
            <w:tcW w:w="1694" w:type="dxa"/>
          </w:tcPr>
          <w:p w14:paraId="33F0F33E" w14:textId="77777777" w:rsidR="00653571" w:rsidRPr="008C5F1C" w:rsidRDefault="00653571" w:rsidP="00534127">
            <w:pPr>
              <w:spacing w:before="120" w:after="120"/>
              <w:rPr>
                <w:rFonts w:ascii="Times New Roman" w:hAnsi="Times New Roman" w:cs="Times New Roman"/>
                <w:noProof/>
                <w:sz w:val="20"/>
                <w:szCs w:val="20"/>
              </w:rPr>
            </w:pPr>
          </w:p>
        </w:tc>
        <w:tc>
          <w:tcPr>
            <w:tcW w:w="1695" w:type="dxa"/>
          </w:tcPr>
          <w:p w14:paraId="3DB065F8" w14:textId="77777777" w:rsidR="00653571" w:rsidRPr="008C5F1C" w:rsidRDefault="00653571" w:rsidP="00534127">
            <w:pPr>
              <w:spacing w:before="120" w:after="120"/>
              <w:rPr>
                <w:rFonts w:ascii="Times New Roman" w:hAnsi="Times New Roman" w:cs="Times New Roman"/>
                <w:noProof/>
                <w:sz w:val="20"/>
                <w:szCs w:val="20"/>
              </w:rPr>
            </w:pPr>
          </w:p>
        </w:tc>
        <w:tc>
          <w:tcPr>
            <w:tcW w:w="1660" w:type="dxa"/>
          </w:tcPr>
          <w:p w14:paraId="3344A9C5" w14:textId="77777777" w:rsidR="00653571" w:rsidRPr="008C5F1C" w:rsidRDefault="00653571" w:rsidP="00534127">
            <w:pPr>
              <w:spacing w:before="120" w:after="120"/>
              <w:rPr>
                <w:rFonts w:ascii="Times New Roman" w:hAnsi="Times New Roman" w:cs="Times New Roman"/>
                <w:noProof/>
                <w:sz w:val="20"/>
                <w:szCs w:val="20"/>
              </w:rPr>
            </w:pPr>
          </w:p>
        </w:tc>
      </w:tr>
      <w:tr w:rsidR="00653571" w:rsidRPr="008C5F1C" w14:paraId="2D55F440" w14:textId="77777777" w:rsidTr="008B3BA1">
        <w:tc>
          <w:tcPr>
            <w:tcW w:w="1845" w:type="dxa"/>
          </w:tcPr>
          <w:p w14:paraId="4AB06DD1" w14:textId="77777777" w:rsidR="00653571" w:rsidRPr="008C5F1C" w:rsidRDefault="00653571" w:rsidP="00534127">
            <w:pPr>
              <w:spacing w:before="120" w:after="120"/>
              <w:rPr>
                <w:rFonts w:ascii="Times New Roman" w:hAnsi="Times New Roman" w:cs="Times New Roman"/>
                <w:noProof/>
                <w:sz w:val="20"/>
                <w:szCs w:val="20"/>
              </w:rPr>
            </w:pPr>
          </w:p>
        </w:tc>
        <w:tc>
          <w:tcPr>
            <w:tcW w:w="3962" w:type="dxa"/>
          </w:tcPr>
          <w:p w14:paraId="6D71CE0E" w14:textId="77777777" w:rsidR="00653571" w:rsidRPr="008C5F1C" w:rsidRDefault="00653571" w:rsidP="00534127">
            <w:pPr>
              <w:spacing w:before="120" w:after="120"/>
              <w:rPr>
                <w:rFonts w:ascii="Times New Roman" w:hAnsi="Times New Roman" w:cs="Times New Roman"/>
                <w:noProof/>
                <w:sz w:val="18"/>
                <w:szCs w:val="20"/>
              </w:rPr>
            </w:pPr>
            <w:r w:rsidRPr="008C5F1C">
              <w:rPr>
                <w:rFonts w:ascii="Times New Roman" w:hAnsi="Times New Roman" w:cs="Times New Roman"/>
                <w:noProof/>
                <w:sz w:val="18"/>
                <w:szCs w:val="20"/>
              </w:rPr>
              <w:t>Outermost and northern sparsely populated</w:t>
            </w:r>
          </w:p>
        </w:tc>
        <w:tc>
          <w:tcPr>
            <w:tcW w:w="1694" w:type="dxa"/>
          </w:tcPr>
          <w:p w14:paraId="41FAD4D7" w14:textId="77777777" w:rsidR="00653571" w:rsidRPr="008C5F1C" w:rsidRDefault="00653571" w:rsidP="00534127">
            <w:pPr>
              <w:spacing w:before="120" w:after="120"/>
              <w:rPr>
                <w:rFonts w:ascii="Times New Roman" w:hAnsi="Times New Roman" w:cs="Times New Roman"/>
                <w:noProof/>
                <w:sz w:val="20"/>
                <w:szCs w:val="20"/>
              </w:rPr>
            </w:pPr>
          </w:p>
        </w:tc>
        <w:tc>
          <w:tcPr>
            <w:tcW w:w="1695" w:type="dxa"/>
          </w:tcPr>
          <w:p w14:paraId="4EC4095B" w14:textId="77777777" w:rsidR="00653571" w:rsidRPr="008C5F1C" w:rsidRDefault="00653571" w:rsidP="00534127">
            <w:pPr>
              <w:spacing w:before="120" w:after="120"/>
              <w:rPr>
                <w:rFonts w:ascii="Times New Roman" w:hAnsi="Times New Roman" w:cs="Times New Roman"/>
                <w:noProof/>
                <w:sz w:val="20"/>
                <w:szCs w:val="20"/>
              </w:rPr>
            </w:pPr>
          </w:p>
        </w:tc>
        <w:tc>
          <w:tcPr>
            <w:tcW w:w="1660" w:type="dxa"/>
          </w:tcPr>
          <w:p w14:paraId="51A7CC50" w14:textId="77777777" w:rsidR="00653571" w:rsidRPr="008C5F1C" w:rsidRDefault="00653571" w:rsidP="00534127">
            <w:pPr>
              <w:spacing w:before="120" w:after="120"/>
              <w:rPr>
                <w:rFonts w:ascii="Times New Roman" w:hAnsi="Times New Roman" w:cs="Times New Roman"/>
                <w:noProof/>
                <w:sz w:val="20"/>
                <w:szCs w:val="20"/>
              </w:rPr>
            </w:pPr>
          </w:p>
        </w:tc>
      </w:tr>
    </w:tbl>
    <w:p w14:paraId="55881743" w14:textId="77777777" w:rsidR="00653571" w:rsidRPr="008C5F1C" w:rsidRDefault="00653571" w:rsidP="00653571">
      <w:pPr>
        <w:spacing w:after="160" w:line="259" w:lineRule="auto"/>
        <w:rPr>
          <w:rFonts w:ascii="Times New Roman" w:hAnsi="Times New Roman" w:cs="Times New Roman"/>
          <w:b/>
          <w:noProof/>
          <w:sz w:val="24"/>
          <w:szCs w:val="24"/>
        </w:rPr>
      </w:pPr>
      <w:r w:rsidRPr="008C5F1C">
        <w:rPr>
          <w:rFonts w:ascii="Times New Roman" w:hAnsi="Times New Roman" w:cs="Times New Roman"/>
          <w:noProof/>
          <w:sz w:val="20"/>
          <w:szCs w:val="20"/>
        </w:rPr>
        <w:t>* Programme with the JTF allocation.”</w:t>
      </w:r>
    </w:p>
    <w:p w14:paraId="60F14146" w14:textId="77777777" w:rsidR="00653571" w:rsidRPr="008C5F1C" w:rsidRDefault="00653571" w:rsidP="00653571">
      <w:pPr>
        <w:rPr>
          <w:rFonts w:ascii="Times New Roman" w:hAnsi="Times New Roman" w:cs="Times New Roman"/>
          <w:noProof/>
          <w:sz w:val="24"/>
          <w:szCs w:val="24"/>
        </w:rPr>
      </w:pPr>
    </w:p>
    <w:p w14:paraId="226215C4" w14:textId="77777777" w:rsidR="00653571" w:rsidRPr="008C5F1C" w:rsidRDefault="00653571" w:rsidP="00653571">
      <w:pPr>
        <w:rPr>
          <w:rFonts w:ascii="Times New Roman" w:eastAsia="Calibri" w:hAnsi="Times New Roman" w:cs="Times New Roman"/>
          <w:b/>
          <w:noProof/>
          <w:sz w:val="24"/>
          <w:szCs w:val="24"/>
          <w:lang w:eastAsia="en-GB"/>
        </w:rPr>
      </w:pPr>
      <w:r w:rsidRPr="008C5F1C">
        <w:rPr>
          <w:rFonts w:ascii="Times New Roman" w:eastAsia="Calibri" w:hAnsi="Times New Roman" w:cs="Times New Roman"/>
          <w:b/>
          <w:noProof/>
          <w:sz w:val="24"/>
          <w:szCs w:val="24"/>
          <w:lang w:eastAsia="en-GB"/>
        </w:rPr>
        <w:t>Table 18B: Transfer of ERDF and ESF+ resources from other programme(s) to the Just Transition Fund (JTF) in this programme</w:t>
      </w:r>
    </w:p>
    <w:tbl>
      <w:tblPr>
        <w:tblStyle w:val="TableGrid1"/>
        <w:tblW w:w="0" w:type="auto"/>
        <w:tblLook w:val="04A0" w:firstRow="1" w:lastRow="0" w:firstColumn="1" w:lastColumn="0" w:noHBand="0" w:noVBand="1"/>
      </w:tblPr>
      <w:tblGrid>
        <w:gridCol w:w="1857"/>
        <w:gridCol w:w="2362"/>
        <w:gridCol w:w="1701"/>
        <w:gridCol w:w="1701"/>
        <w:gridCol w:w="1667"/>
      </w:tblGrid>
      <w:tr w:rsidR="00653571" w:rsidRPr="008C5F1C" w14:paraId="5C0BF395" w14:textId="77777777" w:rsidTr="00534127">
        <w:tc>
          <w:tcPr>
            <w:tcW w:w="4219" w:type="dxa"/>
            <w:gridSpan w:val="2"/>
            <w:vMerge w:val="restart"/>
            <w:tcBorders>
              <w:tl2br w:val="single" w:sz="4" w:space="0" w:color="auto"/>
            </w:tcBorders>
          </w:tcPr>
          <w:p w14:paraId="27E9B2EE" w14:textId="77777777" w:rsidR="00653571" w:rsidRPr="008C5F1C" w:rsidRDefault="00653571" w:rsidP="00534127">
            <w:pPr>
              <w:spacing w:before="120" w:after="120"/>
              <w:rPr>
                <w:rFonts w:ascii="Times New Roman" w:hAnsi="Times New Roman" w:cs="Times New Roman"/>
                <w:noProof/>
                <w:sz w:val="20"/>
                <w:szCs w:val="20"/>
              </w:rPr>
            </w:pPr>
          </w:p>
        </w:tc>
        <w:tc>
          <w:tcPr>
            <w:tcW w:w="5069" w:type="dxa"/>
            <w:gridSpan w:val="3"/>
          </w:tcPr>
          <w:p w14:paraId="4B822D2D" w14:textId="77777777" w:rsidR="00653571" w:rsidRPr="008C5F1C" w:rsidRDefault="00653571" w:rsidP="00534127">
            <w:pPr>
              <w:spacing w:before="120" w:after="120"/>
              <w:rPr>
                <w:rFonts w:ascii="Times New Roman" w:hAnsi="Times New Roman" w:cs="Times New Roman"/>
                <w:b/>
                <w:noProof/>
                <w:sz w:val="20"/>
                <w:szCs w:val="20"/>
              </w:rPr>
            </w:pPr>
            <w:r w:rsidRPr="008C5F1C">
              <w:rPr>
                <w:rFonts w:ascii="Times New Roman" w:hAnsi="Times New Roman" w:cs="Times New Roman"/>
                <w:b/>
                <w:noProof/>
                <w:sz w:val="20"/>
                <w:szCs w:val="20"/>
              </w:rPr>
              <w:t>Complementary support to the JTF in this programme (CCI number)* per category of region</w:t>
            </w:r>
          </w:p>
        </w:tc>
      </w:tr>
      <w:tr w:rsidR="00653571" w:rsidRPr="008C5F1C" w14:paraId="04F1DB87" w14:textId="77777777" w:rsidTr="00534127">
        <w:tc>
          <w:tcPr>
            <w:tcW w:w="4219" w:type="dxa"/>
            <w:gridSpan w:val="2"/>
            <w:vMerge/>
            <w:tcBorders>
              <w:tl2br w:val="single" w:sz="4" w:space="0" w:color="auto"/>
            </w:tcBorders>
          </w:tcPr>
          <w:p w14:paraId="518C8BF8" w14:textId="77777777" w:rsidR="00653571" w:rsidRPr="008C5F1C" w:rsidRDefault="00653571" w:rsidP="00534127">
            <w:pPr>
              <w:spacing w:before="120" w:after="120"/>
              <w:rPr>
                <w:rFonts w:ascii="Times New Roman" w:hAnsi="Times New Roman" w:cs="Times New Roman"/>
                <w:noProof/>
                <w:sz w:val="20"/>
                <w:szCs w:val="20"/>
              </w:rPr>
            </w:pPr>
          </w:p>
        </w:tc>
        <w:tc>
          <w:tcPr>
            <w:tcW w:w="1701" w:type="dxa"/>
          </w:tcPr>
          <w:p w14:paraId="17E29811" w14:textId="77777777" w:rsidR="00653571" w:rsidRPr="008C5F1C" w:rsidRDefault="00653571" w:rsidP="00534127">
            <w:pPr>
              <w:spacing w:before="120" w:after="120"/>
              <w:jc w:val="center"/>
              <w:rPr>
                <w:rFonts w:ascii="Times New Roman" w:hAnsi="Times New Roman" w:cs="Times New Roman"/>
                <w:b/>
                <w:noProof/>
                <w:sz w:val="20"/>
                <w:szCs w:val="20"/>
              </w:rPr>
            </w:pPr>
            <w:r w:rsidRPr="008C5F1C">
              <w:rPr>
                <w:rFonts w:ascii="Times New Roman" w:hAnsi="Times New Roman" w:cs="Times New Roman"/>
                <w:b/>
                <w:noProof/>
                <w:sz w:val="20"/>
                <w:szCs w:val="20"/>
              </w:rPr>
              <w:t>More developed</w:t>
            </w:r>
          </w:p>
        </w:tc>
        <w:tc>
          <w:tcPr>
            <w:tcW w:w="1701" w:type="dxa"/>
          </w:tcPr>
          <w:p w14:paraId="6AF07806" w14:textId="77777777" w:rsidR="00653571" w:rsidRPr="008C5F1C" w:rsidRDefault="00653571" w:rsidP="00534127">
            <w:pPr>
              <w:spacing w:before="120" w:after="120"/>
              <w:jc w:val="center"/>
              <w:rPr>
                <w:rFonts w:ascii="Times New Roman" w:hAnsi="Times New Roman" w:cs="Times New Roman"/>
                <w:b/>
                <w:noProof/>
                <w:sz w:val="20"/>
                <w:szCs w:val="20"/>
              </w:rPr>
            </w:pPr>
            <w:r w:rsidRPr="008C5F1C">
              <w:rPr>
                <w:rFonts w:ascii="Times New Roman" w:hAnsi="Times New Roman" w:cs="Times New Roman"/>
                <w:b/>
                <w:noProof/>
                <w:sz w:val="20"/>
                <w:szCs w:val="20"/>
              </w:rPr>
              <w:t>Transition</w:t>
            </w:r>
          </w:p>
        </w:tc>
        <w:tc>
          <w:tcPr>
            <w:tcW w:w="1667" w:type="dxa"/>
          </w:tcPr>
          <w:p w14:paraId="263972B2" w14:textId="77777777" w:rsidR="00653571" w:rsidRPr="008C5F1C" w:rsidRDefault="00653571" w:rsidP="00534127">
            <w:pPr>
              <w:spacing w:before="120" w:after="120"/>
              <w:jc w:val="center"/>
              <w:rPr>
                <w:rFonts w:ascii="Times New Roman" w:hAnsi="Times New Roman" w:cs="Times New Roman"/>
                <w:b/>
                <w:noProof/>
                <w:sz w:val="20"/>
                <w:szCs w:val="20"/>
              </w:rPr>
            </w:pPr>
            <w:r w:rsidRPr="008C5F1C">
              <w:rPr>
                <w:rFonts w:ascii="Times New Roman" w:hAnsi="Times New Roman" w:cs="Times New Roman"/>
                <w:b/>
                <w:noProof/>
                <w:sz w:val="20"/>
                <w:szCs w:val="20"/>
              </w:rPr>
              <w:t>Less developed</w:t>
            </w:r>
          </w:p>
        </w:tc>
      </w:tr>
      <w:tr w:rsidR="00653571" w:rsidRPr="008C5F1C" w14:paraId="26CB2AA1" w14:textId="77777777" w:rsidTr="00534127">
        <w:tc>
          <w:tcPr>
            <w:tcW w:w="4219" w:type="dxa"/>
            <w:gridSpan w:val="2"/>
          </w:tcPr>
          <w:p w14:paraId="4D7F7ABF" w14:textId="77777777" w:rsidR="00653571" w:rsidRPr="008C5F1C" w:rsidRDefault="00653571" w:rsidP="00534127">
            <w:pPr>
              <w:spacing w:before="120" w:after="120"/>
              <w:rPr>
                <w:rFonts w:ascii="Times New Roman" w:hAnsi="Times New Roman" w:cs="Times New Roman"/>
                <w:b/>
                <w:noProof/>
                <w:sz w:val="20"/>
                <w:szCs w:val="20"/>
              </w:rPr>
            </w:pPr>
            <w:r w:rsidRPr="008C5F1C">
              <w:rPr>
                <w:rFonts w:ascii="Times New Roman" w:hAnsi="Times New Roman" w:cs="Times New Roman"/>
                <w:b/>
                <w:noProof/>
                <w:sz w:val="20"/>
                <w:szCs w:val="20"/>
              </w:rPr>
              <w:t>Transfer(s) from other programme(s)** per category of region</w:t>
            </w:r>
          </w:p>
        </w:tc>
        <w:tc>
          <w:tcPr>
            <w:tcW w:w="1701" w:type="dxa"/>
            <w:shd w:val="clear" w:color="auto" w:fill="BFBFBF" w:themeFill="background1" w:themeFillShade="BF"/>
          </w:tcPr>
          <w:p w14:paraId="2E94CDC6" w14:textId="77777777" w:rsidR="00653571" w:rsidRPr="008C5F1C" w:rsidRDefault="00653571" w:rsidP="00534127">
            <w:pPr>
              <w:spacing w:before="120" w:after="120"/>
              <w:rPr>
                <w:rFonts w:ascii="Times New Roman" w:hAnsi="Times New Roman" w:cs="Times New Roman"/>
                <w:noProof/>
                <w:sz w:val="20"/>
                <w:szCs w:val="20"/>
              </w:rPr>
            </w:pPr>
          </w:p>
        </w:tc>
        <w:tc>
          <w:tcPr>
            <w:tcW w:w="1701" w:type="dxa"/>
            <w:shd w:val="clear" w:color="auto" w:fill="BFBFBF" w:themeFill="background1" w:themeFillShade="BF"/>
          </w:tcPr>
          <w:p w14:paraId="1DA6FD59" w14:textId="77777777" w:rsidR="00653571" w:rsidRPr="008C5F1C" w:rsidRDefault="00653571" w:rsidP="00534127">
            <w:pPr>
              <w:spacing w:before="120" w:after="120"/>
              <w:rPr>
                <w:rFonts w:ascii="Times New Roman" w:hAnsi="Times New Roman" w:cs="Times New Roman"/>
                <w:noProof/>
                <w:sz w:val="20"/>
                <w:szCs w:val="20"/>
              </w:rPr>
            </w:pPr>
          </w:p>
        </w:tc>
        <w:tc>
          <w:tcPr>
            <w:tcW w:w="1667" w:type="dxa"/>
            <w:shd w:val="clear" w:color="auto" w:fill="BFBFBF" w:themeFill="background1" w:themeFillShade="BF"/>
          </w:tcPr>
          <w:p w14:paraId="2A51FFB2" w14:textId="77777777" w:rsidR="00653571" w:rsidRPr="008C5F1C" w:rsidRDefault="00653571" w:rsidP="00534127">
            <w:pPr>
              <w:spacing w:before="120" w:after="120"/>
              <w:rPr>
                <w:rFonts w:ascii="Times New Roman" w:hAnsi="Times New Roman" w:cs="Times New Roman"/>
                <w:noProof/>
                <w:sz w:val="20"/>
                <w:szCs w:val="20"/>
              </w:rPr>
            </w:pPr>
          </w:p>
        </w:tc>
      </w:tr>
      <w:tr w:rsidR="00653571" w:rsidRPr="008C5F1C" w14:paraId="2E980907" w14:textId="77777777" w:rsidTr="00534127">
        <w:tc>
          <w:tcPr>
            <w:tcW w:w="4219" w:type="dxa"/>
            <w:gridSpan w:val="2"/>
          </w:tcPr>
          <w:p w14:paraId="5B2F2998" w14:textId="77777777" w:rsidR="00653571" w:rsidRPr="008C5F1C" w:rsidRDefault="00653571" w:rsidP="00534127">
            <w:pPr>
              <w:spacing w:before="120" w:after="120"/>
              <w:rPr>
                <w:rFonts w:ascii="Times New Roman" w:hAnsi="Times New Roman" w:cs="Times New Roman"/>
                <w:b/>
                <w:noProof/>
                <w:sz w:val="20"/>
                <w:szCs w:val="20"/>
              </w:rPr>
            </w:pPr>
            <w:r w:rsidRPr="008C5F1C">
              <w:rPr>
                <w:rFonts w:ascii="Times New Roman" w:hAnsi="Times New Roman" w:cs="Times New Roman"/>
                <w:b/>
                <w:noProof/>
                <w:sz w:val="20"/>
                <w:szCs w:val="20"/>
              </w:rPr>
              <w:t>Programme 1 (CCI number)</w:t>
            </w:r>
          </w:p>
        </w:tc>
        <w:tc>
          <w:tcPr>
            <w:tcW w:w="1701" w:type="dxa"/>
            <w:shd w:val="clear" w:color="auto" w:fill="BFBFBF" w:themeFill="background1" w:themeFillShade="BF"/>
          </w:tcPr>
          <w:p w14:paraId="3B5B9485" w14:textId="77777777" w:rsidR="00653571" w:rsidRPr="008C5F1C" w:rsidRDefault="00653571" w:rsidP="00534127">
            <w:pPr>
              <w:spacing w:before="120" w:after="120"/>
              <w:rPr>
                <w:rFonts w:ascii="Times New Roman" w:hAnsi="Times New Roman" w:cs="Times New Roman"/>
                <w:noProof/>
                <w:sz w:val="20"/>
                <w:szCs w:val="20"/>
              </w:rPr>
            </w:pPr>
          </w:p>
        </w:tc>
        <w:tc>
          <w:tcPr>
            <w:tcW w:w="1701" w:type="dxa"/>
            <w:shd w:val="clear" w:color="auto" w:fill="BFBFBF" w:themeFill="background1" w:themeFillShade="BF"/>
          </w:tcPr>
          <w:p w14:paraId="435D8629" w14:textId="77777777" w:rsidR="00653571" w:rsidRPr="008C5F1C" w:rsidRDefault="00653571" w:rsidP="00534127">
            <w:pPr>
              <w:spacing w:before="120" w:after="120"/>
              <w:rPr>
                <w:rFonts w:ascii="Times New Roman" w:hAnsi="Times New Roman" w:cs="Times New Roman"/>
                <w:noProof/>
                <w:sz w:val="20"/>
                <w:szCs w:val="20"/>
              </w:rPr>
            </w:pPr>
          </w:p>
        </w:tc>
        <w:tc>
          <w:tcPr>
            <w:tcW w:w="1667" w:type="dxa"/>
            <w:shd w:val="clear" w:color="auto" w:fill="BFBFBF" w:themeFill="background1" w:themeFillShade="BF"/>
          </w:tcPr>
          <w:p w14:paraId="75F0B68C" w14:textId="77777777" w:rsidR="00653571" w:rsidRPr="008C5F1C" w:rsidRDefault="00653571" w:rsidP="00534127">
            <w:pPr>
              <w:spacing w:before="120" w:after="120"/>
              <w:rPr>
                <w:rFonts w:ascii="Times New Roman" w:hAnsi="Times New Roman" w:cs="Times New Roman"/>
                <w:noProof/>
                <w:sz w:val="20"/>
                <w:szCs w:val="20"/>
              </w:rPr>
            </w:pPr>
          </w:p>
        </w:tc>
      </w:tr>
      <w:tr w:rsidR="00653571" w:rsidRPr="008C5F1C" w14:paraId="77681CBC" w14:textId="77777777" w:rsidTr="00534127">
        <w:tc>
          <w:tcPr>
            <w:tcW w:w="1857" w:type="dxa"/>
          </w:tcPr>
          <w:p w14:paraId="199F283D" w14:textId="77777777" w:rsidR="00653571" w:rsidRPr="008C5F1C" w:rsidRDefault="00653571" w:rsidP="00534127">
            <w:pPr>
              <w:spacing w:before="120" w:after="120"/>
              <w:rPr>
                <w:rFonts w:ascii="Times New Roman" w:hAnsi="Times New Roman" w:cs="Times New Roman"/>
                <w:b/>
                <w:noProof/>
                <w:sz w:val="20"/>
                <w:szCs w:val="20"/>
              </w:rPr>
            </w:pPr>
            <w:r w:rsidRPr="008C5F1C">
              <w:rPr>
                <w:rFonts w:ascii="Times New Roman" w:hAnsi="Times New Roman" w:cs="Times New Roman"/>
                <w:b/>
                <w:noProof/>
                <w:sz w:val="20"/>
                <w:szCs w:val="20"/>
              </w:rPr>
              <w:t>ERDF</w:t>
            </w:r>
          </w:p>
        </w:tc>
        <w:tc>
          <w:tcPr>
            <w:tcW w:w="2362" w:type="dxa"/>
          </w:tcPr>
          <w:p w14:paraId="09D765B5" w14:textId="77777777" w:rsidR="00653571" w:rsidRPr="008C5F1C" w:rsidRDefault="00653571" w:rsidP="00534127">
            <w:pPr>
              <w:spacing w:before="120" w:after="120"/>
              <w:rPr>
                <w:rFonts w:ascii="Times New Roman" w:hAnsi="Times New Roman" w:cs="Times New Roman"/>
                <w:noProof/>
                <w:sz w:val="20"/>
                <w:szCs w:val="20"/>
              </w:rPr>
            </w:pPr>
            <w:r w:rsidRPr="008C5F1C">
              <w:rPr>
                <w:rFonts w:ascii="Times New Roman" w:hAnsi="Times New Roman" w:cs="Times New Roman"/>
                <w:noProof/>
                <w:sz w:val="20"/>
                <w:szCs w:val="20"/>
              </w:rPr>
              <w:t>More developed</w:t>
            </w:r>
          </w:p>
        </w:tc>
        <w:tc>
          <w:tcPr>
            <w:tcW w:w="1701" w:type="dxa"/>
          </w:tcPr>
          <w:p w14:paraId="2765976A" w14:textId="77777777" w:rsidR="00653571" w:rsidRPr="008C5F1C" w:rsidRDefault="00653571" w:rsidP="00534127">
            <w:pPr>
              <w:spacing w:before="120" w:after="120"/>
              <w:rPr>
                <w:rFonts w:ascii="Times New Roman" w:hAnsi="Times New Roman" w:cs="Times New Roman"/>
                <w:noProof/>
                <w:sz w:val="20"/>
                <w:szCs w:val="20"/>
              </w:rPr>
            </w:pPr>
          </w:p>
        </w:tc>
        <w:tc>
          <w:tcPr>
            <w:tcW w:w="1701" w:type="dxa"/>
          </w:tcPr>
          <w:p w14:paraId="7F6E7BFF" w14:textId="77777777" w:rsidR="00653571" w:rsidRPr="008C5F1C" w:rsidRDefault="00653571" w:rsidP="00534127">
            <w:pPr>
              <w:spacing w:before="120" w:after="120"/>
              <w:rPr>
                <w:rFonts w:ascii="Times New Roman" w:hAnsi="Times New Roman" w:cs="Times New Roman"/>
                <w:noProof/>
                <w:sz w:val="20"/>
                <w:szCs w:val="20"/>
              </w:rPr>
            </w:pPr>
          </w:p>
        </w:tc>
        <w:tc>
          <w:tcPr>
            <w:tcW w:w="1667" w:type="dxa"/>
          </w:tcPr>
          <w:p w14:paraId="4C97D235" w14:textId="77777777" w:rsidR="00653571" w:rsidRPr="008C5F1C" w:rsidRDefault="00653571" w:rsidP="00534127">
            <w:pPr>
              <w:spacing w:before="120" w:after="120"/>
              <w:rPr>
                <w:rFonts w:ascii="Times New Roman" w:hAnsi="Times New Roman" w:cs="Times New Roman"/>
                <w:noProof/>
                <w:sz w:val="20"/>
                <w:szCs w:val="20"/>
              </w:rPr>
            </w:pPr>
          </w:p>
        </w:tc>
      </w:tr>
      <w:tr w:rsidR="00653571" w:rsidRPr="008C5F1C" w14:paraId="0929778D" w14:textId="77777777" w:rsidTr="00534127">
        <w:tc>
          <w:tcPr>
            <w:tcW w:w="1857" w:type="dxa"/>
          </w:tcPr>
          <w:p w14:paraId="70233E32" w14:textId="77777777" w:rsidR="00653571" w:rsidRPr="008C5F1C" w:rsidRDefault="00653571" w:rsidP="00534127">
            <w:pPr>
              <w:spacing w:before="120" w:after="120"/>
              <w:rPr>
                <w:rFonts w:ascii="Times New Roman" w:hAnsi="Times New Roman" w:cs="Times New Roman"/>
                <w:noProof/>
                <w:sz w:val="20"/>
                <w:szCs w:val="20"/>
              </w:rPr>
            </w:pPr>
          </w:p>
        </w:tc>
        <w:tc>
          <w:tcPr>
            <w:tcW w:w="2362" w:type="dxa"/>
          </w:tcPr>
          <w:p w14:paraId="13160591" w14:textId="77777777" w:rsidR="00653571" w:rsidRPr="008C5F1C" w:rsidRDefault="00653571" w:rsidP="00534127">
            <w:pPr>
              <w:spacing w:before="120" w:after="120"/>
              <w:rPr>
                <w:rFonts w:ascii="Times New Roman" w:hAnsi="Times New Roman" w:cs="Times New Roman"/>
                <w:noProof/>
                <w:sz w:val="20"/>
                <w:szCs w:val="20"/>
              </w:rPr>
            </w:pPr>
            <w:r w:rsidRPr="008C5F1C">
              <w:rPr>
                <w:rFonts w:ascii="Times New Roman" w:hAnsi="Times New Roman" w:cs="Times New Roman"/>
                <w:noProof/>
                <w:sz w:val="20"/>
                <w:szCs w:val="20"/>
              </w:rPr>
              <w:t>Transition</w:t>
            </w:r>
          </w:p>
        </w:tc>
        <w:tc>
          <w:tcPr>
            <w:tcW w:w="1701" w:type="dxa"/>
          </w:tcPr>
          <w:p w14:paraId="4EE059D3" w14:textId="77777777" w:rsidR="00653571" w:rsidRPr="008C5F1C" w:rsidRDefault="00653571" w:rsidP="00534127">
            <w:pPr>
              <w:spacing w:before="120" w:after="120"/>
              <w:rPr>
                <w:rFonts w:ascii="Times New Roman" w:hAnsi="Times New Roman" w:cs="Times New Roman"/>
                <w:noProof/>
                <w:sz w:val="20"/>
                <w:szCs w:val="20"/>
              </w:rPr>
            </w:pPr>
          </w:p>
        </w:tc>
        <w:tc>
          <w:tcPr>
            <w:tcW w:w="1701" w:type="dxa"/>
          </w:tcPr>
          <w:p w14:paraId="0FE2DECE" w14:textId="77777777" w:rsidR="00653571" w:rsidRPr="008C5F1C" w:rsidRDefault="00653571" w:rsidP="00534127">
            <w:pPr>
              <w:spacing w:before="120" w:after="120"/>
              <w:rPr>
                <w:rFonts w:ascii="Times New Roman" w:hAnsi="Times New Roman" w:cs="Times New Roman"/>
                <w:noProof/>
                <w:sz w:val="20"/>
                <w:szCs w:val="20"/>
              </w:rPr>
            </w:pPr>
          </w:p>
        </w:tc>
        <w:tc>
          <w:tcPr>
            <w:tcW w:w="1667" w:type="dxa"/>
          </w:tcPr>
          <w:p w14:paraId="0D8A2E93" w14:textId="77777777" w:rsidR="00653571" w:rsidRPr="008C5F1C" w:rsidRDefault="00653571" w:rsidP="00534127">
            <w:pPr>
              <w:spacing w:before="120" w:after="120"/>
              <w:rPr>
                <w:rFonts w:ascii="Times New Roman" w:hAnsi="Times New Roman" w:cs="Times New Roman"/>
                <w:noProof/>
                <w:sz w:val="20"/>
                <w:szCs w:val="20"/>
              </w:rPr>
            </w:pPr>
          </w:p>
        </w:tc>
      </w:tr>
      <w:tr w:rsidR="00653571" w:rsidRPr="008C5F1C" w14:paraId="77B1ABF6" w14:textId="77777777" w:rsidTr="00534127">
        <w:tc>
          <w:tcPr>
            <w:tcW w:w="1857" w:type="dxa"/>
          </w:tcPr>
          <w:p w14:paraId="16DC0DE7" w14:textId="77777777" w:rsidR="00653571" w:rsidRPr="008C5F1C" w:rsidRDefault="00653571" w:rsidP="00534127">
            <w:pPr>
              <w:spacing w:before="120" w:after="120"/>
              <w:rPr>
                <w:rFonts w:ascii="Times New Roman" w:hAnsi="Times New Roman" w:cs="Times New Roman"/>
                <w:noProof/>
                <w:sz w:val="20"/>
                <w:szCs w:val="20"/>
              </w:rPr>
            </w:pPr>
          </w:p>
        </w:tc>
        <w:tc>
          <w:tcPr>
            <w:tcW w:w="2362" w:type="dxa"/>
          </w:tcPr>
          <w:p w14:paraId="130E1ACE" w14:textId="77777777" w:rsidR="00653571" w:rsidRPr="008C5F1C" w:rsidRDefault="00653571" w:rsidP="00534127">
            <w:pPr>
              <w:spacing w:before="120" w:after="120"/>
              <w:rPr>
                <w:rFonts w:ascii="Times New Roman" w:hAnsi="Times New Roman" w:cs="Times New Roman"/>
                <w:noProof/>
                <w:sz w:val="20"/>
                <w:szCs w:val="20"/>
              </w:rPr>
            </w:pPr>
            <w:r w:rsidRPr="008C5F1C">
              <w:rPr>
                <w:rFonts w:ascii="Times New Roman" w:hAnsi="Times New Roman" w:cs="Times New Roman"/>
                <w:noProof/>
                <w:sz w:val="20"/>
                <w:szCs w:val="20"/>
              </w:rPr>
              <w:t>Less developed</w:t>
            </w:r>
          </w:p>
        </w:tc>
        <w:tc>
          <w:tcPr>
            <w:tcW w:w="1701" w:type="dxa"/>
          </w:tcPr>
          <w:p w14:paraId="1F271A0B" w14:textId="77777777" w:rsidR="00653571" w:rsidRPr="008C5F1C" w:rsidRDefault="00653571" w:rsidP="00534127">
            <w:pPr>
              <w:spacing w:before="120" w:after="120"/>
              <w:rPr>
                <w:rFonts w:ascii="Times New Roman" w:hAnsi="Times New Roman" w:cs="Times New Roman"/>
                <w:noProof/>
                <w:sz w:val="20"/>
                <w:szCs w:val="20"/>
              </w:rPr>
            </w:pPr>
          </w:p>
        </w:tc>
        <w:tc>
          <w:tcPr>
            <w:tcW w:w="1701" w:type="dxa"/>
          </w:tcPr>
          <w:p w14:paraId="3A1EDD3B" w14:textId="77777777" w:rsidR="00653571" w:rsidRPr="008C5F1C" w:rsidRDefault="00653571" w:rsidP="00534127">
            <w:pPr>
              <w:spacing w:before="120" w:after="120"/>
              <w:rPr>
                <w:rFonts w:ascii="Times New Roman" w:hAnsi="Times New Roman" w:cs="Times New Roman"/>
                <w:noProof/>
                <w:sz w:val="20"/>
                <w:szCs w:val="20"/>
              </w:rPr>
            </w:pPr>
          </w:p>
        </w:tc>
        <w:tc>
          <w:tcPr>
            <w:tcW w:w="1667" w:type="dxa"/>
          </w:tcPr>
          <w:p w14:paraId="4D19F3FA" w14:textId="77777777" w:rsidR="00653571" w:rsidRPr="008C5F1C" w:rsidRDefault="00653571" w:rsidP="00534127">
            <w:pPr>
              <w:spacing w:before="120" w:after="120"/>
              <w:rPr>
                <w:rFonts w:ascii="Times New Roman" w:hAnsi="Times New Roman" w:cs="Times New Roman"/>
                <w:noProof/>
                <w:sz w:val="20"/>
                <w:szCs w:val="20"/>
              </w:rPr>
            </w:pPr>
          </w:p>
        </w:tc>
      </w:tr>
      <w:tr w:rsidR="00653571" w:rsidRPr="008C5F1C" w14:paraId="7315B92D" w14:textId="77777777" w:rsidTr="00534127">
        <w:tc>
          <w:tcPr>
            <w:tcW w:w="1857" w:type="dxa"/>
          </w:tcPr>
          <w:p w14:paraId="761EFD04" w14:textId="77777777" w:rsidR="00653571" w:rsidRPr="008C5F1C" w:rsidRDefault="00653571" w:rsidP="00534127">
            <w:pPr>
              <w:spacing w:before="120" w:after="120"/>
              <w:rPr>
                <w:rFonts w:ascii="Times New Roman" w:hAnsi="Times New Roman" w:cs="Times New Roman"/>
                <w:noProof/>
                <w:sz w:val="20"/>
                <w:szCs w:val="20"/>
              </w:rPr>
            </w:pPr>
          </w:p>
        </w:tc>
        <w:tc>
          <w:tcPr>
            <w:tcW w:w="2362" w:type="dxa"/>
          </w:tcPr>
          <w:p w14:paraId="1DDD7E03" w14:textId="77777777" w:rsidR="00653571" w:rsidRPr="008C5F1C" w:rsidRDefault="00653571" w:rsidP="00534127">
            <w:pPr>
              <w:spacing w:before="120" w:after="120"/>
              <w:rPr>
                <w:rFonts w:ascii="Times New Roman" w:hAnsi="Times New Roman" w:cs="Times New Roman"/>
                <w:noProof/>
                <w:sz w:val="20"/>
                <w:szCs w:val="20"/>
              </w:rPr>
            </w:pPr>
            <w:r w:rsidRPr="008C5F1C">
              <w:rPr>
                <w:rFonts w:ascii="Times New Roman" w:hAnsi="Times New Roman" w:cs="Times New Roman"/>
                <w:noProof/>
                <w:sz w:val="20"/>
                <w:szCs w:val="20"/>
              </w:rPr>
              <w:t>Outermost and northern sparsely populated</w:t>
            </w:r>
          </w:p>
        </w:tc>
        <w:tc>
          <w:tcPr>
            <w:tcW w:w="1701" w:type="dxa"/>
          </w:tcPr>
          <w:p w14:paraId="553800CC" w14:textId="77777777" w:rsidR="00653571" w:rsidRPr="008C5F1C" w:rsidRDefault="00653571" w:rsidP="00534127">
            <w:pPr>
              <w:spacing w:before="120" w:after="120"/>
              <w:rPr>
                <w:rFonts w:ascii="Times New Roman" w:hAnsi="Times New Roman" w:cs="Times New Roman"/>
                <w:noProof/>
                <w:sz w:val="20"/>
                <w:szCs w:val="20"/>
              </w:rPr>
            </w:pPr>
          </w:p>
        </w:tc>
        <w:tc>
          <w:tcPr>
            <w:tcW w:w="1701" w:type="dxa"/>
          </w:tcPr>
          <w:p w14:paraId="6083656E" w14:textId="77777777" w:rsidR="00653571" w:rsidRPr="008C5F1C" w:rsidRDefault="00653571" w:rsidP="00534127">
            <w:pPr>
              <w:spacing w:before="120" w:after="120"/>
              <w:rPr>
                <w:rFonts w:ascii="Times New Roman" w:hAnsi="Times New Roman" w:cs="Times New Roman"/>
                <w:noProof/>
                <w:sz w:val="20"/>
                <w:szCs w:val="20"/>
              </w:rPr>
            </w:pPr>
          </w:p>
        </w:tc>
        <w:tc>
          <w:tcPr>
            <w:tcW w:w="1667" w:type="dxa"/>
          </w:tcPr>
          <w:p w14:paraId="2BD70634" w14:textId="77777777" w:rsidR="00653571" w:rsidRPr="008C5F1C" w:rsidRDefault="00653571" w:rsidP="00534127">
            <w:pPr>
              <w:spacing w:before="120" w:after="120"/>
              <w:rPr>
                <w:rFonts w:ascii="Times New Roman" w:hAnsi="Times New Roman" w:cs="Times New Roman"/>
                <w:noProof/>
                <w:sz w:val="20"/>
                <w:szCs w:val="20"/>
              </w:rPr>
            </w:pPr>
          </w:p>
        </w:tc>
      </w:tr>
      <w:tr w:rsidR="00653571" w:rsidRPr="008C5F1C" w14:paraId="37506F35" w14:textId="77777777" w:rsidTr="00534127">
        <w:tc>
          <w:tcPr>
            <w:tcW w:w="1857" w:type="dxa"/>
          </w:tcPr>
          <w:p w14:paraId="236DEDB5" w14:textId="77777777" w:rsidR="00653571" w:rsidRPr="008C5F1C" w:rsidRDefault="00653571" w:rsidP="00534127">
            <w:pPr>
              <w:spacing w:before="120" w:after="120"/>
              <w:rPr>
                <w:rFonts w:ascii="Times New Roman" w:hAnsi="Times New Roman" w:cs="Times New Roman"/>
                <w:b/>
                <w:noProof/>
                <w:sz w:val="20"/>
                <w:szCs w:val="20"/>
              </w:rPr>
            </w:pPr>
            <w:r w:rsidRPr="008C5F1C">
              <w:rPr>
                <w:rFonts w:ascii="Times New Roman" w:hAnsi="Times New Roman" w:cs="Times New Roman"/>
                <w:b/>
                <w:noProof/>
                <w:sz w:val="20"/>
                <w:szCs w:val="20"/>
              </w:rPr>
              <w:t>ESF+</w:t>
            </w:r>
          </w:p>
        </w:tc>
        <w:tc>
          <w:tcPr>
            <w:tcW w:w="2362" w:type="dxa"/>
          </w:tcPr>
          <w:p w14:paraId="4B45040E" w14:textId="77777777" w:rsidR="00653571" w:rsidRPr="008C5F1C" w:rsidRDefault="00653571" w:rsidP="00534127">
            <w:pPr>
              <w:spacing w:before="60" w:after="60"/>
              <w:rPr>
                <w:rFonts w:ascii="Times New Roman" w:eastAsia="Times New Roman" w:hAnsi="Times New Roman" w:cs="Times New Roman"/>
                <w:noProof/>
                <w:sz w:val="18"/>
                <w:szCs w:val="20"/>
              </w:rPr>
            </w:pPr>
            <w:r w:rsidRPr="008C5F1C">
              <w:rPr>
                <w:rFonts w:ascii="Times New Roman" w:eastAsia="Times New Roman" w:hAnsi="Times New Roman" w:cs="Times New Roman"/>
                <w:noProof/>
                <w:sz w:val="18"/>
                <w:szCs w:val="20"/>
              </w:rPr>
              <w:t>More developed</w:t>
            </w:r>
          </w:p>
        </w:tc>
        <w:tc>
          <w:tcPr>
            <w:tcW w:w="1701" w:type="dxa"/>
          </w:tcPr>
          <w:p w14:paraId="31B97BFB" w14:textId="77777777" w:rsidR="00653571" w:rsidRPr="008C5F1C" w:rsidRDefault="00653571" w:rsidP="00534127">
            <w:pPr>
              <w:spacing w:before="120" w:after="120"/>
              <w:rPr>
                <w:rFonts w:ascii="Times New Roman" w:hAnsi="Times New Roman" w:cs="Times New Roman"/>
                <w:noProof/>
                <w:sz w:val="20"/>
                <w:szCs w:val="20"/>
              </w:rPr>
            </w:pPr>
          </w:p>
        </w:tc>
        <w:tc>
          <w:tcPr>
            <w:tcW w:w="1701" w:type="dxa"/>
          </w:tcPr>
          <w:p w14:paraId="33D61F6E" w14:textId="77777777" w:rsidR="00653571" w:rsidRPr="008C5F1C" w:rsidRDefault="00653571" w:rsidP="00534127">
            <w:pPr>
              <w:spacing w:before="120" w:after="120"/>
              <w:rPr>
                <w:rFonts w:ascii="Times New Roman" w:hAnsi="Times New Roman" w:cs="Times New Roman"/>
                <w:noProof/>
                <w:sz w:val="20"/>
                <w:szCs w:val="20"/>
              </w:rPr>
            </w:pPr>
          </w:p>
        </w:tc>
        <w:tc>
          <w:tcPr>
            <w:tcW w:w="1667" w:type="dxa"/>
          </w:tcPr>
          <w:p w14:paraId="3880913C" w14:textId="77777777" w:rsidR="00653571" w:rsidRPr="008C5F1C" w:rsidRDefault="00653571" w:rsidP="00534127">
            <w:pPr>
              <w:spacing w:before="120" w:after="120"/>
              <w:rPr>
                <w:rFonts w:ascii="Times New Roman" w:hAnsi="Times New Roman" w:cs="Times New Roman"/>
                <w:noProof/>
                <w:sz w:val="20"/>
                <w:szCs w:val="20"/>
              </w:rPr>
            </w:pPr>
          </w:p>
        </w:tc>
      </w:tr>
      <w:tr w:rsidR="00653571" w:rsidRPr="008C5F1C" w14:paraId="49F4BFFD" w14:textId="77777777" w:rsidTr="00534127">
        <w:tc>
          <w:tcPr>
            <w:tcW w:w="1857" w:type="dxa"/>
          </w:tcPr>
          <w:p w14:paraId="23C717E0" w14:textId="77777777" w:rsidR="00653571" w:rsidRPr="008C5F1C" w:rsidRDefault="00653571" w:rsidP="00534127">
            <w:pPr>
              <w:spacing w:before="120" w:after="120"/>
              <w:rPr>
                <w:rFonts w:ascii="Times New Roman" w:hAnsi="Times New Roman" w:cs="Times New Roman"/>
                <w:noProof/>
                <w:sz w:val="20"/>
                <w:szCs w:val="20"/>
              </w:rPr>
            </w:pPr>
          </w:p>
        </w:tc>
        <w:tc>
          <w:tcPr>
            <w:tcW w:w="2362" w:type="dxa"/>
          </w:tcPr>
          <w:p w14:paraId="27EBBB20" w14:textId="77777777" w:rsidR="00653571" w:rsidRPr="008C5F1C" w:rsidRDefault="00653571" w:rsidP="00534127">
            <w:pPr>
              <w:spacing w:before="60" w:after="60"/>
              <w:rPr>
                <w:rFonts w:ascii="Times New Roman" w:eastAsia="Times New Roman" w:hAnsi="Times New Roman" w:cs="Times New Roman"/>
                <w:noProof/>
                <w:sz w:val="18"/>
                <w:szCs w:val="20"/>
              </w:rPr>
            </w:pPr>
            <w:r w:rsidRPr="008C5F1C">
              <w:rPr>
                <w:rFonts w:ascii="Times New Roman" w:hAnsi="Times New Roman" w:cs="Times New Roman"/>
                <w:noProof/>
                <w:sz w:val="18"/>
                <w:szCs w:val="20"/>
              </w:rPr>
              <w:t>Transition</w:t>
            </w:r>
          </w:p>
        </w:tc>
        <w:tc>
          <w:tcPr>
            <w:tcW w:w="1701" w:type="dxa"/>
          </w:tcPr>
          <w:p w14:paraId="197690CC" w14:textId="77777777" w:rsidR="00653571" w:rsidRPr="008C5F1C" w:rsidRDefault="00653571" w:rsidP="00534127">
            <w:pPr>
              <w:spacing w:before="120" w:after="120"/>
              <w:rPr>
                <w:rFonts w:ascii="Times New Roman" w:hAnsi="Times New Roman" w:cs="Times New Roman"/>
                <w:noProof/>
                <w:sz w:val="20"/>
                <w:szCs w:val="20"/>
              </w:rPr>
            </w:pPr>
          </w:p>
        </w:tc>
        <w:tc>
          <w:tcPr>
            <w:tcW w:w="1701" w:type="dxa"/>
          </w:tcPr>
          <w:p w14:paraId="749D913D" w14:textId="77777777" w:rsidR="00653571" w:rsidRPr="008C5F1C" w:rsidRDefault="00653571" w:rsidP="00534127">
            <w:pPr>
              <w:spacing w:before="120" w:after="120"/>
              <w:rPr>
                <w:rFonts w:ascii="Times New Roman" w:hAnsi="Times New Roman" w:cs="Times New Roman"/>
                <w:noProof/>
                <w:sz w:val="20"/>
                <w:szCs w:val="20"/>
              </w:rPr>
            </w:pPr>
          </w:p>
        </w:tc>
        <w:tc>
          <w:tcPr>
            <w:tcW w:w="1667" w:type="dxa"/>
          </w:tcPr>
          <w:p w14:paraId="5BD9B4AA" w14:textId="77777777" w:rsidR="00653571" w:rsidRPr="008C5F1C" w:rsidRDefault="00653571" w:rsidP="00534127">
            <w:pPr>
              <w:spacing w:before="120" w:after="120"/>
              <w:rPr>
                <w:rFonts w:ascii="Times New Roman" w:hAnsi="Times New Roman" w:cs="Times New Roman"/>
                <w:noProof/>
                <w:sz w:val="20"/>
                <w:szCs w:val="20"/>
              </w:rPr>
            </w:pPr>
          </w:p>
        </w:tc>
      </w:tr>
      <w:tr w:rsidR="00653571" w:rsidRPr="008C5F1C" w14:paraId="617657A2" w14:textId="77777777" w:rsidTr="00534127">
        <w:tc>
          <w:tcPr>
            <w:tcW w:w="1857" w:type="dxa"/>
          </w:tcPr>
          <w:p w14:paraId="4D762BC5" w14:textId="77777777" w:rsidR="00653571" w:rsidRPr="008C5F1C" w:rsidRDefault="00653571" w:rsidP="00534127">
            <w:pPr>
              <w:spacing w:before="120" w:after="120"/>
              <w:rPr>
                <w:rFonts w:ascii="Times New Roman" w:hAnsi="Times New Roman" w:cs="Times New Roman"/>
                <w:noProof/>
                <w:sz w:val="20"/>
                <w:szCs w:val="20"/>
              </w:rPr>
            </w:pPr>
          </w:p>
        </w:tc>
        <w:tc>
          <w:tcPr>
            <w:tcW w:w="2362" w:type="dxa"/>
          </w:tcPr>
          <w:p w14:paraId="4979FCC2" w14:textId="77777777" w:rsidR="00653571" w:rsidRPr="008C5F1C" w:rsidRDefault="00653571" w:rsidP="00534127">
            <w:pPr>
              <w:spacing w:before="60" w:after="60"/>
              <w:rPr>
                <w:rFonts w:ascii="Times New Roman" w:hAnsi="Times New Roman" w:cs="Times New Roman"/>
                <w:noProof/>
                <w:sz w:val="18"/>
                <w:szCs w:val="20"/>
              </w:rPr>
            </w:pPr>
            <w:r w:rsidRPr="008C5F1C">
              <w:rPr>
                <w:rFonts w:ascii="Times New Roman" w:eastAsia="Times New Roman" w:hAnsi="Times New Roman" w:cs="Times New Roman"/>
                <w:noProof/>
                <w:sz w:val="18"/>
                <w:szCs w:val="20"/>
              </w:rPr>
              <w:t>Less developed</w:t>
            </w:r>
          </w:p>
        </w:tc>
        <w:tc>
          <w:tcPr>
            <w:tcW w:w="1701" w:type="dxa"/>
          </w:tcPr>
          <w:p w14:paraId="67E2704C" w14:textId="77777777" w:rsidR="00653571" w:rsidRPr="008C5F1C" w:rsidRDefault="00653571" w:rsidP="00534127">
            <w:pPr>
              <w:spacing w:before="120" w:after="120"/>
              <w:rPr>
                <w:rFonts w:ascii="Times New Roman" w:hAnsi="Times New Roman" w:cs="Times New Roman"/>
                <w:noProof/>
                <w:sz w:val="20"/>
                <w:szCs w:val="20"/>
              </w:rPr>
            </w:pPr>
          </w:p>
        </w:tc>
        <w:tc>
          <w:tcPr>
            <w:tcW w:w="1701" w:type="dxa"/>
          </w:tcPr>
          <w:p w14:paraId="74FAFAEF" w14:textId="77777777" w:rsidR="00653571" w:rsidRPr="008C5F1C" w:rsidRDefault="00653571" w:rsidP="00534127">
            <w:pPr>
              <w:spacing w:before="120" w:after="120"/>
              <w:rPr>
                <w:rFonts w:ascii="Times New Roman" w:hAnsi="Times New Roman" w:cs="Times New Roman"/>
                <w:noProof/>
                <w:sz w:val="20"/>
                <w:szCs w:val="20"/>
              </w:rPr>
            </w:pPr>
          </w:p>
        </w:tc>
        <w:tc>
          <w:tcPr>
            <w:tcW w:w="1667" w:type="dxa"/>
          </w:tcPr>
          <w:p w14:paraId="5B798F2B" w14:textId="77777777" w:rsidR="00653571" w:rsidRPr="008C5F1C" w:rsidRDefault="00653571" w:rsidP="00534127">
            <w:pPr>
              <w:spacing w:before="120" w:after="120"/>
              <w:rPr>
                <w:rFonts w:ascii="Times New Roman" w:hAnsi="Times New Roman" w:cs="Times New Roman"/>
                <w:noProof/>
                <w:sz w:val="20"/>
                <w:szCs w:val="20"/>
              </w:rPr>
            </w:pPr>
          </w:p>
        </w:tc>
      </w:tr>
      <w:tr w:rsidR="00653571" w:rsidRPr="008C5F1C" w14:paraId="49AC1589" w14:textId="77777777" w:rsidTr="00534127">
        <w:tc>
          <w:tcPr>
            <w:tcW w:w="1857" w:type="dxa"/>
          </w:tcPr>
          <w:p w14:paraId="140CDB17" w14:textId="77777777" w:rsidR="00653571" w:rsidRPr="008C5F1C" w:rsidRDefault="00653571" w:rsidP="00534127">
            <w:pPr>
              <w:spacing w:before="120" w:after="120"/>
              <w:rPr>
                <w:rFonts w:ascii="Times New Roman" w:hAnsi="Times New Roman" w:cs="Times New Roman"/>
                <w:noProof/>
                <w:sz w:val="20"/>
                <w:szCs w:val="20"/>
              </w:rPr>
            </w:pPr>
          </w:p>
        </w:tc>
        <w:tc>
          <w:tcPr>
            <w:tcW w:w="2362" w:type="dxa"/>
          </w:tcPr>
          <w:p w14:paraId="4C3DB0C9" w14:textId="77777777" w:rsidR="00653571" w:rsidRPr="008C5F1C" w:rsidRDefault="00653571" w:rsidP="00534127">
            <w:pPr>
              <w:spacing w:before="60" w:after="60"/>
              <w:rPr>
                <w:rFonts w:ascii="Times New Roman" w:eastAsia="Times New Roman" w:hAnsi="Times New Roman" w:cs="Times New Roman"/>
                <w:noProof/>
                <w:sz w:val="18"/>
                <w:szCs w:val="20"/>
              </w:rPr>
            </w:pPr>
            <w:r w:rsidRPr="008C5F1C">
              <w:rPr>
                <w:rFonts w:ascii="Times New Roman" w:hAnsi="Times New Roman" w:cs="Times New Roman"/>
                <w:noProof/>
                <w:sz w:val="18"/>
                <w:szCs w:val="20"/>
              </w:rPr>
              <w:t>Outermost and northern sparsely populated</w:t>
            </w:r>
          </w:p>
        </w:tc>
        <w:tc>
          <w:tcPr>
            <w:tcW w:w="1701" w:type="dxa"/>
          </w:tcPr>
          <w:p w14:paraId="75B3E808" w14:textId="77777777" w:rsidR="00653571" w:rsidRPr="008C5F1C" w:rsidRDefault="00653571" w:rsidP="00534127">
            <w:pPr>
              <w:spacing w:before="120" w:after="120"/>
              <w:rPr>
                <w:rFonts w:ascii="Times New Roman" w:hAnsi="Times New Roman" w:cs="Times New Roman"/>
                <w:noProof/>
                <w:sz w:val="20"/>
                <w:szCs w:val="20"/>
              </w:rPr>
            </w:pPr>
          </w:p>
        </w:tc>
        <w:tc>
          <w:tcPr>
            <w:tcW w:w="1701" w:type="dxa"/>
          </w:tcPr>
          <w:p w14:paraId="11D97305" w14:textId="77777777" w:rsidR="00653571" w:rsidRPr="008C5F1C" w:rsidRDefault="00653571" w:rsidP="00534127">
            <w:pPr>
              <w:spacing w:before="120" w:after="120"/>
              <w:rPr>
                <w:rFonts w:ascii="Times New Roman" w:hAnsi="Times New Roman" w:cs="Times New Roman"/>
                <w:noProof/>
                <w:sz w:val="20"/>
                <w:szCs w:val="20"/>
              </w:rPr>
            </w:pPr>
          </w:p>
        </w:tc>
        <w:tc>
          <w:tcPr>
            <w:tcW w:w="1667" w:type="dxa"/>
          </w:tcPr>
          <w:p w14:paraId="5E1E40E2" w14:textId="77777777" w:rsidR="00653571" w:rsidRPr="008C5F1C" w:rsidRDefault="00653571" w:rsidP="00534127">
            <w:pPr>
              <w:spacing w:before="120" w:after="120"/>
              <w:rPr>
                <w:rFonts w:ascii="Times New Roman" w:hAnsi="Times New Roman" w:cs="Times New Roman"/>
                <w:noProof/>
                <w:sz w:val="20"/>
                <w:szCs w:val="20"/>
              </w:rPr>
            </w:pPr>
          </w:p>
        </w:tc>
      </w:tr>
      <w:tr w:rsidR="00653571" w:rsidRPr="008C5F1C" w14:paraId="483F9708" w14:textId="77777777" w:rsidTr="00534127">
        <w:tc>
          <w:tcPr>
            <w:tcW w:w="4219" w:type="dxa"/>
            <w:gridSpan w:val="2"/>
          </w:tcPr>
          <w:p w14:paraId="69C31723" w14:textId="77777777" w:rsidR="00653571" w:rsidRPr="008C5F1C" w:rsidRDefault="00653571" w:rsidP="00534127">
            <w:pPr>
              <w:spacing w:before="120" w:after="120"/>
              <w:rPr>
                <w:rFonts w:ascii="Times New Roman" w:hAnsi="Times New Roman" w:cs="Times New Roman"/>
                <w:b/>
                <w:noProof/>
                <w:sz w:val="20"/>
                <w:szCs w:val="20"/>
              </w:rPr>
            </w:pPr>
            <w:r w:rsidRPr="008C5F1C">
              <w:rPr>
                <w:rFonts w:ascii="Times New Roman" w:hAnsi="Times New Roman" w:cs="Times New Roman"/>
                <w:b/>
                <w:noProof/>
                <w:sz w:val="20"/>
                <w:szCs w:val="20"/>
              </w:rPr>
              <w:t>Programme 2 (CCI number)</w:t>
            </w:r>
          </w:p>
        </w:tc>
        <w:tc>
          <w:tcPr>
            <w:tcW w:w="1701" w:type="dxa"/>
            <w:shd w:val="clear" w:color="auto" w:fill="BFBFBF" w:themeFill="background1" w:themeFillShade="BF"/>
          </w:tcPr>
          <w:p w14:paraId="7C5B88E8" w14:textId="77777777" w:rsidR="00653571" w:rsidRPr="008C5F1C" w:rsidRDefault="00653571" w:rsidP="00534127">
            <w:pPr>
              <w:spacing w:before="120" w:after="120"/>
              <w:rPr>
                <w:rFonts w:ascii="Times New Roman" w:hAnsi="Times New Roman" w:cs="Times New Roman"/>
                <w:noProof/>
                <w:sz w:val="20"/>
                <w:szCs w:val="20"/>
              </w:rPr>
            </w:pPr>
          </w:p>
        </w:tc>
        <w:tc>
          <w:tcPr>
            <w:tcW w:w="1701" w:type="dxa"/>
            <w:shd w:val="clear" w:color="auto" w:fill="BFBFBF" w:themeFill="background1" w:themeFillShade="BF"/>
          </w:tcPr>
          <w:p w14:paraId="5EA01B66" w14:textId="77777777" w:rsidR="00653571" w:rsidRPr="008C5F1C" w:rsidRDefault="00653571" w:rsidP="00534127">
            <w:pPr>
              <w:spacing w:before="120" w:after="120"/>
              <w:rPr>
                <w:rFonts w:ascii="Times New Roman" w:hAnsi="Times New Roman" w:cs="Times New Roman"/>
                <w:noProof/>
                <w:sz w:val="20"/>
                <w:szCs w:val="20"/>
              </w:rPr>
            </w:pPr>
          </w:p>
        </w:tc>
        <w:tc>
          <w:tcPr>
            <w:tcW w:w="1667" w:type="dxa"/>
            <w:shd w:val="clear" w:color="auto" w:fill="BFBFBF" w:themeFill="background1" w:themeFillShade="BF"/>
          </w:tcPr>
          <w:p w14:paraId="3F480048" w14:textId="77777777" w:rsidR="00653571" w:rsidRPr="008C5F1C" w:rsidRDefault="00653571" w:rsidP="00534127">
            <w:pPr>
              <w:spacing w:before="120" w:after="120"/>
              <w:rPr>
                <w:rFonts w:ascii="Times New Roman" w:hAnsi="Times New Roman" w:cs="Times New Roman"/>
                <w:noProof/>
                <w:sz w:val="20"/>
                <w:szCs w:val="20"/>
              </w:rPr>
            </w:pPr>
          </w:p>
        </w:tc>
      </w:tr>
      <w:tr w:rsidR="00653571" w:rsidRPr="008C5F1C" w14:paraId="45ECD544" w14:textId="77777777" w:rsidTr="00534127">
        <w:tc>
          <w:tcPr>
            <w:tcW w:w="4219" w:type="dxa"/>
            <w:gridSpan w:val="2"/>
          </w:tcPr>
          <w:p w14:paraId="4A91F5AE" w14:textId="77777777" w:rsidR="00653571" w:rsidRPr="008C5F1C" w:rsidRDefault="00653571" w:rsidP="00534127">
            <w:pPr>
              <w:spacing w:before="120" w:after="120"/>
              <w:rPr>
                <w:rFonts w:ascii="Times New Roman" w:hAnsi="Times New Roman" w:cs="Times New Roman"/>
                <w:noProof/>
                <w:sz w:val="20"/>
                <w:szCs w:val="20"/>
              </w:rPr>
            </w:pPr>
            <w:r w:rsidRPr="008C5F1C">
              <w:rPr>
                <w:rFonts w:ascii="Times New Roman" w:hAnsi="Times New Roman" w:cs="Times New Roman"/>
                <w:b/>
                <w:noProof/>
                <w:sz w:val="20"/>
                <w:szCs w:val="20"/>
              </w:rPr>
              <w:lastRenderedPageBreak/>
              <w:t>Programme 3 (CCI number)</w:t>
            </w:r>
          </w:p>
        </w:tc>
        <w:tc>
          <w:tcPr>
            <w:tcW w:w="1701" w:type="dxa"/>
            <w:shd w:val="clear" w:color="auto" w:fill="BFBFBF" w:themeFill="background1" w:themeFillShade="BF"/>
          </w:tcPr>
          <w:p w14:paraId="5C8B0401" w14:textId="77777777" w:rsidR="00653571" w:rsidRPr="008C5F1C" w:rsidRDefault="00653571" w:rsidP="00534127">
            <w:pPr>
              <w:spacing w:before="120" w:after="120"/>
              <w:rPr>
                <w:rFonts w:ascii="Times New Roman" w:hAnsi="Times New Roman" w:cs="Times New Roman"/>
                <w:noProof/>
                <w:sz w:val="20"/>
                <w:szCs w:val="20"/>
              </w:rPr>
            </w:pPr>
          </w:p>
        </w:tc>
        <w:tc>
          <w:tcPr>
            <w:tcW w:w="1701" w:type="dxa"/>
            <w:shd w:val="clear" w:color="auto" w:fill="BFBFBF" w:themeFill="background1" w:themeFillShade="BF"/>
          </w:tcPr>
          <w:p w14:paraId="5C257480" w14:textId="77777777" w:rsidR="00653571" w:rsidRPr="008C5F1C" w:rsidRDefault="00653571" w:rsidP="00534127">
            <w:pPr>
              <w:spacing w:before="120" w:after="120"/>
              <w:rPr>
                <w:rFonts w:ascii="Times New Roman" w:hAnsi="Times New Roman" w:cs="Times New Roman"/>
                <w:noProof/>
                <w:sz w:val="20"/>
                <w:szCs w:val="20"/>
              </w:rPr>
            </w:pPr>
          </w:p>
        </w:tc>
        <w:tc>
          <w:tcPr>
            <w:tcW w:w="1667" w:type="dxa"/>
            <w:shd w:val="clear" w:color="auto" w:fill="BFBFBF" w:themeFill="background1" w:themeFillShade="BF"/>
          </w:tcPr>
          <w:p w14:paraId="23F3400C" w14:textId="77777777" w:rsidR="00653571" w:rsidRPr="008C5F1C" w:rsidRDefault="00653571" w:rsidP="00534127">
            <w:pPr>
              <w:spacing w:before="120" w:after="120"/>
              <w:rPr>
                <w:rFonts w:ascii="Times New Roman" w:hAnsi="Times New Roman" w:cs="Times New Roman"/>
                <w:noProof/>
                <w:sz w:val="20"/>
                <w:szCs w:val="20"/>
              </w:rPr>
            </w:pPr>
          </w:p>
        </w:tc>
      </w:tr>
      <w:tr w:rsidR="00653571" w:rsidRPr="008C5F1C" w14:paraId="0F2F3031" w14:textId="77777777" w:rsidTr="00534127">
        <w:tc>
          <w:tcPr>
            <w:tcW w:w="1857" w:type="dxa"/>
          </w:tcPr>
          <w:p w14:paraId="29BE616E" w14:textId="77777777" w:rsidR="00653571" w:rsidRPr="008C5F1C" w:rsidRDefault="00653571" w:rsidP="00534127">
            <w:pPr>
              <w:spacing w:before="120" w:after="120"/>
              <w:rPr>
                <w:rFonts w:ascii="Times New Roman" w:hAnsi="Times New Roman" w:cs="Times New Roman"/>
                <w:b/>
                <w:noProof/>
                <w:sz w:val="20"/>
                <w:szCs w:val="20"/>
              </w:rPr>
            </w:pPr>
            <w:r w:rsidRPr="008C5F1C">
              <w:rPr>
                <w:rFonts w:ascii="Times New Roman" w:hAnsi="Times New Roman" w:cs="Times New Roman"/>
                <w:b/>
                <w:noProof/>
                <w:sz w:val="20"/>
                <w:szCs w:val="20"/>
              </w:rPr>
              <w:t>Total ERDF</w:t>
            </w:r>
          </w:p>
        </w:tc>
        <w:tc>
          <w:tcPr>
            <w:tcW w:w="2362" w:type="dxa"/>
          </w:tcPr>
          <w:p w14:paraId="07AC76A1" w14:textId="77777777" w:rsidR="00653571" w:rsidRPr="008C5F1C" w:rsidRDefault="00653571" w:rsidP="00534127">
            <w:pPr>
              <w:spacing w:before="120" w:after="120"/>
              <w:rPr>
                <w:rFonts w:ascii="Times New Roman" w:hAnsi="Times New Roman" w:cs="Times New Roman"/>
                <w:noProof/>
                <w:sz w:val="20"/>
                <w:szCs w:val="20"/>
              </w:rPr>
            </w:pPr>
            <w:r w:rsidRPr="008C5F1C">
              <w:rPr>
                <w:rFonts w:ascii="Times New Roman" w:hAnsi="Times New Roman" w:cs="Times New Roman"/>
                <w:noProof/>
                <w:sz w:val="20"/>
                <w:szCs w:val="20"/>
              </w:rPr>
              <w:t>More developed</w:t>
            </w:r>
          </w:p>
        </w:tc>
        <w:tc>
          <w:tcPr>
            <w:tcW w:w="1701" w:type="dxa"/>
          </w:tcPr>
          <w:p w14:paraId="7E4FC4C4" w14:textId="77777777" w:rsidR="00653571" w:rsidRPr="008C5F1C" w:rsidRDefault="00653571" w:rsidP="00534127">
            <w:pPr>
              <w:spacing w:before="120" w:after="120"/>
              <w:rPr>
                <w:rFonts w:ascii="Times New Roman" w:hAnsi="Times New Roman" w:cs="Times New Roman"/>
                <w:noProof/>
                <w:sz w:val="20"/>
                <w:szCs w:val="20"/>
              </w:rPr>
            </w:pPr>
          </w:p>
        </w:tc>
        <w:tc>
          <w:tcPr>
            <w:tcW w:w="1701" w:type="dxa"/>
          </w:tcPr>
          <w:p w14:paraId="553CA1F1" w14:textId="77777777" w:rsidR="00653571" w:rsidRPr="008C5F1C" w:rsidRDefault="00653571" w:rsidP="00534127">
            <w:pPr>
              <w:spacing w:before="120" w:after="120"/>
              <w:rPr>
                <w:rFonts w:ascii="Times New Roman" w:hAnsi="Times New Roman" w:cs="Times New Roman"/>
                <w:noProof/>
                <w:sz w:val="20"/>
                <w:szCs w:val="20"/>
              </w:rPr>
            </w:pPr>
          </w:p>
        </w:tc>
        <w:tc>
          <w:tcPr>
            <w:tcW w:w="1667" w:type="dxa"/>
          </w:tcPr>
          <w:p w14:paraId="121D7571" w14:textId="77777777" w:rsidR="00653571" w:rsidRPr="008C5F1C" w:rsidRDefault="00653571" w:rsidP="00534127">
            <w:pPr>
              <w:spacing w:before="120" w:after="120"/>
              <w:rPr>
                <w:rFonts w:ascii="Times New Roman" w:hAnsi="Times New Roman" w:cs="Times New Roman"/>
                <w:noProof/>
                <w:sz w:val="20"/>
                <w:szCs w:val="20"/>
              </w:rPr>
            </w:pPr>
          </w:p>
        </w:tc>
      </w:tr>
      <w:tr w:rsidR="00653571" w:rsidRPr="008C5F1C" w14:paraId="4048F1B4" w14:textId="77777777" w:rsidTr="00534127">
        <w:tc>
          <w:tcPr>
            <w:tcW w:w="1857" w:type="dxa"/>
          </w:tcPr>
          <w:p w14:paraId="20588DDC" w14:textId="77777777" w:rsidR="00653571" w:rsidRPr="008C5F1C" w:rsidRDefault="00653571" w:rsidP="00534127">
            <w:pPr>
              <w:spacing w:before="120" w:after="120"/>
              <w:rPr>
                <w:rFonts w:ascii="Times New Roman" w:hAnsi="Times New Roman" w:cs="Times New Roman"/>
                <w:noProof/>
                <w:sz w:val="20"/>
                <w:szCs w:val="20"/>
              </w:rPr>
            </w:pPr>
          </w:p>
        </w:tc>
        <w:tc>
          <w:tcPr>
            <w:tcW w:w="2362" w:type="dxa"/>
          </w:tcPr>
          <w:p w14:paraId="00470465" w14:textId="77777777" w:rsidR="00653571" w:rsidRPr="008C5F1C" w:rsidRDefault="00653571" w:rsidP="00534127">
            <w:pPr>
              <w:spacing w:before="120" w:after="120"/>
              <w:rPr>
                <w:rFonts w:ascii="Times New Roman" w:hAnsi="Times New Roman" w:cs="Times New Roman"/>
                <w:noProof/>
                <w:sz w:val="20"/>
                <w:szCs w:val="20"/>
              </w:rPr>
            </w:pPr>
            <w:r w:rsidRPr="008C5F1C">
              <w:rPr>
                <w:rFonts w:ascii="Times New Roman" w:hAnsi="Times New Roman" w:cs="Times New Roman"/>
                <w:noProof/>
                <w:sz w:val="20"/>
                <w:szCs w:val="20"/>
              </w:rPr>
              <w:t>Transition</w:t>
            </w:r>
          </w:p>
        </w:tc>
        <w:tc>
          <w:tcPr>
            <w:tcW w:w="1701" w:type="dxa"/>
          </w:tcPr>
          <w:p w14:paraId="3F805781" w14:textId="77777777" w:rsidR="00653571" w:rsidRPr="008C5F1C" w:rsidRDefault="00653571" w:rsidP="00534127">
            <w:pPr>
              <w:spacing w:before="120" w:after="120"/>
              <w:rPr>
                <w:rFonts w:ascii="Times New Roman" w:hAnsi="Times New Roman" w:cs="Times New Roman"/>
                <w:noProof/>
                <w:sz w:val="20"/>
                <w:szCs w:val="20"/>
              </w:rPr>
            </w:pPr>
          </w:p>
        </w:tc>
        <w:tc>
          <w:tcPr>
            <w:tcW w:w="1701" w:type="dxa"/>
          </w:tcPr>
          <w:p w14:paraId="39A9CE46" w14:textId="77777777" w:rsidR="00653571" w:rsidRPr="008C5F1C" w:rsidRDefault="00653571" w:rsidP="00534127">
            <w:pPr>
              <w:spacing w:before="120" w:after="120"/>
              <w:rPr>
                <w:rFonts w:ascii="Times New Roman" w:hAnsi="Times New Roman" w:cs="Times New Roman"/>
                <w:noProof/>
                <w:sz w:val="20"/>
                <w:szCs w:val="20"/>
              </w:rPr>
            </w:pPr>
          </w:p>
        </w:tc>
        <w:tc>
          <w:tcPr>
            <w:tcW w:w="1667" w:type="dxa"/>
          </w:tcPr>
          <w:p w14:paraId="425B368F" w14:textId="77777777" w:rsidR="00653571" w:rsidRPr="008C5F1C" w:rsidRDefault="00653571" w:rsidP="00534127">
            <w:pPr>
              <w:spacing w:before="120" w:after="120"/>
              <w:rPr>
                <w:rFonts w:ascii="Times New Roman" w:hAnsi="Times New Roman" w:cs="Times New Roman"/>
                <w:noProof/>
                <w:sz w:val="20"/>
                <w:szCs w:val="20"/>
              </w:rPr>
            </w:pPr>
          </w:p>
        </w:tc>
      </w:tr>
      <w:tr w:rsidR="00653571" w:rsidRPr="008C5F1C" w14:paraId="7CF049B2" w14:textId="77777777" w:rsidTr="00534127">
        <w:tc>
          <w:tcPr>
            <w:tcW w:w="1857" w:type="dxa"/>
          </w:tcPr>
          <w:p w14:paraId="496D537E" w14:textId="77777777" w:rsidR="00653571" w:rsidRPr="008C5F1C" w:rsidRDefault="00653571" w:rsidP="00534127">
            <w:pPr>
              <w:spacing w:before="120" w:after="120"/>
              <w:rPr>
                <w:rFonts w:ascii="Times New Roman" w:hAnsi="Times New Roman" w:cs="Times New Roman"/>
                <w:noProof/>
                <w:sz w:val="20"/>
                <w:szCs w:val="20"/>
              </w:rPr>
            </w:pPr>
          </w:p>
        </w:tc>
        <w:tc>
          <w:tcPr>
            <w:tcW w:w="2362" w:type="dxa"/>
          </w:tcPr>
          <w:p w14:paraId="0228DF18" w14:textId="77777777" w:rsidR="00653571" w:rsidRPr="008C5F1C" w:rsidRDefault="00653571" w:rsidP="00534127">
            <w:pPr>
              <w:spacing w:before="120" w:after="120"/>
              <w:rPr>
                <w:rFonts w:ascii="Times New Roman" w:hAnsi="Times New Roman" w:cs="Times New Roman"/>
                <w:noProof/>
                <w:sz w:val="20"/>
                <w:szCs w:val="20"/>
              </w:rPr>
            </w:pPr>
            <w:r w:rsidRPr="008C5F1C">
              <w:rPr>
                <w:rFonts w:ascii="Times New Roman" w:hAnsi="Times New Roman" w:cs="Times New Roman"/>
                <w:noProof/>
                <w:sz w:val="20"/>
                <w:szCs w:val="20"/>
              </w:rPr>
              <w:t>Less developed</w:t>
            </w:r>
          </w:p>
        </w:tc>
        <w:tc>
          <w:tcPr>
            <w:tcW w:w="1701" w:type="dxa"/>
          </w:tcPr>
          <w:p w14:paraId="750358C8" w14:textId="77777777" w:rsidR="00653571" w:rsidRPr="008C5F1C" w:rsidRDefault="00653571" w:rsidP="00534127">
            <w:pPr>
              <w:spacing w:before="120" w:after="120"/>
              <w:rPr>
                <w:rFonts w:ascii="Times New Roman" w:hAnsi="Times New Roman" w:cs="Times New Roman"/>
                <w:noProof/>
                <w:sz w:val="20"/>
                <w:szCs w:val="20"/>
              </w:rPr>
            </w:pPr>
          </w:p>
        </w:tc>
        <w:tc>
          <w:tcPr>
            <w:tcW w:w="1701" w:type="dxa"/>
          </w:tcPr>
          <w:p w14:paraId="1C71F249" w14:textId="77777777" w:rsidR="00653571" w:rsidRPr="008C5F1C" w:rsidRDefault="00653571" w:rsidP="00534127">
            <w:pPr>
              <w:spacing w:before="120" w:after="120"/>
              <w:rPr>
                <w:rFonts w:ascii="Times New Roman" w:hAnsi="Times New Roman" w:cs="Times New Roman"/>
                <w:noProof/>
                <w:sz w:val="20"/>
                <w:szCs w:val="20"/>
              </w:rPr>
            </w:pPr>
          </w:p>
        </w:tc>
        <w:tc>
          <w:tcPr>
            <w:tcW w:w="1667" w:type="dxa"/>
          </w:tcPr>
          <w:p w14:paraId="5A68AE37" w14:textId="77777777" w:rsidR="00653571" w:rsidRPr="008C5F1C" w:rsidRDefault="00653571" w:rsidP="00534127">
            <w:pPr>
              <w:spacing w:before="120" w:after="120"/>
              <w:rPr>
                <w:rFonts w:ascii="Times New Roman" w:hAnsi="Times New Roman" w:cs="Times New Roman"/>
                <w:noProof/>
                <w:sz w:val="20"/>
                <w:szCs w:val="20"/>
              </w:rPr>
            </w:pPr>
          </w:p>
        </w:tc>
      </w:tr>
      <w:tr w:rsidR="00653571" w:rsidRPr="008C5F1C" w14:paraId="79CAD0A0" w14:textId="77777777" w:rsidTr="00534127">
        <w:tc>
          <w:tcPr>
            <w:tcW w:w="1857" w:type="dxa"/>
          </w:tcPr>
          <w:p w14:paraId="29482A13" w14:textId="77777777" w:rsidR="00653571" w:rsidRPr="008C5F1C" w:rsidRDefault="00653571" w:rsidP="00534127">
            <w:pPr>
              <w:spacing w:before="120" w:after="120"/>
              <w:rPr>
                <w:rFonts w:ascii="Times New Roman" w:hAnsi="Times New Roman" w:cs="Times New Roman"/>
                <w:noProof/>
                <w:sz w:val="20"/>
                <w:szCs w:val="20"/>
              </w:rPr>
            </w:pPr>
          </w:p>
        </w:tc>
        <w:tc>
          <w:tcPr>
            <w:tcW w:w="2362" w:type="dxa"/>
          </w:tcPr>
          <w:p w14:paraId="5082F0D8" w14:textId="77777777" w:rsidR="00653571" w:rsidRPr="008C5F1C" w:rsidRDefault="00653571" w:rsidP="00534127">
            <w:pPr>
              <w:spacing w:before="120" w:after="120"/>
              <w:rPr>
                <w:rFonts w:ascii="Times New Roman" w:hAnsi="Times New Roman" w:cs="Times New Roman"/>
                <w:noProof/>
                <w:sz w:val="20"/>
                <w:szCs w:val="20"/>
              </w:rPr>
            </w:pPr>
            <w:r w:rsidRPr="008C5F1C">
              <w:rPr>
                <w:rFonts w:ascii="Times New Roman" w:hAnsi="Times New Roman" w:cs="Times New Roman"/>
                <w:noProof/>
                <w:sz w:val="20"/>
                <w:szCs w:val="20"/>
              </w:rPr>
              <w:t>Outermost and northern sparsely populated</w:t>
            </w:r>
          </w:p>
        </w:tc>
        <w:tc>
          <w:tcPr>
            <w:tcW w:w="1701" w:type="dxa"/>
          </w:tcPr>
          <w:p w14:paraId="4A5E756B" w14:textId="77777777" w:rsidR="00653571" w:rsidRPr="008C5F1C" w:rsidRDefault="00653571" w:rsidP="00534127">
            <w:pPr>
              <w:spacing w:before="120" w:after="120"/>
              <w:rPr>
                <w:rFonts w:ascii="Times New Roman" w:hAnsi="Times New Roman" w:cs="Times New Roman"/>
                <w:noProof/>
                <w:sz w:val="20"/>
                <w:szCs w:val="20"/>
              </w:rPr>
            </w:pPr>
          </w:p>
        </w:tc>
        <w:tc>
          <w:tcPr>
            <w:tcW w:w="1701" w:type="dxa"/>
          </w:tcPr>
          <w:p w14:paraId="24CB79BE" w14:textId="77777777" w:rsidR="00653571" w:rsidRPr="008C5F1C" w:rsidRDefault="00653571" w:rsidP="00534127">
            <w:pPr>
              <w:spacing w:before="120" w:after="120"/>
              <w:rPr>
                <w:rFonts w:ascii="Times New Roman" w:hAnsi="Times New Roman" w:cs="Times New Roman"/>
                <w:noProof/>
                <w:sz w:val="20"/>
                <w:szCs w:val="20"/>
              </w:rPr>
            </w:pPr>
          </w:p>
        </w:tc>
        <w:tc>
          <w:tcPr>
            <w:tcW w:w="1667" w:type="dxa"/>
          </w:tcPr>
          <w:p w14:paraId="2D0A28C5" w14:textId="77777777" w:rsidR="00653571" w:rsidRPr="008C5F1C" w:rsidRDefault="00653571" w:rsidP="00534127">
            <w:pPr>
              <w:spacing w:before="120" w:after="120"/>
              <w:rPr>
                <w:rFonts w:ascii="Times New Roman" w:hAnsi="Times New Roman" w:cs="Times New Roman"/>
                <w:noProof/>
                <w:sz w:val="20"/>
                <w:szCs w:val="20"/>
              </w:rPr>
            </w:pPr>
          </w:p>
        </w:tc>
      </w:tr>
      <w:tr w:rsidR="00653571" w:rsidRPr="008C5F1C" w14:paraId="5BE33B26" w14:textId="77777777" w:rsidTr="00534127">
        <w:tc>
          <w:tcPr>
            <w:tcW w:w="1857" w:type="dxa"/>
          </w:tcPr>
          <w:p w14:paraId="74B279C4" w14:textId="77777777" w:rsidR="00653571" w:rsidRPr="008C5F1C" w:rsidRDefault="00653571" w:rsidP="00534127">
            <w:pPr>
              <w:spacing w:before="120" w:after="120"/>
              <w:rPr>
                <w:rFonts w:ascii="Times New Roman" w:hAnsi="Times New Roman" w:cs="Times New Roman"/>
                <w:b/>
                <w:noProof/>
                <w:sz w:val="20"/>
                <w:szCs w:val="20"/>
              </w:rPr>
            </w:pPr>
            <w:r w:rsidRPr="008C5F1C">
              <w:rPr>
                <w:rFonts w:ascii="Times New Roman" w:hAnsi="Times New Roman" w:cs="Times New Roman"/>
                <w:b/>
                <w:noProof/>
                <w:sz w:val="20"/>
                <w:szCs w:val="20"/>
              </w:rPr>
              <w:t>Total ESF+</w:t>
            </w:r>
          </w:p>
        </w:tc>
        <w:tc>
          <w:tcPr>
            <w:tcW w:w="2362" w:type="dxa"/>
          </w:tcPr>
          <w:p w14:paraId="7DF646EA" w14:textId="77777777" w:rsidR="00653571" w:rsidRPr="008C5F1C" w:rsidRDefault="00653571" w:rsidP="00534127">
            <w:pPr>
              <w:spacing w:before="60" w:after="60"/>
              <w:rPr>
                <w:rFonts w:ascii="Times New Roman" w:eastAsia="Times New Roman" w:hAnsi="Times New Roman" w:cs="Times New Roman"/>
                <w:noProof/>
                <w:sz w:val="18"/>
                <w:szCs w:val="20"/>
              </w:rPr>
            </w:pPr>
            <w:r w:rsidRPr="008C5F1C">
              <w:rPr>
                <w:rFonts w:ascii="Times New Roman" w:eastAsia="Times New Roman" w:hAnsi="Times New Roman" w:cs="Times New Roman"/>
                <w:noProof/>
                <w:sz w:val="18"/>
                <w:szCs w:val="20"/>
              </w:rPr>
              <w:t>More developed</w:t>
            </w:r>
          </w:p>
        </w:tc>
        <w:tc>
          <w:tcPr>
            <w:tcW w:w="1701" w:type="dxa"/>
          </w:tcPr>
          <w:p w14:paraId="6C0B82CE" w14:textId="77777777" w:rsidR="00653571" w:rsidRPr="008C5F1C" w:rsidRDefault="00653571" w:rsidP="00534127">
            <w:pPr>
              <w:spacing w:before="120" w:after="120"/>
              <w:rPr>
                <w:rFonts w:ascii="Times New Roman" w:hAnsi="Times New Roman" w:cs="Times New Roman"/>
                <w:noProof/>
                <w:sz w:val="20"/>
                <w:szCs w:val="20"/>
              </w:rPr>
            </w:pPr>
          </w:p>
        </w:tc>
        <w:tc>
          <w:tcPr>
            <w:tcW w:w="1701" w:type="dxa"/>
          </w:tcPr>
          <w:p w14:paraId="10A60629" w14:textId="77777777" w:rsidR="00653571" w:rsidRPr="008C5F1C" w:rsidRDefault="00653571" w:rsidP="00534127">
            <w:pPr>
              <w:spacing w:before="120" w:after="120"/>
              <w:rPr>
                <w:rFonts w:ascii="Times New Roman" w:hAnsi="Times New Roman" w:cs="Times New Roman"/>
                <w:noProof/>
                <w:sz w:val="20"/>
                <w:szCs w:val="20"/>
              </w:rPr>
            </w:pPr>
          </w:p>
        </w:tc>
        <w:tc>
          <w:tcPr>
            <w:tcW w:w="1667" w:type="dxa"/>
          </w:tcPr>
          <w:p w14:paraId="4C4706F8" w14:textId="77777777" w:rsidR="00653571" w:rsidRPr="008C5F1C" w:rsidRDefault="00653571" w:rsidP="00534127">
            <w:pPr>
              <w:spacing w:before="120" w:after="120"/>
              <w:rPr>
                <w:rFonts w:ascii="Times New Roman" w:hAnsi="Times New Roman" w:cs="Times New Roman"/>
                <w:noProof/>
                <w:sz w:val="20"/>
                <w:szCs w:val="20"/>
              </w:rPr>
            </w:pPr>
          </w:p>
        </w:tc>
      </w:tr>
      <w:tr w:rsidR="00653571" w:rsidRPr="008C5F1C" w14:paraId="45B86B95" w14:textId="77777777" w:rsidTr="00534127">
        <w:tc>
          <w:tcPr>
            <w:tcW w:w="1857" w:type="dxa"/>
          </w:tcPr>
          <w:p w14:paraId="3760FF97" w14:textId="77777777" w:rsidR="00653571" w:rsidRPr="008C5F1C" w:rsidRDefault="00653571" w:rsidP="00534127">
            <w:pPr>
              <w:spacing w:before="120" w:after="120"/>
              <w:rPr>
                <w:rFonts w:ascii="Times New Roman" w:hAnsi="Times New Roman" w:cs="Times New Roman"/>
                <w:noProof/>
                <w:sz w:val="20"/>
                <w:szCs w:val="20"/>
              </w:rPr>
            </w:pPr>
          </w:p>
        </w:tc>
        <w:tc>
          <w:tcPr>
            <w:tcW w:w="2362" w:type="dxa"/>
          </w:tcPr>
          <w:p w14:paraId="1F3A1514" w14:textId="77777777" w:rsidR="00653571" w:rsidRPr="008C5F1C" w:rsidRDefault="00653571" w:rsidP="00534127">
            <w:pPr>
              <w:spacing w:before="60" w:after="60"/>
              <w:rPr>
                <w:rFonts w:ascii="Times New Roman" w:eastAsia="Times New Roman" w:hAnsi="Times New Roman" w:cs="Times New Roman"/>
                <w:noProof/>
                <w:sz w:val="18"/>
                <w:szCs w:val="20"/>
              </w:rPr>
            </w:pPr>
            <w:r w:rsidRPr="008C5F1C">
              <w:rPr>
                <w:rFonts w:ascii="Times New Roman" w:hAnsi="Times New Roman" w:cs="Times New Roman"/>
                <w:noProof/>
                <w:sz w:val="18"/>
                <w:szCs w:val="20"/>
              </w:rPr>
              <w:t>Transition</w:t>
            </w:r>
          </w:p>
        </w:tc>
        <w:tc>
          <w:tcPr>
            <w:tcW w:w="1701" w:type="dxa"/>
          </w:tcPr>
          <w:p w14:paraId="12477636" w14:textId="77777777" w:rsidR="00653571" w:rsidRPr="008C5F1C" w:rsidRDefault="00653571" w:rsidP="00534127">
            <w:pPr>
              <w:spacing w:before="120" w:after="120"/>
              <w:rPr>
                <w:rFonts w:ascii="Times New Roman" w:hAnsi="Times New Roman" w:cs="Times New Roman"/>
                <w:noProof/>
                <w:sz w:val="20"/>
                <w:szCs w:val="20"/>
              </w:rPr>
            </w:pPr>
          </w:p>
        </w:tc>
        <w:tc>
          <w:tcPr>
            <w:tcW w:w="1701" w:type="dxa"/>
          </w:tcPr>
          <w:p w14:paraId="5A8EB634" w14:textId="77777777" w:rsidR="00653571" w:rsidRPr="008C5F1C" w:rsidRDefault="00653571" w:rsidP="00534127">
            <w:pPr>
              <w:spacing w:before="120" w:after="120"/>
              <w:rPr>
                <w:rFonts w:ascii="Times New Roman" w:hAnsi="Times New Roman" w:cs="Times New Roman"/>
                <w:noProof/>
                <w:sz w:val="20"/>
                <w:szCs w:val="20"/>
              </w:rPr>
            </w:pPr>
          </w:p>
        </w:tc>
        <w:tc>
          <w:tcPr>
            <w:tcW w:w="1667" w:type="dxa"/>
          </w:tcPr>
          <w:p w14:paraId="2FF0D8C3" w14:textId="77777777" w:rsidR="00653571" w:rsidRPr="008C5F1C" w:rsidRDefault="00653571" w:rsidP="00534127">
            <w:pPr>
              <w:spacing w:before="120" w:after="120"/>
              <w:rPr>
                <w:rFonts w:ascii="Times New Roman" w:hAnsi="Times New Roman" w:cs="Times New Roman"/>
                <w:noProof/>
                <w:sz w:val="20"/>
                <w:szCs w:val="20"/>
              </w:rPr>
            </w:pPr>
          </w:p>
        </w:tc>
      </w:tr>
      <w:tr w:rsidR="00653571" w:rsidRPr="008C5F1C" w14:paraId="0791BCE7" w14:textId="77777777" w:rsidTr="00534127">
        <w:tc>
          <w:tcPr>
            <w:tcW w:w="1857" w:type="dxa"/>
          </w:tcPr>
          <w:p w14:paraId="4F041C8D" w14:textId="77777777" w:rsidR="00653571" w:rsidRPr="008C5F1C" w:rsidRDefault="00653571" w:rsidP="00534127">
            <w:pPr>
              <w:spacing w:before="120" w:after="120"/>
              <w:rPr>
                <w:rFonts w:ascii="Times New Roman" w:hAnsi="Times New Roman" w:cs="Times New Roman"/>
                <w:noProof/>
                <w:sz w:val="20"/>
                <w:szCs w:val="20"/>
              </w:rPr>
            </w:pPr>
          </w:p>
        </w:tc>
        <w:tc>
          <w:tcPr>
            <w:tcW w:w="2362" w:type="dxa"/>
          </w:tcPr>
          <w:p w14:paraId="6BC83CDD" w14:textId="77777777" w:rsidR="00653571" w:rsidRPr="008C5F1C" w:rsidRDefault="00653571" w:rsidP="00534127">
            <w:pPr>
              <w:spacing w:before="60" w:after="60"/>
              <w:rPr>
                <w:rFonts w:ascii="Times New Roman" w:hAnsi="Times New Roman" w:cs="Times New Roman"/>
                <w:noProof/>
                <w:sz w:val="18"/>
                <w:szCs w:val="20"/>
              </w:rPr>
            </w:pPr>
            <w:r w:rsidRPr="008C5F1C">
              <w:rPr>
                <w:rFonts w:ascii="Times New Roman" w:eastAsia="Times New Roman" w:hAnsi="Times New Roman" w:cs="Times New Roman"/>
                <w:noProof/>
                <w:sz w:val="18"/>
                <w:szCs w:val="20"/>
              </w:rPr>
              <w:t>Less developed</w:t>
            </w:r>
          </w:p>
        </w:tc>
        <w:tc>
          <w:tcPr>
            <w:tcW w:w="1701" w:type="dxa"/>
          </w:tcPr>
          <w:p w14:paraId="7BD3DCD9" w14:textId="77777777" w:rsidR="00653571" w:rsidRPr="008C5F1C" w:rsidRDefault="00653571" w:rsidP="00534127">
            <w:pPr>
              <w:spacing w:before="120" w:after="120"/>
              <w:rPr>
                <w:rFonts w:ascii="Times New Roman" w:hAnsi="Times New Roman" w:cs="Times New Roman"/>
                <w:noProof/>
                <w:sz w:val="20"/>
                <w:szCs w:val="20"/>
              </w:rPr>
            </w:pPr>
          </w:p>
        </w:tc>
        <w:tc>
          <w:tcPr>
            <w:tcW w:w="1701" w:type="dxa"/>
          </w:tcPr>
          <w:p w14:paraId="09CC66B3" w14:textId="77777777" w:rsidR="00653571" w:rsidRPr="008C5F1C" w:rsidRDefault="00653571" w:rsidP="00534127">
            <w:pPr>
              <w:spacing w:before="120" w:after="120"/>
              <w:rPr>
                <w:rFonts w:ascii="Times New Roman" w:hAnsi="Times New Roman" w:cs="Times New Roman"/>
                <w:noProof/>
                <w:sz w:val="20"/>
                <w:szCs w:val="20"/>
              </w:rPr>
            </w:pPr>
          </w:p>
        </w:tc>
        <w:tc>
          <w:tcPr>
            <w:tcW w:w="1667" w:type="dxa"/>
          </w:tcPr>
          <w:p w14:paraId="018C89DE" w14:textId="77777777" w:rsidR="00653571" w:rsidRPr="008C5F1C" w:rsidRDefault="00653571" w:rsidP="00534127">
            <w:pPr>
              <w:spacing w:before="120" w:after="120"/>
              <w:rPr>
                <w:rFonts w:ascii="Times New Roman" w:hAnsi="Times New Roman" w:cs="Times New Roman"/>
                <w:noProof/>
                <w:sz w:val="20"/>
                <w:szCs w:val="20"/>
              </w:rPr>
            </w:pPr>
          </w:p>
        </w:tc>
      </w:tr>
      <w:tr w:rsidR="00653571" w:rsidRPr="008C5F1C" w14:paraId="5E318B26" w14:textId="77777777" w:rsidTr="00534127">
        <w:tc>
          <w:tcPr>
            <w:tcW w:w="1857" w:type="dxa"/>
          </w:tcPr>
          <w:p w14:paraId="7D08A6AF" w14:textId="77777777" w:rsidR="00653571" w:rsidRPr="008C5F1C" w:rsidRDefault="00653571" w:rsidP="00534127">
            <w:pPr>
              <w:spacing w:before="120" w:after="120"/>
              <w:rPr>
                <w:rFonts w:ascii="Times New Roman" w:hAnsi="Times New Roman" w:cs="Times New Roman"/>
                <w:noProof/>
                <w:sz w:val="20"/>
                <w:szCs w:val="20"/>
              </w:rPr>
            </w:pPr>
          </w:p>
        </w:tc>
        <w:tc>
          <w:tcPr>
            <w:tcW w:w="2362" w:type="dxa"/>
          </w:tcPr>
          <w:p w14:paraId="4FEF78D4" w14:textId="77777777" w:rsidR="00653571" w:rsidRPr="008C5F1C" w:rsidRDefault="00653571" w:rsidP="00534127">
            <w:pPr>
              <w:spacing w:before="60" w:after="60"/>
              <w:rPr>
                <w:rFonts w:ascii="Times New Roman" w:eastAsia="Times New Roman" w:hAnsi="Times New Roman" w:cs="Times New Roman"/>
                <w:noProof/>
                <w:sz w:val="18"/>
                <w:szCs w:val="20"/>
              </w:rPr>
            </w:pPr>
            <w:r w:rsidRPr="008C5F1C">
              <w:rPr>
                <w:rFonts w:ascii="Times New Roman" w:hAnsi="Times New Roman" w:cs="Times New Roman"/>
                <w:noProof/>
                <w:sz w:val="18"/>
                <w:szCs w:val="20"/>
              </w:rPr>
              <w:t xml:space="preserve">Outermost </w:t>
            </w:r>
          </w:p>
        </w:tc>
        <w:tc>
          <w:tcPr>
            <w:tcW w:w="1701" w:type="dxa"/>
          </w:tcPr>
          <w:p w14:paraId="30FB38CE" w14:textId="77777777" w:rsidR="00653571" w:rsidRPr="008C5F1C" w:rsidRDefault="00653571" w:rsidP="00534127">
            <w:pPr>
              <w:spacing w:before="120" w:after="120"/>
              <w:rPr>
                <w:rFonts w:ascii="Times New Roman" w:hAnsi="Times New Roman" w:cs="Times New Roman"/>
                <w:noProof/>
                <w:sz w:val="20"/>
                <w:szCs w:val="20"/>
              </w:rPr>
            </w:pPr>
          </w:p>
        </w:tc>
        <w:tc>
          <w:tcPr>
            <w:tcW w:w="1701" w:type="dxa"/>
          </w:tcPr>
          <w:p w14:paraId="30BEFDDF" w14:textId="77777777" w:rsidR="00653571" w:rsidRPr="008C5F1C" w:rsidRDefault="00653571" w:rsidP="00534127">
            <w:pPr>
              <w:spacing w:before="120" w:after="120"/>
              <w:rPr>
                <w:rFonts w:ascii="Times New Roman" w:hAnsi="Times New Roman" w:cs="Times New Roman"/>
                <w:noProof/>
                <w:sz w:val="20"/>
                <w:szCs w:val="20"/>
              </w:rPr>
            </w:pPr>
          </w:p>
        </w:tc>
        <w:tc>
          <w:tcPr>
            <w:tcW w:w="1667" w:type="dxa"/>
          </w:tcPr>
          <w:p w14:paraId="2A1E0EFB" w14:textId="77777777" w:rsidR="00653571" w:rsidRPr="008C5F1C" w:rsidRDefault="00653571" w:rsidP="00534127">
            <w:pPr>
              <w:spacing w:before="120" w:after="120"/>
              <w:rPr>
                <w:rFonts w:ascii="Times New Roman" w:hAnsi="Times New Roman" w:cs="Times New Roman"/>
                <w:noProof/>
                <w:sz w:val="20"/>
                <w:szCs w:val="20"/>
              </w:rPr>
            </w:pPr>
          </w:p>
        </w:tc>
      </w:tr>
      <w:tr w:rsidR="00653571" w:rsidRPr="008C5F1C" w14:paraId="42E642C5" w14:textId="77777777" w:rsidTr="00534127">
        <w:tc>
          <w:tcPr>
            <w:tcW w:w="4219" w:type="dxa"/>
            <w:gridSpan w:val="2"/>
          </w:tcPr>
          <w:p w14:paraId="2DB41416" w14:textId="77777777" w:rsidR="00653571" w:rsidRPr="008C5F1C" w:rsidRDefault="00653571" w:rsidP="00534127">
            <w:pPr>
              <w:spacing w:before="120" w:after="120"/>
              <w:rPr>
                <w:rFonts w:ascii="Times New Roman" w:hAnsi="Times New Roman" w:cs="Times New Roman"/>
                <w:b/>
                <w:noProof/>
                <w:sz w:val="20"/>
                <w:szCs w:val="20"/>
              </w:rPr>
            </w:pPr>
            <w:r w:rsidRPr="008C5F1C">
              <w:rPr>
                <w:rFonts w:ascii="Times New Roman" w:hAnsi="Times New Roman" w:cs="Times New Roman"/>
                <w:b/>
                <w:noProof/>
                <w:sz w:val="20"/>
                <w:szCs w:val="20"/>
              </w:rPr>
              <w:t>Total</w:t>
            </w:r>
          </w:p>
        </w:tc>
        <w:tc>
          <w:tcPr>
            <w:tcW w:w="1701" w:type="dxa"/>
          </w:tcPr>
          <w:p w14:paraId="70735D51" w14:textId="77777777" w:rsidR="00653571" w:rsidRPr="008C5F1C" w:rsidRDefault="00653571" w:rsidP="00534127">
            <w:pPr>
              <w:spacing w:before="120" w:after="120"/>
              <w:rPr>
                <w:rFonts w:ascii="Times New Roman" w:hAnsi="Times New Roman" w:cs="Times New Roman"/>
                <w:noProof/>
                <w:sz w:val="20"/>
                <w:szCs w:val="20"/>
              </w:rPr>
            </w:pPr>
          </w:p>
        </w:tc>
        <w:tc>
          <w:tcPr>
            <w:tcW w:w="1701" w:type="dxa"/>
          </w:tcPr>
          <w:p w14:paraId="14CFD7A7" w14:textId="77777777" w:rsidR="00653571" w:rsidRPr="008C5F1C" w:rsidRDefault="00653571" w:rsidP="00534127">
            <w:pPr>
              <w:spacing w:before="120" w:after="120"/>
              <w:rPr>
                <w:rFonts w:ascii="Times New Roman" w:hAnsi="Times New Roman" w:cs="Times New Roman"/>
                <w:noProof/>
                <w:sz w:val="20"/>
                <w:szCs w:val="20"/>
              </w:rPr>
            </w:pPr>
          </w:p>
        </w:tc>
        <w:tc>
          <w:tcPr>
            <w:tcW w:w="1667" w:type="dxa"/>
          </w:tcPr>
          <w:p w14:paraId="0490D273" w14:textId="77777777" w:rsidR="00653571" w:rsidRPr="008C5F1C" w:rsidRDefault="00653571" w:rsidP="00534127">
            <w:pPr>
              <w:spacing w:before="120" w:after="120"/>
              <w:rPr>
                <w:rFonts w:ascii="Times New Roman" w:hAnsi="Times New Roman" w:cs="Times New Roman"/>
                <w:noProof/>
                <w:sz w:val="20"/>
                <w:szCs w:val="20"/>
              </w:rPr>
            </w:pPr>
          </w:p>
        </w:tc>
      </w:tr>
    </w:tbl>
    <w:p w14:paraId="169C53DD" w14:textId="77777777" w:rsidR="00653571" w:rsidRPr="008C5F1C" w:rsidRDefault="00653571" w:rsidP="00653571">
      <w:pPr>
        <w:spacing w:before="120" w:after="0" w:line="240" w:lineRule="auto"/>
        <w:rPr>
          <w:rFonts w:ascii="Times New Roman" w:hAnsi="Times New Roman" w:cs="Times New Roman"/>
          <w:noProof/>
          <w:sz w:val="18"/>
          <w:szCs w:val="24"/>
        </w:rPr>
      </w:pPr>
      <w:r w:rsidRPr="008C5F1C">
        <w:rPr>
          <w:rFonts w:ascii="Times New Roman" w:hAnsi="Times New Roman" w:cs="Times New Roman"/>
          <w:noProof/>
          <w:sz w:val="18"/>
          <w:szCs w:val="24"/>
        </w:rPr>
        <w:t>* programme with JTF allocation, which receives complementary support from the ERDF and ESF+.</w:t>
      </w:r>
    </w:p>
    <w:p w14:paraId="064A0607" w14:textId="77777777" w:rsidR="00653571" w:rsidRPr="008C5F1C" w:rsidRDefault="00653571" w:rsidP="00653571">
      <w:pPr>
        <w:spacing w:after="120" w:line="240" w:lineRule="auto"/>
        <w:rPr>
          <w:rFonts w:ascii="Times New Roman" w:hAnsi="Times New Roman" w:cs="Times New Roman"/>
          <w:noProof/>
          <w:vanish/>
          <w:sz w:val="18"/>
          <w:szCs w:val="24"/>
          <w:specVanish/>
        </w:rPr>
      </w:pPr>
      <w:r w:rsidRPr="008C5F1C">
        <w:rPr>
          <w:rFonts w:ascii="Times New Roman" w:hAnsi="Times New Roman" w:cs="Times New Roman"/>
          <w:noProof/>
          <w:sz w:val="18"/>
          <w:szCs w:val="24"/>
        </w:rPr>
        <w:t>** programme providing the complementary support from the ERDF and ESF+ (source).”</w:t>
      </w:r>
    </w:p>
    <w:p w14:paraId="3093133A" w14:textId="77777777" w:rsidR="00510388" w:rsidRPr="008C5F1C" w:rsidRDefault="00510388" w:rsidP="00653571">
      <w:pPr>
        <w:pStyle w:val="Heading3"/>
        <w:numPr>
          <w:ilvl w:val="0"/>
          <w:numId w:val="0"/>
        </w:numPr>
        <w:ind w:left="851" w:hanging="851"/>
        <w:rPr>
          <w:rFonts w:cs="Times New Roman"/>
          <w:b/>
          <w:bCs/>
          <w:i w:val="0"/>
          <w:iCs/>
          <w:noProof/>
          <w:lang w:val="ro-RO"/>
        </w:rPr>
      </w:pPr>
      <w:bookmarkStart w:id="135" w:name="_Toc39840952"/>
      <w:r w:rsidRPr="008C5F1C">
        <w:rPr>
          <w:rFonts w:cs="Times New Roman"/>
          <w:b/>
          <w:bCs/>
          <w:i w:val="0"/>
          <w:iCs/>
          <w:noProof/>
          <w:lang w:val="ro-RO"/>
        </w:rPr>
        <w:t xml:space="preserve"> </w:t>
      </w:r>
    </w:p>
    <w:p w14:paraId="08593C55" w14:textId="77777777" w:rsidR="00510388" w:rsidRPr="008C5F1C" w:rsidRDefault="00510388">
      <w:pPr>
        <w:spacing w:after="160" w:line="259" w:lineRule="auto"/>
        <w:rPr>
          <w:rFonts w:ascii="Times New Roman" w:eastAsia="Calibri" w:hAnsi="Times New Roman" w:cs="Times New Roman"/>
          <w:b/>
          <w:bCs/>
          <w:iCs/>
          <w:noProof/>
          <w:sz w:val="24"/>
        </w:rPr>
      </w:pPr>
      <w:r w:rsidRPr="008C5F1C">
        <w:rPr>
          <w:rFonts w:ascii="Times New Roman" w:hAnsi="Times New Roman" w:cs="Times New Roman"/>
          <w:b/>
          <w:bCs/>
          <w:i/>
          <w:iCs/>
          <w:noProof/>
        </w:rPr>
        <w:br w:type="page"/>
      </w:r>
    </w:p>
    <w:p w14:paraId="60D5EB9F" w14:textId="155566E6" w:rsidR="00653571" w:rsidRPr="008C5F1C" w:rsidRDefault="00653571" w:rsidP="00653571">
      <w:pPr>
        <w:pStyle w:val="Heading3"/>
        <w:numPr>
          <w:ilvl w:val="0"/>
          <w:numId w:val="0"/>
        </w:numPr>
        <w:ind w:left="851" w:hanging="851"/>
        <w:rPr>
          <w:rFonts w:cs="Times New Roman"/>
          <w:b/>
          <w:bCs/>
          <w:i w:val="0"/>
          <w:iCs/>
          <w:noProof/>
          <w:lang w:val="ro-RO"/>
        </w:rPr>
      </w:pPr>
      <w:r w:rsidRPr="008C5F1C">
        <w:rPr>
          <w:rFonts w:cs="Times New Roman"/>
          <w:b/>
          <w:bCs/>
          <w:i w:val="0"/>
          <w:iCs/>
          <w:noProof/>
          <w:lang w:val="ro-RO"/>
        </w:rPr>
        <w:lastRenderedPageBreak/>
        <w:t>3.1 Financial appropriations by year</w:t>
      </w:r>
      <w:bookmarkEnd w:id="135"/>
    </w:p>
    <w:p w14:paraId="09BD0BA1" w14:textId="77777777" w:rsidR="00653571" w:rsidRPr="008C5F1C" w:rsidRDefault="00653571" w:rsidP="00653571">
      <w:pPr>
        <w:spacing w:before="240" w:after="240" w:line="240" w:lineRule="auto"/>
        <w:rPr>
          <w:rFonts w:ascii="Times New Roman" w:eastAsia="Times New Roman" w:hAnsi="Times New Roman" w:cs="Times New Roman"/>
          <w:b/>
          <w:iCs/>
          <w:noProof/>
          <w:sz w:val="24"/>
          <w:szCs w:val="24"/>
        </w:rPr>
      </w:pPr>
      <w:r w:rsidRPr="008C5F1C">
        <w:rPr>
          <w:rFonts w:ascii="Times New Roman" w:eastAsia="Times New Roman" w:hAnsi="Times New Roman" w:cs="Times New Roman"/>
          <w:i/>
          <w:noProof/>
          <w:sz w:val="24"/>
          <w:szCs w:val="24"/>
        </w:rPr>
        <w:t>Reference: Article 17(3)(f)(i)</w:t>
      </w:r>
    </w:p>
    <w:tbl>
      <w:tblPr>
        <w:tblW w:w="14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1973"/>
        <w:gridCol w:w="1176"/>
        <w:gridCol w:w="1359"/>
        <w:gridCol w:w="1359"/>
        <w:gridCol w:w="1359"/>
        <w:gridCol w:w="1359"/>
        <w:gridCol w:w="1359"/>
        <w:gridCol w:w="1359"/>
        <w:gridCol w:w="1734"/>
      </w:tblGrid>
      <w:tr w:rsidR="00510388" w:rsidRPr="008C5F1C" w14:paraId="06C7127D" w14:textId="77777777" w:rsidTr="008D169D">
        <w:trPr>
          <w:trHeight w:val="509"/>
        </w:trPr>
        <w:tc>
          <w:tcPr>
            <w:tcW w:w="1314" w:type="dxa"/>
            <w:vMerge w:val="restart"/>
            <w:tcBorders>
              <w:top w:val="single" w:sz="4" w:space="0" w:color="auto"/>
              <w:left w:val="single" w:sz="4" w:space="0" w:color="auto"/>
              <w:bottom w:val="single" w:sz="4" w:space="0" w:color="auto"/>
              <w:right w:val="single" w:sz="4" w:space="0" w:color="auto"/>
            </w:tcBorders>
            <w:hideMark/>
          </w:tcPr>
          <w:p w14:paraId="3473E34D" w14:textId="77777777" w:rsidR="00653571" w:rsidRPr="008C5F1C" w:rsidRDefault="00653571" w:rsidP="00534127">
            <w:pPr>
              <w:spacing w:before="120" w:after="0" w:line="240" w:lineRule="auto"/>
              <w:rPr>
                <w:rFonts w:ascii="Times New Roman" w:hAnsi="Times New Roman" w:cs="Times New Roman"/>
                <w:b/>
                <w:noProof/>
                <w:sz w:val="18"/>
                <w:szCs w:val="18"/>
              </w:rPr>
            </w:pPr>
            <w:r w:rsidRPr="008C5F1C">
              <w:rPr>
                <w:rFonts w:ascii="Times New Roman" w:hAnsi="Times New Roman" w:cs="Times New Roman"/>
                <w:b/>
                <w:noProof/>
                <w:sz w:val="18"/>
                <w:szCs w:val="18"/>
              </w:rPr>
              <w:t>Fund</w:t>
            </w:r>
          </w:p>
        </w:tc>
        <w:tc>
          <w:tcPr>
            <w:tcW w:w="1973" w:type="dxa"/>
            <w:vMerge w:val="restart"/>
            <w:tcBorders>
              <w:top w:val="single" w:sz="4" w:space="0" w:color="auto"/>
              <w:left w:val="single" w:sz="4" w:space="0" w:color="auto"/>
              <w:bottom w:val="single" w:sz="4" w:space="0" w:color="auto"/>
              <w:right w:val="single" w:sz="4" w:space="0" w:color="auto"/>
            </w:tcBorders>
            <w:hideMark/>
          </w:tcPr>
          <w:p w14:paraId="5CE3C335" w14:textId="77777777" w:rsidR="00653571" w:rsidRPr="008C5F1C" w:rsidRDefault="00653571" w:rsidP="00534127">
            <w:pPr>
              <w:spacing w:before="120" w:after="0" w:line="240" w:lineRule="auto"/>
              <w:rPr>
                <w:rFonts w:ascii="Times New Roman" w:hAnsi="Times New Roman" w:cs="Times New Roman"/>
                <w:b/>
                <w:noProof/>
                <w:sz w:val="18"/>
                <w:szCs w:val="18"/>
              </w:rPr>
            </w:pPr>
            <w:r w:rsidRPr="008C5F1C">
              <w:rPr>
                <w:rFonts w:ascii="Times New Roman" w:hAnsi="Times New Roman" w:cs="Times New Roman"/>
                <w:b/>
                <w:noProof/>
                <w:sz w:val="18"/>
                <w:szCs w:val="18"/>
              </w:rPr>
              <w:t>Category of region</w:t>
            </w:r>
          </w:p>
        </w:tc>
        <w:tc>
          <w:tcPr>
            <w:tcW w:w="1176" w:type="dxa"/>
            <w:vMerge w:val="restart"/>
            <w:tcBorders>
              <w:top w:val="single" w:sz="4" w:space="0" w:color="auto"/>
              <w:left w:val="single" w:sz="4" w:space="0" w:color="auto"/>
              <w:bottom w:val="single" w:sz="4" w:space="0" w:color="auto"/>
              <w:right w:val="single" w:sz="4" w:space="0" w:color="auto"/>
            </w:tcBorders>
            <w:hideMark/>
          </w:tcPr>
          <w:p w14:paraId="28C4B7F9" w14:textId="77777777" w:rsidR="00653571" w:rsidRPr="008C5F1C" w:rsidRDefault="00653571" w:rsidP="00534127">
            <w:pPr>
              <w:spacing w:before="120" w:after="0" w:line="240" w:lineRule="auto"/>
              <w:rPr>
                <w:rFonts w:ascii="Times New Roman" w:hAnsi="Times New Roman" w:cs="Times New Roman"/>
                <w:b/>
                <w:noProof/>
                <w:sz w:val="18"/>
                <w:szCs w:val="18"/>
              </w:rPr>
            </w:pPr>
            <w:r w:rsidRPr="008C5F1C">
              <w:rPr>
                <w:rFonts w:ascii="Times New Roman" w:hAnsi="Times New Roman" w:cs="Times New Roman"/>
                <w:b/>
                <w:noProof/>
                <w:sz w:val="18"/>
                <w:szCs w:val="18"/>
              </w:rPr>
              <w:t>2021</w:t>
            </w:r>
          </w:p>
        </w:tc>
        <w:tc>
          <w:tcPr>
            <w:tcW w:w="1359" w:type="dxa"/>
            <w:vMerge w:val="restart"/>
            <w:tcBorders>
              <w:top w:val="single" w:sz="4" w:space="0" w:color="auto"/>
              <w:left w:val="single" w:sz="4" w:space="0" w:color="auto"/>
              <w:bottom w:val="single" w:sz="4" w:space="0" w:color="auto"/>
              <w:right w:val="single" w:sz="4" w:space="0" w:color="auto"/>
            </w:tcBorders>
            <w:hideMark/>
          </w:tcPr>
          <w:p w14:paraId="1DD29EA1" w14:textId="77777777" w:rsidR="00653571" w:rsidRPr="008C5F1C" w:rsidRDefault="00653571" w:rsidP="00534127">
            <w:pPr>
              <w:spacing w:before="120" w:after="0" w:line="240" w:lineRule="auto"/>
              <w:rPr>
                <w:rFonts w:ascii="Times New Roman" w:hAnsi="Times New Roman" w:cs="Times New Roman"/>
                <w:b/>
                <w:noProof/>
                <w:sz w:val="18"/>
                <w:szCs w:val="18"/>
              </w:rPr>
            </w:pPr>
            <w:r w:rsidRPr="008C5F1C">
              <w:rPr>
                <w:rFonts w:ascii="Times New Roman" w:hAnsi="Times New Roman" w:cs="Times New Roman"/>
                <w:b/>
                <w:noProof/>
                <w:sz w:val="18"/>
                <w:szCs w:val="18"/>
              </w:rPr>
              <w:t>2022</w:t>
            </w:r>
          </w:p>
        </w:tc>
        <w:tc>
          <w:tcPr>
            <w:tcW w:w="1359" w:type="dxa"/>
            <w:vMerge w:val="restart"/>
            <w:tcBorders>
              <w:top w:val="single" w:sz="4" w:space="0" w:color="auto"/>
              <w:left w:val="single" w:sz="4" w:space="0" w:color="auto"/>
              <w:bottom w:val="single" w:sz="4" w:space="0" w:color="auto"/>
              <w:right w:val="single" w:sz="4" w:space="0" w:color="auto"/>
            </w:tcBorders>
            <w:hideMark/>
          </w:tcPr>
          <w:p w14:paraId="341C51CB" w14:textId="77777777" w:rsidR="00653571" w:rsidRPr="008C5F1C" w:rsidRDefault="00653571" w:rsidP="00534127">
            <w:pPr>
              <w:spacing w:before="120" w:after="0" w:line="240" w:lineRule="auto"/>
              <w:rPr>
                <w:rFonts w:ascii="Times New Roman" w:hAnsi="Times New Roman" w:cs="Times New Roman"/>
                <w:b/>
                <w:noProof/>
                <w:sz w:val="18"/>
                <w:szCs w:val="18"/>
              </w:rPr>
            </w:pPr>
            <w:r w:rsidRPr="008C5F1C">
              <w:rPr>
                <w:rFonts w:ascii="Times New Roman" w:hAnsi="Times New Roman" w:cs="Times New Roman"/>
                <w:b/>
                <w:noProof/>
                <w:sz w:val="18"/>
                <w:szCs w:val="18"/>
              </w:rPr>
              <w:t>2023</w:t>
            </w:r>
          </w:p>
        </w:tc>
        <w:tc>
          <w:tcPr>
            <w:tcW w:w="1359" w:type="dxa"/>
            <w:vMerge w:val="restart"/>
            <w:tcBorders>
              <w:top w:val="single" w:sz="4" w:space="0" w:color="auto"/>
              <w:left w:val="single" w:sz="4" w:space="0" w:color="auto"/>
              <w:bottom w:val="single" w:sz="4" w:space="0" w:color="auto"/>
              <w:right w:val="single" w:sz="4" w:space="0" w:color="auto"/>
            </w:tcBorders>
            <w:hideMark/>
          </w:tcPr>
          <w:p w14:paraId="3D7AA147" w14:textId="77777777" w:rsidR="00653571" w:rsidRPr="008C5F1C" w:rsidRDefault="00653571" w:rsidP="00534127">
            <w:pPr>
              <w:spacing w:before="120" w:after="0" w:line="240" w:lineRule="auto"/>
              <w:rPr>
                <w:rFonts w:ascii="Times New Roman" w:hAnsi="Times New Roman" w:cs="Times New Roman"/>
                <w:b/>
                <w:noProof/>
                <w:sz w:val="18"/>
                <w:szCs w:val="18"/>
              </w:rPr>
            </w:pPr>
            <w:r w:rsidRPr="008C5F1C">
              <w:rPr>
                <w:rFonts w:ascii="Times New Roman" w:hAnsi="Times New Roman" w:cs="Times New Roman"/>
                <w:b/>
                <w:noProof/>
                <w:sz w:val="18"/>
                <w:szCs w:val="18"/>
              </w:rPr>
              <w:t>2024</w:t>
            </w:r>
          </w:p>
        </w:tc>
        <w:tc>
          <w:tcPr>
            <w:tcW w:w="1359" w:type="dxa"/>
            <w:vMerge w:val="restart"/>
            <w:tcBorders>
              <w:top w:val="single" w:sz="4" w:space="0" w:color="auto"/>
              <w:left w:val="single" w:sz="4" w:space="0" w:color="auto"/>
              <w:bottom w:val="single" w:sz="4" w:space="0" w:color="auto"/>
              <w:right w:val="single" w:sz="4" w:space="0" w:color="auto"/>
            </w:tcBorders>
            <w:hideMark/>
          </w:tcPr>
          <w:p w14:paraId="2489F40A" w14:textId="77777777" w:rsidR="00653571" w:rsidRPr="008C5F1C" w:rsidRDefault="00653571" w:rsidP="00534127">
            <w:pPr>
              <w:spacing w:before="120" w:after="0" w:line="240" w:lineRule="auto"/>
              <w:jc w:val="center"/>
              <w:rPr>
                <w:rFonts w:ascii="Times New Roman" w:hAnsi="Times New Roman" w:cs="Times New Roman"/>
                <w:b/>
                <w:noProof/>
                <w:sz w:val="18"/>
                <w:szCs w:val="18"/>
              </w:rPr>
            </w:pPr>
            <w:r w:rsidRPr="008C5F1C">
              <w:rPr>
                <w:rFonts w:ascii="Times New Roman" w:hAnsi="Times New Roman" w:cs="Times New Roman"/>
                <w:b/>
                <w:noProof/>
                <w:sz w:val="18"/>
                <w:szCs w:val="18"/>
              </w:rPr>
              <w:t>2025</w:t>
            </w:r>
          </w:p>
        </w:tc>
        <w:tc>
          <w:tcPr>
            <w:tcW w:w="1359" w:type="dxa"/>
            <w:vMerge w:val="restart"/>
            <w:tcBorders>
              <w:top w:val="single" w:sz="4" w:space="0" w:color="auto"/>
              <w:left w:val="single" w:sz="4" w:space="0" w:color="auto"/>
              <w:bottom w:val="single" w:sz="4" w:space="0" w:color="auto"/>
              <w:right w:val="single" w:sz="4" w:space="0" w:color="auto"/>
            </w:tcBorders>
            <w:hideMark/>
          </w:tcPr>
          <w:p w14:paraId="5B63F5E7" w14:textId="77777777" w:rsidR="00653571" w:rsidRPr="008C5F1C" w:rsidRDefault="00653571" w:rsidP="00534127">
            <w:pPr>
              <w:spacing w:before="120" w:after="0" w:line="240" w:lineRule="auto"/>
              <w:jc w:val="center"/>
              <w:rPr>
                <w:rFonts w:ascii="Times New Roman" w:hAnsi="Times New Roman" w:cs="Times New Roman"/>
                <w:b/>
                <w:noProof/>
                <w:sz w:val="18"/>
                <w:szCs w:val="18"/>
              </w:rPr>
            </w:pPr>
            <w:r w:rsidRPr="008C5F1C">
              <w:rPr>
                <w:rFonts w:ascii="Times New Roman" w:hAnsi="Times New Roman" w:cs="Times New Roman"/>
                <w:b/>
                <w:noProof/>
                <w:sz w:val="18"/>
                <w:szCs w:val="18"/>
              </w:rPr>
              <w:t>2026</w:t>
            </w:r>
          </w:p>
        </w:tc>
        <w:tc>
          <w:tcPr>
            <w:tcW w:w="1359" w:type="dxa"/>
            <w:vMerge w:val="restart"/>
            <w:tcBorders>
              <w:top w:val="single" w:sz="4" w:space="0" w:color="auto"/>
              <w:left w:val="single" w:sz="4" w:space="0" w:color="auto"/>
              <w:bottom w:val="single" w:sz="4" w:space="0" w:color="auto"/>
              <w:right w:val="single" w:sz="4" w:space="0" w:color="auto"/>
            </w:tcBorders>
            <w:hideMark/>
          </w:tcPr>
          <w:p w14:paraId="24DD89B1" w14:textId="77777777" w:rsidR="00653571" w:rsidRPr="008C5F1C" w:rsidRDefault="00653571" w:rsidP="00534127">
            <w:pPr>
              <w:spacing w:before="120" w:after="0" w:line="240" w:lineRule="auto"/>
              <w:rPr>
                <w:rFonts w:ascii="Times New Roman" w:hAnsi="Times New Roman" w:cs="Times New Roman"/>
                <w:b/>
                <w:noProof/>
                <w:sz w:val="18"/>
                <w:szCs w:val="18"/>
              </w:rPr>
            </w:pPr>
            <w:r w:rsidRPr="008C5F1C">
              <w:rPr>
                <w:rFonts w:ascii="Times New Roman" w:hAnsi="Times New Roman" w:cs="Times New Roman"/>
                <w:b/>
                <w:noProof/>
                <w:sz w:val="18"/>
                <w:szCs w:val="18"/>
              </w:rPr>
              <w:t>2027</w:t>
            </w:r>
          </w:p>
        </w:tc>
        <w:tc>
          <w:tcPr>
            <w:tcW w:w="1734" w:type="dxa"/>
            <w:vMerge w:val="restart"/>
            <w:tcBorders>
              <w:top w:val="single" w:sz="4" w:space="0" w:color="auto"/>
              <w:left w:val="single" w:sz="4" w:space="0" w:color="auto"/>
              <w:bottom w:val="single" w:sz="4" w:space="0" w:color="auto"/>
              <w:right w:val="single" w:sz="4" w:space="0" w:color="auto"/>
            </w:tcBorders>
            <w:hideMark/>
          </w:tcPr>
          <w:p w14:paraId="61F81EEB" w14:textId="77777777" w:rsidR="00653571" w:rsidRPr="008C5F1C" w:rsidRDefault="00653571" w:rsidP="00534127">
            <w:pPr>
              <w:spacing w:before="120" w:after="0" w:line="240" w:lineRule="auto"/>
              <w:rPr>
                <w:rFonts w:ascii="Times New Roman" w:hAnsi="Times New Roman" w:cs="Times New Roman"/>
                <w:b/>
                <w:noProof/>
                <w:sz w:val="18"/>
                <w:szCs w:val="18"/>
              </w:rPr>
            </w:pPr>
            <w:r w:rsidRPr="008C5F1C">
              <w:rPr>
                <w:rFonts w:ascii="Times New Roman" w:hAnsi="Times New Roman" w:cs="Times New Roman"/>
                <w:b/>
                <w:noProof/>
                <w:sz w:val="18"/>
                <w:szCs w:val="18"/>
              </w:rPr>
              <w:t xml:space="preserve">Total </w:t>
            </w:r>
          </w:p>
        </w:tc>
      </w:tr>
      <w:tr w:rsidR="00510388" w:rsidRPr="008C5F1C" w14:paraId="4BA5F736" w14:textId="77777777" w:rsidTr="008D169D">
        <w:trPr>
          <w:trHeight w:val="450"/>
        </w:trPr>
        <w:tc>
          <w:tcPr>
            <w:tcW w:w="1314" w:type="dxa"/>
            <w:vMerge/>
            <w:tcBorders>
              <w:top w:val="single" w:sz="4" w:space="0" w:color="auto"/>
              <w:left w:val="single" w:sz="4" w:space="0" w:color="auto"/>
              <w:bottom w:val="single" w:sz="4" w:space="0" w:color="auto"/>
              <w:right w:val="single" w:sz="4" w:space="0" w:color="auto"/>
            </w:tcBorders>
            <w:vAlign w:val="center"/>
            <w:hideMark/>
          </w:tcPr>
          <w:p w14:paraId="1E1CF538" w14:textId="77777777" w:rsidR="00653571" w:rsidRPr="008C5F1C" w:rsidRDefault="00653571" w:rsidP="00534127">
            <w:pPr>
              <w:spacing w:after="0"/>
              <w:rPr>
                <w:rFonts w:ascii="Times New Roman" w:hAnsi="Times New Roman" w:cs="Times New Roman"/>
                <w:b/>
                <w:noProof/>
                <w:sz w:val="18"/>
                <w:szCs w:val="18"/>
              </w:rPr>
            </w:pPr>
          </w:p>
        </w:tc>
        <w:tc>
          <w:tcPr>
            <w:tcW w:w="1973" w:type="dxa"/>
            <w:vMerge/>
            <w:tcBorders>
              <w:top w:val="single" w:sz="4" w:space="0" w:color="auto"/>
              <w:left w:val="single" w:sz="4" w:space="0" w:color="auto"/>
              <w:bottom w:val="single" w:sz="4" w:space="0" w:color="auto"/>
              <w:right w:val="single" w:sz="4" w:space="0" w:color="auto"/>
            </w:tcBorders>
            <w:vAlign w:val="center"/>
            <w:hideMark/>
          </w:tcPr>
          <w:p w14:paraId="57F81479" w14:textId="77777777" w:rsidR="00653571" w:rsidRPr="008C5F1C" w:rsidRDefault="00653571" w:rsidP="00534127">
            <w:pPr>
              <w:spacing w:after="0"/>
              <w:rPr>
                <w:rFonts w:ascii="Times New Roman" w:hAnsi="Times New Roman" w:cs="Times New Roman"/>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364976" w14:textId="77777777" w:rsidR="00653571" w:rsidRPr="008C5F1C" w:rsidRDefault="00653571" w:rsidP="00534127">
            <w:pPr>
              <w:spacing w:after="0"/>
              <w:rPr>
                <w:rFonts w:ascii="Times New Roman" w:hAnsi="Times New Roman" w:cs="Times New Roman"/>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AD1619" w14:textId="77777777" w:rsidR="00653571" w:rsidRPr="008C5F1C" w:rsidRDefault="00653571" w:rsidP="00534127">
            <w:pPr>
              <w:spacing w:after="0"/>
              <w:rPr>
                <w:rFonts w:ascii="Times New Roman" w:hAnsi="Times New Roman" w:cs="Times New Roman"/>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359BF0" w14:textId="77777777" w:rsidR="00653571" w:rsidRPr="008C5F1C" w:rsidRDefault="00653571" w:rsidP="00534127">
            <w:pPr>
              <w:spacing w:after="0"/>
              <w:rPr>
                <w:rFonts w:ascii="Times New Roman" w:hAnsi="Times New Roman" w:cs="Times New Roman"/>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AC44BD" w14:textId="77777777" w:rsidR="00653571" w:rsidRPr="008C5F1C" w:rsidRDefault="00653571" w:rsidP="00534127">
            <w:pPr>
              <w:spacing w:after="0"/>
              <w:rPr>
                <w:rFonts w:ascii="Times New Roman" w:hAnsi="Times New Roman" w:cs="Times New Roman"/>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D5FEEB" w14:textId="77777777" w:rsidR="00653571" w:rsidRPr="008C5F1C" w:rsidRDefault="00653571" w:rsidP="00534127">
            <w:pPr>
              <w:spacing w:after="0"/>
              <w:rPr>
                <w:rFonts w:ascii="Times New Roman" w:hAnsi="Times New Roman" w:cs="Times New Roman"/>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A16BBE" w14:textId="77777777" w:rsidR="00653571" w:rsidRPr="008C5F1C" w:rsidRDefault="00653571" w:rsidP="00534127">
            <w:pPr>
              <w:spacing w:after="0"/>
              <w:rPr>
                <w:rFonts w:ascii="Times New Roman" w:hAnsi="Times New Roman" w:cs="Times New Roman"/>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AF20DB" w14:textId="77777777" w:rsidR="00653571" w:rsidRPr="008C5F1C" w:rsidRDefault="00653571" w:rsidP="00534127">
            <w:pPr>
              <w:spacing w:after="0"/>
              <w:rPr>
                <w:rFonts w:ascii="Times New Roman" w:hAnsi="Times New Roman" w:cs="Times New Roman"/>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8C3A51" w14:textId="77777777" w:rsidR="00653571" w:rsidRPr="008C5F1C" w:rsidRDefault="00653571" w:rsidP="00534127">
            <w:pPr>
              <w:spacing w:after="0"/>
              <w:rPr>
                <w:rFonts w:ascii="Times New Roman" w:hAnsi="Times New Roman" w:cs="Times New Roman"/>
                <w:b/>
                <w:noProof/>
                <w:sz w:val="18"/>
                <w:szCs w:val="18"/>
              </w:rPr>
            </w:pPr>
          </w:p>
        </w:tc>
      </w:tr>
      <w:tr w:rsidR="00510388" w:rsidRPr="008C5F1C" w14:paraId="241D9D56" w14:textId="77777777" w:rsidTr="008D169D">
        <w:tc>
          <w:tcPr>
            <w:tcW w:w="1314" w:type="dxa"/>
            <w:vMerge w:val="restart"/>
            <w:tcBorders>
              <w:top w:val="single" w:sz="4" w:space="0" w:color="auto"/>
              <w:left w:val="single" w:sz="4" w:space="0" w:color="auto"/>
              <w:bottom w:val="single" w:sz="4" w:space="0" w:color="auto"/>
              <w:right w:val="single" w:sz="4" w:space="0" w:color="auto"/>
            </w:tcBorders>
            <w:hideMark/>
          </w:tcPr>
          <w:p w14:paraId="3909BEE4" w14:textId="77777777" w:rsidR="00653571" w:rsidRPr="008C5F1C" w:rsidRDefault="00653571" w:rsidP="00534127">
            <w:pPr>
              <w:spacing w:before="120" w:after="120"/>
              <w:rPr>
                <w:rFonts w:ascii="Times New Roman" w:hAnsi="Times New Roman" w:cs="Times New Roman"/>
                <w:noProof/>
                <w:sz w:val="18"/>
                <w:szCs w:val="18"/>
              </w:rPr>
            </w:pPr>
            <w:r w:rsidRPr="008C5F1C">
              <w:rPr>
                <w:rFonts w:ascii="Times New Roman" w:hAnsi="Times New Roman" w:cs="Times New Roman"/>
                <w:noProof/>
                <w:sz w:val="18"/>
                <w:szCs w:val="18"/>
              </w:rPr>
              <w:t>ERDF</w:t>
            </w:r>
          </w:p>
        </w:tc>
        <w:tc>
          <w:tcPr>
            <w:tcW w:w="1973" w:type="dxa"/>
            <w:tcBorders>
              <w:top w:val="single" w:sz="4" w:space="0" w:color="auto"/>
              <w:left w:val="single" w:sz="4" w:space="0" w:color="auto"/>
              <w:bottom w:val="single" w:sz="4" w:space="0" w:color="auto"/>
              <w:right w:val="single" w:sz="4" w:space="0" w:color="auto"/>
            </w:tcBorders>
            <w:hideMark/>
          </w:tcPr>
          <w:p w14:paraId="45ECF65D" w14:textId="77777777" w:rsidR="00653571" w:rsidRPr="008C5F1C" w:rsidRDefault="00653571" w:rsidP="00534127">
            <w:pPr>
              <w:spacing w:before="120" w:after="120"/>
              <w:rPr>
                <w:rFonts w:ascii="Times New Roman" w:hAnsi="Times New Roman" w:cs="Times New Roman"/>
                <w:noProof/>
                <w:sz w:val="18"/>
                <w:szCs w:val="18"/>
              </w:rPr>
            </w:pPr>
            <w:r w:rsidRPr="008C5F1C">
              <w:rPr>
                <w:rFonts w:ascii="Times New Roman" w:hAnsi="Times New Roman" w:cs="Times New Roman"/>
                <w:noProof/>
                <w:sz w:val="18"/>
                <w:szCs w:val="18"/>
              </w:rPr>
              <w:t>More developed</w:t>
            </w:r>
          </w:p>
        </w:tc>
        <w:tc>
          <w:tcPr>
            <w:tcW w:w="1176" w:type="dxa"/>
            <w:tcBorders>
              <w:top w:val="single" w:sz="4" w:space="0" w:color="auto"/>
              <w:left w:val="single" w:sz="4" w:space="0" w:color="auto"/>
              <w:bottom w:val="single" w:sz="4" w:space="0" w:color="auto"/>
              <w:right w:val="single" w:sz="4" w:space="0" w:color="auto"/>
            </w:tcBorders>
          </w:tcPr>
          <w:p w14:paraId="2EB416D7" w14:textId="77777777" w:rsidR="00653571" w:rsidRPr="008C5F1C" w:rsidRDefault="00653571" w:rsidP="00534127">
            <w:pPr>
              <w:spacing w:before="120" w:after="120"/>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tcPr>
          <w:p w14:paraId="4DDD13C4" w14:textId="77777777" w:rsidR="00653571" w:rsidRPr="008C5F1C" w:rsidRDefault="00653571" w:rsidP="00534127">
            <w:pPr>
              <w:spacing w:before="120" w:after="120"/>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tcPr>
          <w:p w14:paraId="354C21FE" w14:textId="77777777" w:rsidR="00653571" w:rsidRPr="008C5F1C" w:rsidRDefault="00653571" w:rsidP="00534127">
            <w:pPr>
              <w:spacing w:before="120" w:after="120"/>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tcPr>
          <w:p w14:paraId="44C0D44E" w14:textId="77777777" w:rsidR="00653571" w:rsidRPr="008C5F1C" w:rsidRDefault="00653571" w:rsidP="00534127">
            <w:pPr>
              <w:spacing w:before="120" w:after="120"/>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tcPr>
          <w:p w14:paraId="349D95AB" w14:textId="77777777" w:rsidR="00653571" w:rsidRPr="008C5F1C" w:rsidRDefault="00653571" w:rsidP="00534127">
            <w:pPr>
              <w:spacing w:before="120" w:after="120"/>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839917" w14:textId="77777777" w:rsidR="00653571" w:rsidRPr="008C5F1C" w:rsidRDefault="00653571" w:rsidP="00534127">
            <w:pPr>
              <w:spacing w:before="120" w:after="120"/>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94C445" w14:textId="77777777" w:rsidR="00653571" w:rsidRPr="008C5F1C" w:rsidRDefault="00653571" w:rsidP="00534127">
            <w:pPr>
              <w:spacing w:before="120" w:after="120"/>
              <w:rPr>
                <w:rFonts w:ascii="Times New Roman" w:hAnsi="Times New Roman" w:cs="Times New Roman"/>
                <w:noProof/>
                <w:sz w:val="18"/>
                <w:szCs w:val="18"/>
              </w:rPr>
            </w:pPr>
          </w:p>
        </w:tc>
        <w:tc>
          <w:tcPr>
            <w:tcW w:w="1734" w:type="dxa"/>
            <w:tcBorders>
              <w:top w:val="single" w:sz="4" w:space="0" w:color="auto"/>
              <w:left w:val="single" w:sz="4" w:space="0" w:color="auto"/>
              <w:bottom w:val="single" w:sz="4" w:space="0" w:color="auto"/>
              <w:right w:val="single" w:sz="4" w:space="0" w:color="auto"/>
            </w:tcBorders>
          </w:tcPr>
          <w:p w14:paraId="093A7EC2" w14:textId="77777777" w:rsidR="00653571" w:rsidRPr="008C5F1C" w:rsidRDefault="00653571" w:rsidP="00534127">
            <w:pPr>
              <w:spacing w:before="120" w:after="120"/>
              <w:rPr>
                <w:rFonts w:ascii="Times New Roman" w:hAnsi="Times New Roman" w:cs="Times New Roman"/>
                <w:noProof/>
                <w:sz w:val="18"/>
                <w:szCs w:val="18"/>
              </w:rPr>
            </w:pPr>
          </w:p>
        </w:tc>
      </w:tr>
      <w:tr w:rsidR="00510388" w:rsidRPr="008C5F1C" w14:paraId="444A1385" w14:textId="77777777" w:rsidTr="008D169D">
        <w:tc>
          <w:tcPr>
            <w:tcW w:w="1314" w:type="dxa"/>
            <w:vMerge/>
            <w:tcBorders>
              <w:top w:val="single" w:sz="4" w:space="0" w:color="auto"/>
              <w:left w:val="single" w:sz="4" w:space="0" w:color="auto"/>
              <w:bottom w:val="single" w:sz="4" w:space="0" w:color="auto"/>
              <w:right w:val="single" w:sz="4" w:space="0" w:color="auto"/>
            </w:tcBorders>
            <w:vAlign w:val="center"/>
            <w:hideMark/>
          </w:tcPr>
          <w:p w14:paraId="1F29C350" w14:textId="77777777" w:rsidR="00653571" w:rsidRPr="008C5F1C" w:rsidRDefault="00653571" w:rsidP="00534127">
            <w:pPr>
              <w:spacing w:after="0"/>
              <w:rPr>
                <w:rFonts w:ascii="Times New Roman" w:hAnsi="Times New Roman" w:cs="Times New Roman"/>
                <w:noProof/>
                <w:sz w:val="18"/>
                <w:szCs w:val="18"/>
              </w:rPr>
            </w:pPr>
          </w:p>
        </w:tc>
        <w:tc>
          <w:tcPr>
            <w:tcW w:w="1973" w:type="dxa"/>
            <w:tcBorders>
              <w:top w:val="single" w:sz="4" w:space="0" w:color="auto"/>
              <w:left w:val="single" w:sz="4" w:space="0" w:color="auto"/>
              <w:bottom w:val="single" w:sz="4" w:space="0" w:color="auto"/>
              <w:right w:val="single" w:sz="4" w:space="0" w:color="auto"/>
            </w:tcBorders>
            <w:hideMark/>
          </w:tcPr>
          <w:p w14:paraId="20368A17" w14:textId="77777777" w:rsidR="00653571" w:rsidRPr="008C5F1C" w:rsidRDefault="00653571" w:rsidP="00534127">
            <w:pPr>
              <w:spacing w:before="120" w:after="120"/>
              <w:rPr>
                <w:rFonts w:ascii="Times New Roman" w:hAnsi="Times New Roman" w:cs="Times New Roman"/>
                <w:strike/>
                <w:noProof/>
                <w:sz w:val="18"/>
                <w:szCs w:val="18"/>
              </w:rPr>
            </w:pPr>
            <w:r w:rsidRPr="008C5F1C">
              <w:rPr>
                <w:rFonts w:ascii="Times New Roman" w:hAnsi="Times New Roman" w:cs="Times New Roman"/>
                <w:noProof/>
                <w:sz w:val="18"/>
                <w:szCs w:val="18"/>
              </w:rPr>
              <w:t>Transition</w:t>
            </w:r>
          </w:p>
        </w:tc>
        <w:tc>
          <w:tcPr>
            <w:tcW w:w="1176" w:type="dxa"/>
            <w:tcBorders>
              <w:top w:val="single" w:sz="4" w:space="0" w:color="auto"/>
              <w:left w:val="single" w:sz="4" w:space="0" w:color="auto"/>
              <w:bottom w:val="single" w:sz="4" w:space="0" w:color="auto"/>
              <w:right w:val="single" w:sz="4" w:space="0" w:color="auto"/>
            </w:tcBorders>
          </w:tcPr>
          <w:p w14:paraId="675C4668" w14:textId="77777777" w:rsidR="00653571" w:rsidRPr="008C5F1C" w:rsidRDefault="00653571" w:rsidP="00534127">
            <w:pPr>
              <w:spacing w:before="120" w:after="120"/>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tcPr>
          <w:p w14:paraId="5A05EA82" w14:textId="77777777" w:rsidR="00653571" w:rsidRPr="008C5F1C" w:rsidRDefault="00653571" w:rsidP="00534127">
            <w:pPr>
              <w:spacing w:before="120" w:after="120"/>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tcPr>
          <w:p w14:paraId="30025831" w14:textId="77777777" w:rsidR="00653571" w:rsidRPr="008C5F1C" w:rsidRDefault="00653571" w:rsidP="00534127">
            <w:pPr>
              <w:spacing w:before="120" w:after="120"/>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tcPr>
          <w:p w14:paraId="64FE16E8" w14:textId="77777777" w:rsidR="00653571" w:rsidRPr="008C5F1C" w:rsidRDefault="00653571" w:rsidP="00534127">
            <w:pPr>
              <w:spacing w:before="120" w:after="120"/>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tcPr>
          <w:p w14:paraId="02C1AA96" w14:textId="77777777" w:rsidR="00653571" w:rsidRPr="008C5F1C" w:rsidRDefault="00653571" w:rsidP="00534127">
            <w:pPr>
              <w:spacing w:before="120" w:after="120"/>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B9E9F9" w14:textId="77777777" w:rsidR="00653571" w:rsidRPr="008C5F1C" w:rsidRDefault="00653571" w:rsidP="00534127">
            <w:pPr>
              <w:spacing w:before="120" w:after="120"/>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51D91E" w14:textId="77777777" w:rsidR="00653571" w:rsidRPr="008C5F1C" w:rsidRDefault="00653571" w:rsidP="00534127">
            <w:pPr>
              <w:spacing w:before="120" w:after="120"/>
              <w:rPr>
                <w:rFonts w:ascii="Times New Roman" w:hAnsi="Times New Roman" w:cs="Times New Roman"/>
                <w:noProof/>
                <w:sz w:val="18"/>
                <w:szCs w:val="18"/>
              </w:rPr>
            </w:pPr>
          </w:p>
        </w:tc>
        <w:tc>
          <w:tcPr>
            <w:tcW w:w="1734" w:type="dxa"/>
            <w:tcBorders>
              <w:top w:val="single" w:sz="4" w:space="0" w:color="auto"/>
              <w:left w:val="single" w:sz="4" w:space="0" w:color="auto"/>
              <w:bottom w:val="single" w:sz="4" w:space="0" w:color="auto"/>
              <w:right w:val="single" w:sz="4" w:space="0" w:color="auto"/>
            </w:tcBorders>
          </w:tcPr>
          <w:p w14:paraId="44030E58" w14:textId="77777777" w:rsidR="00653571" w:rsidRPr="008C5F1C" w:rsidRDefault="00653571" w:rsidP="00534127">
            <w:pPr>
              <w:spacing w:before="120" w:after="120"/>
              <w:rPr>
                <w:rFonts w:ascii="Times New Roman" w:hAnsi="Times New Roman" w:cs="Times New Roman"/>
                <w:noProof/>
                <w:sz w:val="18"/>
                <w:szCs w:val="18"/>
              </w:rPr>
            </w:pPr>
          </w:p>
        </w:tc>
      </w:tr>
      <w:tr w:rsidR="00F0682C" w:rsidRPr="008C5F1C" w14:paraId="569380FA" w14:textId="77777777" w:rsidTr="00F0682C">
        <w:tc>
          <w:tcPr>
            <w:tcW w:w="1314" w:type="dxa"/>
            <w:vMerge/>
            <w:tcBorders>
              <w:top w:val="single" w:sz="4" w:space="0" w:color="auto"/>
              <w:left w:val="single" w:sz="4" w:space="0" w:color="auto"/>
              <w:bottom w:val="single" w:sz="4" w:space="0" w:color="auto"/>
              <w:right w:val="single" w:sz="4" w:space="0" w:color="auto"/>
            </w:tcBorders>
            <w:vAlign w:val="center"/>
            <w:hideMark/>
          </w:tcPr>
          <w:p w14:paraId="68DBAF14" w14:textId="77777777" w:rsidR="00F0682C" w:rsidRPr="008C5F1C" w:rsidRDefault="00F0682C" w:rsidP="00F0682C">
            <w:pPr>
              <w:spacing w:after="0"/>
              <w:rPr>
                <w:rFonts w:ascii="Times New Roman" w:hAnsi="Times New Roman" w:cs="Times New Roman"/>
                <w:noProof/>
                <w:sz w:val="18"/>
                <w:szCs w:val="18"/>
              </w:rPr>
            </w:pPr>
          </w:p>
        </w:tc>
        <w:tc>
          <w:tcPr>
            <w:tcW w:w="1973" w:type="dxa"/>
            <w:tcBorders>
              <w:top w:val="single" w:sz="4" w:space="0" w:color="auto"/>
              <w:left w:val="single" w:sz="4" w:space="0" w:color="auto"/>
              <w:bottom w:val="single" w:sz="4" w:space="0" w:color="auto"/>
              <w:right w:val="single" w:sz="4" w:space="0" w:color="auto"/>
            </w:tcBorders>
            <w:hideMark/>
          </w:tcPr>
          <w:p w14:paraId="4ED88355" w14:textId="77777777" w:rsidR="00F0682C" w:rsidRPr="008C5F1C" w:rsidRDefault="00F0682C" w:rsidP="00F0682C">
            <w:pPr>
              <w:spacing w:before="120" w:after="120"/>
              <w:rPr>
                <w:rFonts w:ascii="Times New Roman" w:hAnsi="Times New Roman" w:cs="Times New Roman"/>
                <w:strike/>
                <w:noProof/>
                <w:sz w:val="18"/>
                <w:szCs w:val="18"/>
                <w:highlight w:val="magenta"/>
              </w:rPr>
            </w:pPr>
            <w:r w:rsidRPr="008C5F1C">
              <w:rPr>
                <w:rFonts w:ascii="Times New Roman" w:hAnsi="Times New Roman" w:cs="Times New Roman"/>
                <w:noProof/>
                <w:sz w:val="18"/>
                <w:szCs w:val="18"/>
              </w:rPr>
              <w:t>Less developed</w:t>
            </w:r>
          </w:p>
        </w:tc>
        <w:tc>
          <w:tcPr>
            <w:tcW w:w="1176" w:type="dxa"/>
            <w:tcBorders>
              <w:top w:val="nil"/>
              <w:left w:val="nil"/>
              <w:bottom w:val="single" w:sz="8" w:space="0" w:color="auto"/>
              <w:right w:val="single" w:sz="8" w:space="0" w:color="auto"/>
            </w:tcBorders>
            <w:shd w:val="clear" w:color="auto" w:fill="auto"/>
            <w:vAlign w:val="center"/>
          </w:tcPr>
          <w:p w14:paraId="63333163" w14:textId="32A39D3B" w:rsidR="00F0682C" w:rsidRPr="008C5F1C" w:rsidRDefault="00F0682C" w:rsidP="00F0682C">
            <w:pPr>
              <w:spacing w:before="120" w:after="120"/>
              <w:jc w:val="right"/>
              <w:rPr>
                <w:rFonts w:ascii="Times New Roman" w:hAnsi="Times New Roman" w:cs="Times New Roman"/>
                <w:b/>
                <w:bCs/>
                <w:noProof/>
                <w:sz w:val="18"/>
                <w:szCs w:val="18"/>
                <w:highlight w:val="magenta"/>
              </w:rPr>
            </w:pPr>
          </w:p>
        </w:tc>
        <w:tc>
          <w:tcPr>
            <w:tcW w:w="1359" w:type="dxa"/>
            <w:tcBorders>
              <w:top w:val="nil"/>
              <w:left w:val="nil"/>
              <w:bottom w:val="single" w:sz="8" w:space="0" w:color="auto"/>
              <w:right w:val="single" w:sz="8" w:space="0" w:color="auto"/>
            </w:tcBorders>
            <w:shd w:val="clear" w:color="auto" w:fill="auto"/>
            <w:vAlign w:val="center"/>
          </w:tcPr>
          <w:p w14:paraId="3DFA972E" w14:textId="3C556229" w:rsidR="00F0682C" w:rsidRPr="008C5F1C" w:rsidRDefault="00F0682C" w:rsidP="00F0682C">
            <w:pPr>
              <w:spacing w:before="120" w:after="120"/>
              <w:jc w:val="right"/>
              <w:rPr>
                <w:rFonts w:ascii="Times New Roman" w:hAnsi="Times New Roman" w:cs="Times New Roman"/>
                <w:b/>
                <w:bCs/>
                <w:noProof/>
                <w:sz w:val="18"/>
                <w:szCs w:val="18"/>
                <w:highlight w:val="magenta"/>
              </w:rPr>
            </w:pPr>
          </w:p>
        </w:tc>
        <w:tc>
          <w:tcPr>
            <w:tcW w:w="1359" w:type="dxa"/>
            <w:tcBorders>
              <w:top w:val="nil"/>
              <w:left w:val="nil"/>
              <w:bottom w:val="single" w:sz="8" w:space="0" w:color="auto"/>
              <w:right w:val="single" w:sz="8" w:space="0" w:color="auto"/>
            </w:tcBorders>
            <w:shd w:val="clear" w:color="auto" w:fill="auto"/>
            <w:vAlign w:val="center"/>
          </w:tcPr>
          <w:p w14:paraId="51868EFC" w14:textId="14DB4E3E" w:rsidR="00F0682C" w:rsidRPr="008C5F1C" w:rsidRDefault="00F0682C" w:rsidP="00F0682C">
            <w:pPr>
              <w:spacing w:before="120" w:after="120"/>
              <w:jc w:val="right"/>
              <w:rPr>
                <w:rFonts w:ascii="Times New Roman" w:hAnsi="Times New Roman" w:cs="Times New Roman"/>
                <w:b/>
                <w:bCs/>
                <w:noProof/>
                <w:sz w:val="18"/>
                <w:szCs w:val="18"/>
                <w:highlight w:val="magenta"/>
              </w:rPr>
            </w:pPr>
          </w:p>
        </w:tc>
        <w:tc>
          <w:tcPr>
            <w:tcW w:w="1359" w:type="dxa"/>
            <w:tcBorders>
              <w:top w:val="nil"/>
              <w:left w:val="nil"/>
              <w:bottom w:val="single" w:sz="8" w:space="0" w:color="auto"/>
              <w:right w:val="single" w:sz="8" w:space="0" w:color="auto"/>
            </w:tcBorders>
            <w:shd w:val="clear" w:color="auto" w:fill="auto"/>
            <w:vAlign w:val="center"/>
          </w:tcPr>
          <w:p w14:paraId="32283A21" w14:textId="1B89E9CE" w:rsidR="00F0682C" w:rsidRPr="008C5F1C" w:rsidRDefault="00F0682C" w:rsidP="00F0682C">
            <w:pPr>
              <w:spacing w:before="120" w:after="120"/>
              <w:jc w:val="right"/>
              <w:rPr>
                <w:rFonts w:ascii="Times New Roman" w:hAnsi="Times New Roman" w:cs="Times New Roman"/>
                <w:b/>
                <w:bCs/>
                <w:noProof/>
                <w:sz w:val="18"/>
                <w:szCs w:val="18"/>
                <w:highlight w:val="magenta"/>
              </w:rPr>
            </w:pPr>
          </w:p>
        </w:tc>
        <w:tc>
          <w:tcPr>
            <w:tcW w:w="1359" w:type="dxa"/>
            <w:tcBorders>
              <w:top w:val="nil"/>
              <w:left w:val="nil"/>
              <w:bottom w:val="single" w:sz="8" w:space="0" w:color="auto"/>
              <w:right w:val="single" w:sz="8" w:space="0" w:color="auto"/>
            </w:tcBorders>
            <w:shd w:val="clear" w:color="auto" w:fill="auto"/>
            <w:vAlign w:val="center"/>
          </w:tcPr>
          <w:p w14:paraId="4C4AE2FF" w14:textId="38AB37D6" w:rsidR="00F0682C" w:rsidRPr="008C5F1C" w:rsidRDefault="00F0682C" w:rsidP="00F0682C">
            <w:pPr>
              <w:spacing w:before="120" w:after="120"/>
              <w:jc w:val="right"/>
              <w:rPr>
                <w:rFonts w:ascii="Times New Roman" w:hAnsi="Times New Roman" w:cs="Times New Roman"/>
                <w:b/>
                <w:bCs/>
                <w:noProof/>
                <w:sz w:val="18"/>
                <w:szCs w:val="18"/>
                <w:highlight w:val="magenta"/>
              </w:rPr>
            </w:pPr>
          </w:p>
        </w:tc>
        <w:tc>
          <w:tcPr>
            <w:tcW w:w="1359" w:type="dxa"/>
            <w:tcBorders>
              <w:top w:val="nil"/>
              <w:left w:val="nil"/>
              <w:bottom w:val="single" w:sz="8" w:space="0" w:color="auto"/>
              <w:right w:val="single" w:sz="8" w:space="0" w:color="auto"/>
            </w:tcBorders>
            <w:shd w:val="clear" w:color="auto" w:fill="D0CECE" w:themeFill="background2" w:themeFillShade="E6"/>
          </w:tcPr>
          <w:p w14:paraId="6FF336C3" w14:textId="296DBDD7" w:rsidR="00F0682C" w:rsidRPr="008C5F1C" w:rsidRDefault="00F0682C" w:rsidP="00F0682C">
            <w:pPr>
              <w:spacing w:before="120" w:after="120"/>
              <w:rPr>
                <w:rFonts w:ascii="Times New Roman" w:hAnsi="Times New Roman" w:cs="Times New Roman"/>
                <w:noProof/>
                <w:sz w:val="18"/>
                <w:szCs w:val="18"/>
                <w:highlight w:val="lightGray"/>
              </w:rPr>
            </w:pPr>
          </w:p>
        </w:tc>
        <w:tc>
          <w:tcPr>
            <w:tcW w:w="1359" w:type="dxa"/>
            <w:tcBorders>
              <w:top w:val="nil"/>
              <w:left w:val="nil"/>
              <w:bottom w:val="single" w:sz="8" w:space="0" w:color="auto"/>
              <w:right w:val="single" w:sz="8" w:space="0" w:color="auto"/>
            </w:tcBorders>
            <w:shd w:val="clear" w:color="auto" w:fill="D0CECE" w:themeFill="background2" w:themeFillShade="E6"/>
          </w:tcPr>
          <w:p w14:paraId="6088C6C8" w14:textId="4765DA1F" w:rsidR="00F0682C" w:rsidRPr="008C5F1C" w:rsidRDefault="00F0682C" w:rsidP="00F0682C">
            <w:pPr>
              <w:spacing w:before="120" w:after="120"/>
              <w:rPr>
                <w:rFonts w:ascii="Times New Roman" w:hAnsi="Times New Roman" w:cs="Times New Roman"/>
                <w:noProof/>
                <w:sz w:val="18"/>
                <w:szCs w:val="18"/>
                <w:highlight w:val="lightGray"/>
              </w:rPr>
            </w:pPr>
          </w:p>
        </w:tc>
        <w:tc>
          <w:tcPr>
            <w:tcW w:w="1734" w:type="dxa"/>
            <w:tcBorders>
              <w:top w:val="nil"/>
              <w:left w:val="nil"/>
              <w:bottom w:val="single" w:sz="8" w:space="0" w:color="auto"/>
              <w:right w:val="single" w:sz="8" w:space="0" w:color="auto"/>
            </w:tcBorders>
            <w:shd w:val="clear" w:color="auto" w:fill="auto"/>
          </w:tcPr>
          <w:p w14:paraId="7A3ECEE1" w14:textId="49D3AE35" w:rsidR="00F0682C" w:rsidRPr="008C5F1C" w:rsidRDefault="00F0682C" w:rsidP="00F0682C">
            <w:pPr>
              <w:spacing w:before="120" w:after="120"/>
              <w:jc w:val="right"/>
              <w:rPr>
                <w:rFonts w:ascii="Times New Roman" w:hAnsi="Times New Roman" w:cs="Times New Roman"/>
                <w:b/>
                <w:bCs/>
                <w:noProof/>
                <w:sz w:val="18"/>
                <w:szCs w:val="18"/>
              </w:rPr>
            </w:pPr>
          </w:p>
        </w:tc>
      </w:tr>
      <w:tr w:rsidR="00F0682C" w:rsidRPr="008C5F1C" w14:paraId="326F73E8" w14:textId="77777777" w:rsidTr="008D169D">
        <w:tc>
          <w:tcPr>
            <w:tcW w:w="1314" w:type="dxa"/>
            <w:vMerge/>
            <w:tcBorders>
              <w:top w:val="single" w:sz="4" w:space="0" w:color="auto"/>
              <w:left w:val="single" w:sz="4" w:space="0" w:color="auto"/>
              <w:bottom w:val="single" w:sz="4" w:space="0" w:color="auto"/>
              <w:right w:val="single" w:sz="4" w:space="0" w:color="auto"/>
            </w:tcBorders>
            <w:vAlign w:val="center"/>
            <w:hideMark/>
          </w:tcPr>
          <w:p w14:paraId="73C7DEBE" w14:textId="77777777" w:rsidR="00F0682C" w:rsidRPr="008C5F1C" w:rsidRDefault="00F0682C" w:rsidP="00F0682C">
            <w:pPr>
              <w:spacing w:after="0"/>
              <w:rPr>
                <w:rFonts w:ascii="Times New Roman" w:hAnsi="Times New Roman" w:cs="Times New Roman"/>
                <w:noProof/>
                <w:sz w:val="18"/>
                <w:szCs w:val="18"/>
              </w:rPr>
            </w:pPr>
          </w:p>
        </w:tc>
        <w:tc>
          <w:tcPr>
            <w:tcW w:w="1973" w:type="dxa"/>
            <w:tcBorders>
              <w:top w:val="single" w:sz="4" w:space="0" w:color="auto"/>
              <w:left w:val="single" w:sz="4" w:space="0" w:color="auto"/>
              <w:bottom w:val="single" w:sz="4" w:space="0" w:color="auto"/>
              <w:right w:val="single" w:sz="4" w:space="0" w:color="auto"/>
            </w:tcBorders>
            <w:hideMark/>
          </w:tcPr>
          <w:p w14:paraId="55B91CC1" w14:textId="77777777" w:rsidR="00F0682C" w:rsidRPr="008C5F1C" w:rsidRDefault="00F0682C" w:rsidP="00F0682C">
            <w:pPr>
              <w:spacing w:before="120" w:after="120"/>
              <w:rPr>
                <w:rFonts w:ascii="Times New Roman" w:hAnsi="Times New Roman" w:cs="Times New Roman"/>
                <w:noProof/>
                <w:sz w:val="18"/>
                <w:szCs w:val="18"/>
              </w:rPr>
            </w:pPr>
            <w:r w:rsidRPr="008C5F1C">
              <w:rPr>
                <w:rFonts w:ascii="Times New Roman" w:hAnsi="Times New Roman" w:cs="Times New Roman"/>
                <w:noProof/>
                <w:sz w:val="18"/>
                <w:szCs w:val="18"/>
              </w:rPr>
              <w:t>Outermost and northern sparsely populated</w:t>
            </w:r>
          </w:p>
        </w:tc>
        <w:tc>
          <w:tcPr>
            <w:tcW w:w="1176" w:type="dxa"/>
            <w:tcBorders>
              <w:top w:val="single" w:sz="4" w:space="0" w:color="auto"/>
              <w:left w:val="single" w:sz="4" w:space="0" w:color="auto"/>
              <w:bottom w:val="single" w:sz="4" w:space="0" w:color="auto"/>
              <w:right w:val="single" w:sz="4" w:space="0" w:color="auto"/>
            </w:tcBorders>
          </w:tcPr>
          <w:p w14:paraId="3990EA29" w14:textId="77777777" w:rsidR="00F0682C" w:rsidRPr="008C5F1C" w:rsidRDefault="00F0682C" w:rsidP="00F0682C">
            <w:pPr>
              <w:spacing w:before="120" w:after="120"/>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tcPr>
          <w:p w14:paraId="0773FCC4" w14:textId="77777777" w:rsidR="00F0682C" w:rsidRPr="008C5F1C" w:rsidRDefault="00F0682C" w:rsidP="00F0682C">
            <w:pPr>
              <w:spacing w:before="120" w:after="120"/>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tcPr>
          <w:p w14:paraId="07B4A4D4" w14:textId="77777777" w:rsidR="00F0682C" w:rsidRPr="008C5F1C" w:rsidRDefault="00F0682C" w:rsidP="00F0682C">
            <w:pPr>
              <w:spacing w:before="120" w:after="120"/>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tcPr>
          <w:p w14:paraId="38240047" w14:textId="77777777" w:rsidR="00F0682C" w:rsidRPr="008C5F1C" w:rsidRDefault="00F0682C" w:rsidP="00F0682C">
            <w:pPr>
              <w:spacing w:before="120" w:after="120"/>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tcPr>
          <w:p w14:paraId="582B8486" w14:textId="77777777" w:rsidR="00F0682C" w:rsidRPr="008C5F1C" w:rsidRDefault="00F0682C" w:rsidP="00F0682C">
            <w:pPr>
              <w:spacing w:before="120" w:after="120"/>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87F5A1" w14:textId="77777777" w:rsidR="00F0682C" w:rsidRPr="008C5F1C" w:rsidRDefault="00F0682C" w:rsidP="00F0682C">
            <w:pPr>
              <w:spacing w:before="120" w:after="120"/>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E6D903" w14:textId="77777777" w:rsidR="00F0682C" w:rsidRPr="008C5F1C" w:rsidRDefault="00F0682C" w:rsidP="00F0682C">
            <w:pPr>
              <w:spacing w:before="120" w:after="120"/>
              <w:rPr>
                <w:rFonts w:ascii="Times New Roman" w:hAnsi="Times New Roman" w:cs="Times New Roman"/>
                <w:noProof/>
                <w:sz w:val="18"/>
                <w:szCs w:val="18"/>
              </w:rPr>
            </w:pPr>
          </w:p>
        </w:tc>
        <w:tc>
          <w:tcPr>
            <w:tcW w:w="1734" w:type="dxa"/>
            <w:tcBorders>
              <w:top w:val="single" w:sz="4" w:space="0" w:color="auto"/>
              <w:left w:val="single" w:sz="4" w:space="0" w:color="auto"/>
              <w:bottom w:val="single" w:sz="4" w:space="0" w:color="auto"/>
              <w:right w:val="single" w:sz="4" w:space="0" w:color="auto"/>
            </w:tcBorders>
          </w:tcPr>
          <w:p w14:paraId="5D20126B" w14:textId="77777777" w:rsidR="00F0682C" w:rsidRPr="008C5F1C" w:rsidRDefault="00F0682C" w:rsidP="00F0682C">
            <w:pPr>
              <w:spacing w:before="120" w:after="120"/>
              <w:rPr>
                <w:rFonts w:ascii="Times New Roman" w:hAnsi="Times New Roman" w:cs="Times New Roman"/>
                <w:noProof/>
                <w:sz w:val="18"/>
                <w:szCs w:val="18"/>
              </w:rPr>
            </w:pPr>
          </w:p>
        </w:tc>
      </w:tr>
      <w:tr w:rsidR="00F0682C" w:rsidRPr="008C5F1C" w14:paraId="1DDB0FEA" w14:textId="77777777" w:rsidTr="008D169D">
        <w:tc>
          <w:tcPr>
            <w:tcW w:w="1314" w:type="dxa"/>
            <w:tcBorders>
              <w:top w:val="single" w:sz="4" w:space="0" w:color="auto"/>
              <w:left w:val="single" w:sz="4" w:space="0" w:color="auto"/>
              <w:bottom w:val="single" w:sz="4" w:space="0" w:color="auto"/>
              <w:right w:val="single" w:sz="4" w:space="0" w:color="auto"/>
            </w:tcBorders>
            <w:hideMark/>
          </w:tcPr>
          <w:p w14:paraId="78BE475F" w14:textId="77777777" w:rsidR="00F0682C" w:rsidRPr="008C5F1C" w:rsidRDefault="00F0682C" w:rsidP="00F0682C">
            <w:pPr>
              <w:spacing w:before="120" w:after="120"/>
              <w:rPr>
                <w:rFonts w:ascii="Times New Roman" w:hAnsi="Times New Roman" w:cs="Times New Roman"/>
                <w:noProof/>
                <w:sz w:val="18"/>
                <w:szCs w:val="18"/>
              </w:rPr>
            </w:pPr>
            <w:r w:rsidRPr="008C5F1C">
              <w:rPr>
                <w:rFonts w:ascii="Times New Roman" w:hAnsi="Times New Roman" w:cs="Times New Roman"/>
                <w:noProof/>
                <w:sz w:val="18"/>
                <w:szCs w:val="18"/>
              </w:rPr>
              <w:t>Total</w:t>
            </w:r>
          </w:p>
        </w:tc>
        <w:tc>
          <w:tcPr>
            <w:tcW w:w="1973" w:type="dxa"/>
            <w:tcBorders>
              <w:top w:val="single" w:sz="4" w:space="0" w:color="auto"/>
              <w:left w:val="single" w:sz="4" w:space="0" w:color="auto"/>
              <w:bottom w:val="single" w:sz="4" w:space="0" w:color="auto"/>
              <w:right w:val="single" w:sz="4" w:space="0" w:color="auto"/>
            </w:tcBorders>
          </w:tcPr>
          <w:p w14:paraId="36C4FB47" w14:textId="77777777" w:rsidR="00F0682C" w:rsidRPr="008C5F1C" w:rsidRDefault="00F0682C" w:rsidP="00F0682C">
            <w:pPr>
              <w:spacing w:before="120" w:after="120"/>
              <w:rPr>
                <w:rFonts w:ascii="Times New Roman" w:hAnsi="Times New Roman" w:cs="Times New Roman"/>
                <w:noProof/>
                <w:sz w:val="18"/>
                <w:szCs w:val="18"/>
              </w:rPr>
            </w:pPr>
          </w:p>
        </w:tc>
        <w:tc>
          <w:tcPr>
            <w:tcW w:w="1176" w:type="dxa"/>
            <w:tcBorders>
              <w:top w:val="single" w:sz="4" w:space="0" w:color="auto"/>
              <w:left w:val="single" w:sz="4" w:space="0" w:color="auto"/>
              <w:bottom w:val="single" w:sz="4" w:space="0" w:color="auto"/>
              <w:right w:val="single" w:sz="4" w:space="0" w:color="auto"/>
            </w:tcBorders>
            <w:vAlign w:val="center"/>
          </w:tcPr>
          <w:p w14:paraId="3DE89EB2" w14:textId="0F2FFFF5" w:rsidR="00F0682C" w:rsidRPr="008C5F1C" w:rsidRDefault="00F0682C" w:rsidP="00F0682C">
            <w:pPr>
              <w:spacing w:before="120" w:after="120"/>
              <w:jc w:val="right"/>
              <w:rPr>
                <w:rFonts w:ascii="Times New Roman" w:hAnsi="Times New Roman" w:cs="Times New Roman"/>
                <w:b/>
                <w:bCs/>
                <w:noProof/>
                <w:sz w:val="18"/>
                <w:szCs w:val="18"/>
              </w:rPr>
            </w:pPr>
          </w:p>
        </w:tc>
        <w:tc>
          <w:tcPr>
            <w:tcW w:w="1359" w:type="dxa"/>
            <w:tcBorders>
              <w:top w:val="single" w:sz="4" w:space="0" w:color="auto"/>
              <w:left w:val="single" w:sz="4" w:space="0" w:color="auto"/>
              <w:bottom w:val="single" w:sz="4" w:space="0" w:color="auto"/>
              <w:right w:val="single" w:sz="4" w:space="0" w:color="auto"/>
            </w:tcBorders>
            <w:vAlign w:val="center"/>
          </w:tcPr>
          <w:p w14:paraId="201CEC95" w14:textId="0C6EBC07" w:rsidR="00F0682C" w:rsidRPr="008C5F1C" w:rsidRDefault="00F0682C" w:rsidP="00F0682C">
            <w:pPr>
              <w:spacing w:before="120" w:after="120"/>
              <w:jc w:val="right"/>
              <w:rPr>
                <w:rFonts w:ascii="Times New Roman" w:hAnsi="Times New Roman" w:cs="Times New Roman"/>
                <w:b/>
                <w:bCs/>
                <w:noProof/>
                <w:sz w:val="18"/>
                <w:szCs w:val="18"/>
              </w:rPr>
            </w:pPr>
          </w:p>
        </w:tc>
        <w:tc>
          <w:tcPr>
            <w:tcW w:w="1359" w:type="dxa"/>
            <w:tcBorders>
              <w:top w:val="single" w:sz="4" w:space="0" w:color="auto"/>
              <w:left w:val="single" w:sz="4" w:space="0" w:color="auto"/>
              <w:bottom w:val="single" w:sz="4" w:space="0" w:color="auto"/>
              <w:right w:val="single" w:sz="4" w:space="0" w:color="auto"/>
            </w:tcBorders>
            <w:vAlign w:val="center"/>
          </w:tcPr>
          <w:p w14:paraId="10ACC269" w14:textId="66BA1970" w:rsidR="00F0682C" w:rsidRPr="008C5F1C" w:rsidRDefault="00F0682C" w:rsidP="00F0682C">
            <w:pPr>
              <w:spacing w:before="120" w:after="120"/>
              <w:jc w:val="right"/>
              <w:rPr>
                <w:rFonts w:ascii="Times New Roman" w:hAnsi="Times New Roman" w:cs="Times New Roman"/>
                <w:b/>
                <w:bCs/>
                <w:noProof/>
                <w:sz w:val="18"/>
                <w:szCs w:val="18"/>
              </w:rPr>
            </w:pPr>
          </w:p>
        </w:tc>
        <w:tc>
          <w:tcPr>
            <w:tcW w:w="1359" w:type="dxa"/>
            <w:tcBorders>
              <w:top w:val="single" w:sz="4" w:space="0" w:color="auto"/>
              <w:left w:val="single" w:sz="4" w:space="0" w:color="auto"/>
              <w:bottom w:val="single" w:sz="4" w:space="0" w:color="auto"/>
              <w:right w:val="single" w:sz="4" w:space="0" w:color="auto"/>
            </w:tcBorders>
            <w:vAlign w:val="center"/>
          </w:tcPr>
          <w:p w14:paraId="4EAAE50D" w14:textId="6D8A1E52" w:rsidR="00F0682C" w:rsidRPr="008C5F1C" w:rsidRDefault="00F0682C" w:rsidP="00F0682C">
            <w:pPr>
              <w:spacing w:before="120" w:after="120"/>
              <w:jc w:val="right"/>
              <w:rPr>
                <w:rFonts w:ascii="Times New Roman" w:hAnsi="Times New Roman" w:cs="Times New Roman"/>
                <w:b/>
                <w:bCs/>
                <w:noProof/>
                <w:sz w:val="18"/>
                <w:szCs w:val="18"/>
              </w:rPr>
            </w:pPr>
          </w:p>
        </w:tc>
        <w:tc>
          <w:tcPr>
            <w:tcW w:w="1359" w:type="dxa"/>
            <w:tcBorders>
              <w:top w:val="single" w:sz="4" w:space="0" w:color="auto"/>
              <w:left w:val="single" w:sz="4" w:space="0" w:color="auto"/>
              <w:bottom w:val="single" w:sz="4" w:space="0" w:color="auto"/>
              <w:right w:val="single" w:sz="4" w:space="0" w:color="auto"/>
            </w:tcBorders>
            <w:vAlign w:val="center"/>
          </w:tcPr>
          <w:p w14:paraId="0D21F253" w14:textId="1B88E371" w:rsidR="00F0682C" w:rsidRPr="008C5F1C" w:rsidRDefault="00F0682C" w:rsidP="00F0682C">
            <w:pPr>
              <w:spacing w:before="120" w:after="120"/>
              <w:jc w:val="right"/>
              <w:rPr>
                <w:rFonts w:ascii="Times New Roman" w:hAnsi="Times New Roman" w:cs="Times New Roman"/>
                <w:b/>
                <w:bCs/>
                <w:noProof/>
                <w:sz w:val="18"/>
                <w:szCs w:val="18"/>
              </w:rPr>
            </w:pPr>
          </w:p>
        </w:tc>
        <w:tc>
          <w:tcPr>
            <w:tcW w:w="13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5A2262" w14:textId="5F8D8B3D" w:rsidR="00F0682C" w:rsidRPr="008C5F1C" w:rsidRDefault="00F0682C" w:rsidP="00F0682C">
            <w:pPr>
              <w:spacing w:before="120" w:after="120"/>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E5E757" w14:textId="2BEA88C4" w:rsidR="00F0682C" w:rsidRPr="008C5F1C" w:rsidRDefault="00F0682C" w:rsidP="00F0682C">
            <w:pPr>
              <w:spacing w:before="120" w:after="120"/>
              <w:jc w:val="right"/>
              <w:rPr>
                <w:rFonts w:ascii="Times New Roman" w:hAnsi="Times New Roman" w:cs="Times New Roman"/>
                <w:noProof/>
                <w:sz w:val="18"/>
                <w:szCs w:val="18"/>
              </w:rPr>
            </w:pPr>
          </w:p>
        </w:tc>
        <w:tc>
          <w:tcPr>
            <w:tcW w:w="1734" w:type="dxa"/>
            <w:tcBorders>
              <w:top w:val="single" w:sz="4" w:space="0" w:color="auto"/>
              <w:left w:val="single" w:sz="4" w:space="0" w:color="auto"/>
              <w:bottom w:val="single" w:sz="4" w:space="0" w:color="auto"/>
              <w:right w:val="single" w:sz="4" w:space="0" w:color="auto"/>
            </w:tcBorders>
            <w:vAlign w:val="center"/>
          </w:tcPr>
          <w:p w14:paraId="74E8B0FF" w14:textId="58CF15EC" w:rsidR="00F0682C" w:rsidRPr="008C5F1C" w:rsidRDefault="00F0682C" w:rsidP="00F0682C">
            <w:pPr>
              <w:spacing w:before="120" w:after="120"/>
              <w:jc w:val="right"/>
              <w:rPr>
                <w:rFonts w:ascii="Times New Roman" w:hAnsi="Times New Roman" w:cs="Times New Roman"/>
                <w:noProof/>
                <w:sz w:val="18"/>
                <w:szCs w:val="18"/>
              </w:rPr>
            </w:pPr>
          </w:p>
        </w:tc>
      </w:tr>
      <w:tr w:rsidR="00F0682C" w:rsidRPr="008C5F1C" w14:paraId="05261FCB" w14:textId="77777777" w:rsidTr="008D169D">
        <w:tc>
          <w:tcPr>
            <w:tcW w:w="1314" w:type="dxa"/>
            <w:vMerge w:val="restart"/>
            <w:tcBorders>
              <w:top w:val="single" w:sz="4" w:space="0" w:color="auto"/>
              <w:left w:val="single" w:sz="4" w:space="0" w:color="auto"/>
              <w:bottom w:val="single" w:sz="4" w:space="0" w:color="auto"/>
              <w:right w:val="single" w:sz="4" w:space="0" w:color="auto"/>
            </w:tcBorders>
            <w:hideMark/>
          </w:tcPr>
          <w:p w14:paraId="77FE3F6C" w14:textId="77777777" w:rsidR="00F0682C" w:rsidRPr="008C5F1C" w:rsidRDefault="00F0682C" w:rsidP="00F0682C">
            <w:pPr>
              <w:spacing w:before="120" w:after="120"/>
              <w:rPr>
                <w:rFonts w:ascii="Times New Roman" w:hAnsi="Times New Roman" w:cs="Times New Roman"/>
                <w:noProof/>
                <w:sz w:val="18"/>
                <w:szCs w:val="18"/>
              </w:rPr>
            </w:pPr>
            <w:r w:rsidRPr="008C5F1C">
              <w:rPr>
                <w:rFonts w:ascii="Times New Roman" w:hAnsi="Times New Roman" w:cs="Times New Roman"/>
                <w:noProof/>
                <w:sz w:val="18"/>
                <w:szCs w:val="18"/>
              </w:rPr>
              <w:t>ESF+</w:t>
            </w:r>
          </w:p>
        </w:tc>
        <w:tc>
          <w:tcPr>
            <w:tcW w:w="1973" w:type="dxa"/>
            <w:tcBorders>
              <w:top w:val="single" w:sz="4" w:space="0" w:color="auto"/>
              <w:left w:val="single" w:sz="4" w:space="0" w:color="auto"/>
              <w:bottom w:val="single" w:sz="4" w:space="0" w:color="auto"/>
              <w:right w:val="single" w:sz="4" w:space="0" w:color="auto"/>
            </w:tcBorders>
            <w:hideMark/>
          </w:tcPr>
          <w:p w14:paraId="6FD41402" w14:textId="77777777" w:rsidR="00F0682C" w:rsidRPr="008C5F1C" w:rsidRDefault="00F0682C" w:rsidP="00F0682C">
            <w:pPr>
              <w:spacing w:before="120" w:after="120"/>
              <w:rPr>
                <w:rFonts w:ascii="Times New Roman" w:hAnsi="Times New Roman" w:cs="Times New Roman"/>
                <w:noProof/>
                <w:sz w:val="18"/>
                <w:szCs w:val="18"/>
              </w:rPr>
            </w:pPr>
            <w:r w:rsidRPr="008C5F1C">
              <w:rPr>
                <w:rFonts w:ascii="Times New Roman" w:hAnsi="Times New Roman" w:cs="Times New Roman"/>
                <w:noProof/>
                <w:sz w:val="18"/>
                <w:szCs w:val="18"/>
              </w:rPr>
              <w:t>More developed</w:t>
            </w:r>
          </w:p>
        </w:tc>
        <w:tc>
          <w:tcPr>
            <w:tcW w:w="1176" w:type="dxa"/>
            <w:tcBorders>
              <w:top w:val="single" w:sz="4" w:space="0" w:color="auto"/>
              <w:left w:val="single" w:sz="4" w:space="0" w:color="auto"/>
              <w:bottom w:val="single" w:sz="4" w:space="0" w:color="auto"/>
              <w:right w:val="single" w:sz="4" w:space="0" w:color="auto"/>
            </w:tcBorders>
          </w:tcPr>
          <w:p w14:paraId="361081A5" w14:textId="77777777" w:rsidR="00F0682C" w:rsidRPr="008C5F1C" w:rsidRDefault="00F0682C" w:rsidP="00F0682C">
            <w:pPr>
              <w:spacing w:before="120" w:after="120"/>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tcPr>
          <w:p w14:paraId="324A6697" w14:textId="77777777" w:rsidR="00F0682C" w:rsidRPr="008C5F1C" w:rsidRDefault="00F0682C" w:rsidP="00F0682C">
            <w:pPr>
              <w:spacing w:before="120" w:after="120"/>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tcPr>
          <w:p w14:paraId="6B4E8BEA" w14:textId="77777777" w:rsidR="00F0682C" w:rsidRPr="008C5F1C" w:rsidRDefault="00F0682C" w:rsidP="00F0682C">
            <w:pPr>
              <w:spacing w:before="120" w:after="120"/>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tcPr>
          <w:p w14:paraId="3F5A80C6" w14:textId="77777777" w:rsidR="00F0682C" w:rsidRPr="008C5F1C" w:rsidRDefault="00F0682C" w:rsidP="00F0682C">
            <w:pPr>
              <w:spacing w:before="120" w:after="120"/>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tcPr>
          <w:p w14:paraId="0E0B1402" w14:textId="77777777" w:rsidR="00F0682C" w:rsidRPr="008C5F1C" w:rsidRDefault="00F0682C" w:rsidP="00F0682C">
            <w:pPr>
              <w:spacing w:before="120" w:after="120"/>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0B4FAA" w14:textId="77777777" w:rsidR="00F0682C" w:rsidRPr="008C5F1C" w:rsidRDefault="00F0682C" w:rsidP="00F0682C">
            <w:pPr>
              <w:spacing w:before="120" w:after="120"/>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FC1CC6" w14:textId="77777777" w:rsidR="00F0682C" w:rsidRPr="008C5F1C" w:rsidRDefault="00F0682C" w:rsidP="00F0682C">
            <w:pPr>
              <w:spacing w:before="120" w:after="120"/>
              <w:jc w:val="right"/>
              <w:rPr>
                <w:rFonts w:ascii="Times New Roman" w:hAnsi="Times New Roman" w:cs="Times New Roman"/>
                <w:noProof/>
                <w:sz w:val="18"/>
                <w:szCs w:val="18"/>
              </w:rPr>
            </w:pPr>
          </w:p>
        </w:tc>
        <w:tc>
          <w:tcPr>
            <w:tcW w:w="1734" w:type="dxa"/>
            <w:tcBorders>
              <w:top w:val="single" w:sz="4" w:space="0" w:color="auto"/>
              <w:left w:val="single" w:sz="4" w:space="0" w:color="auto"/>
              <w:bottom w:val="single" w:sz="4" w:space="0" w:color="auto"/>
              <w:right w:val="single" w:sz="4" w:space="0" w:color="auto"/>
            </w:tcBorders>
          </w:tcPr>
          <w:p w14:paraId="28E8C6FA" w14:textId="77777777" w:rsidR="00F0682C" w:rsidRPr="008C5F1C" w:rsidRDefault="00F0682C" w:rsidP="00F0682C">
            <w:pPr>
              <w:spacing w:before="120" w:after="120"/>
              <w:jc w:val="right"/>
              <w:rPr>
                <w:rFonts w:ascii="Times New Roman" w:hAnsi="Times New Roman" w:cs="Times New Roman"/>
                <w:noProof/>
                <w:sz w:val="18"/>
                <w:szCs w:val="18"/>
              </w:rPr>
            </w:pPr>
          </w:p>
        </w:tc>
      </w:tr>
      <w:tr w:rsidR="00F0682C" w:rsidRPr="008C5F1C" w14:paraId="23AFBDCF" w14:textId="77777777" w:rsidTr="008D169D">
        <w:tc>
          <w:tcPr>
            <w:tcW w:w="1314" w:type="dxa"/>
            <w:vMerge/>
            <w:tcBorders>
              <w:top w:val="single" w:sz="4" w:space="0" w:color="auto"/>
              <w:left w:val="single" w:sz="4" w:space="0" w:color="auto"/>
              <w:bottom w:val="single" w:sz="4" w:space="0" w:color="auto"/>
              <w:right w:val="single" w:sz="4" w:space="0" w:color="auto"/>
            </w:tcBorders>
            <w:vAlign w:val="center"/>
            <w:hideMark/>
          </w:tcPr>
          <w:p w14:paraId="229E605A" w14:textId="77777777" w:rsidR="00F0682C" w:rsidRPr="008C5F1C" w:rsidRDefault="00F0682C" w:rsidP="00F0682C">
            <w:pPr>
              <w:spacing w:after="0"/>
              <w:rPr>
                <w:rFonts w:ascii="Times New Roman" w:hAnsi="Times New Roman" w:cs="Times New Roman"/>
                <w:noProof/>
                <w:sz w:val="18"/>
                <w:szCs w:val="18"/>
              </w:rPr>
            </w:pPr>
          </w:p>
        </w:tc>
        <w:tc>
          <w:tcPr>
            <w:tcW w:w="1973" w:type="dxa"/>
            <w:tcBorders>
              <w:top w:val="single" w:sz="4" w:space="0" w:color="auto"/>
              <w:left w:val="single" w:sz="4" w:space="0" w:color="auto"/>
              <w:bottom w:val="single" w:sz="4" w:space="0" w:color="auto"/>
              <w:right w:val="single" w:sz="4" w:space="0" w:color="auto"/>
            </w:tcBorders>
            <w:hideMark/>
          </w:tcPr>
          <w:p w14:paraId="30E3199D" w14:textId="77777777" w:rsidR="00F0682C" w:rsidRPr="008C5F1C" w:rsidRDefault="00F0682C" w:rsidP="00F0682C">
            <w:pPr>
              <w:spacing w:before="120" w:after="120"/>
              <w:rPr>
                <w:rFonts w:ascii="Times New Roman" w:hAnsi="Times New Roman" w:cs="Times New Roman"/>
                <w:strike/>
                <w:noProof/>
                <w:sz w:val="18"/>
                <w:szCs w:val="18"/>
              </w:rPr>
            </w:pPr>
            <w:r w:rsidRPr="008C5F1C">
              <w:rPr>
                <w:rFonts w:ascii="Times New Roman" w:hAnsi="Times New Roman" w:cs="Times New Roman"/>
                <w:noProof/>
                <w:sz w:val="18"/>
                <w:szCs w:val="18"/>
              </w:rPr>
              <w:t>Transition</w:t>
            </w:r>
          </w:p>
        </w:tc>
        <w:tc>
          <w:tcPr>
            <w:tcW w:w="1176" w:type="dxa"/>
            <w:tcBorders>
              <w:top w:val="single" w:sz="4" w:space="0" w:color="auto"/>
              <w:left w:val="single" w:sz="4" w:space="0" w:color="auto"/>
              <w:bottom w:val="single" w:sz="4" w:space="0" w:color="auto"/>
              <w:right w:val="single" w:sz="4" w:space="0" w:color="auto"/>
            </w:tcBorders>
          </w:tcPr>
          <w:p w14:paraId="135A695D" w14:textId="77777777" w:rsidR="00F0682C" w:rsidRPr="008C5F1C" w:rsidRDefault="00F0682C" w:rsidP="00F0682C">
            <w:pPr>
              <w:spacing w:before="120" w:after="120"/>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tcPr>
          <w:p w14:paraId="0E88D9A6" w14:textId="77777777" w:rsidR="00F0682C" w:rsidRPr="008C5F1C" w:rsidRDefault="00F0682C" w:rsidP="00F0682C">
            <w:pPr>
              <w:spacing w:before="120" w:after="120"/>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tcPr>
          <w:p w14:paraId="33126602" w14:textId="77777777" w:rsidR="00F0682C" w:rsidRPr="008C5F1C" w:rsidRDefault="00F0682C" w:rsidP="00F0682C">
            <w:pPr>
              <w:spacing w:before="120" w:after="120"/>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tcPr>
          <w:p w14:paraId="63E0371C" w14:textId="77777777" w:rsidR="00F0682C" w:rsidRPr="008C5F1C" w:rsidRDefault="00F0682C" w:rsidP="00F0682C">
            <w:pPr>
              <w:spacing w:before="120" w:after="120"/>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tcPr>
          <w:p w14:paraId="2BAF2BF4" w14:textId="77777777" w:rsidR="00F0682C" w:rsidRPr="008C5F1C" w:rsidRDefault="00F0682C" w:rsidP="00F0682C">
            <w:pPr>
              <w:spacing w:before="120" w:after="120"/>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35F000" w14:textId="77777777" w:rsidR="00F0682C" w:rsidRPr="008C5F1C" w:rsidRDefault="00F0682C" w:rsidP="00F0682C">
            <w:pPr>
              <w:spacing w:before="120" w:after="120"/>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453155" w14:textId="77777777" w:rsidR="00F0682C" w:rsidRPr="008C5F1C" w:rsidRDefault="00F0682C" w:rsidP="00F0682C">
            <w:pPr>
              <w:spacing w:before="120" w:after="120"/>
              <w:jc w:val="right"/>
              <w:rPr>
                <w:rFonts w:ascii="Times New Roman" w:hAnsi="Times New Roman" w:cs="Times New Roman"/>
                <w:noProof/>
                <w:sz w:val="18"/>
                <w:szCs w:val="18"/>
              </w:rPr>
            </w:pPr>
          </w:p>
        </w:tc>
        <w:tc>
          <w:tcPr>
            <w:tcW w:w="1734" w:type="dxa"/>
            <w:tcBorders>
              <w:top w:val="single" w:sz="4" w:space="0" w:color="auto"/>
              <w:left w:val="single" w:sz="4" w:space="0" w:color="auto"/>
              <w:bottom w:val="single" w:sz="4" w:space="0" w:color="auto"/>
              <w:right w:val="single" w:sz="4" w:space="0" w:color="auto"/>
            </w:tcBorders>
          </w:tcPr>
          <w:p w14:paraId="33822AC6" w14:textId="77777777" w:rsidR="00F0682C" w:rsidRPr="008C5F1C" w:rsidRDefault="00F0682C" w:rsidP="00F0682C">
            <w:pPr>
              <w:spacing w:before="120" w:after="120"/>
              <w:jc w:val="right"/>
              <w:rPr>
                <w:rFonts w:ascii="Times New Roman" w:hAnsi="Times New Roman" w:cs="Times New Roman"/>
                <w:noProof/>
                <w:sz w:val="18"/>
                <w:szCs w:val="18"/>
              </w:rPr>
            </w:pPr>
          </w:p>
        </w:tc>
      </w:tr>
      <w:tr w:rsidR="00F0682C" w:rsidRPr="008C5F1C" w14:paraId="5FAB3F83" w14:textId="77777777" w:rsidTr="008D169D">
        <w:tc>
          <w:tcPr>
            <w:tcW w:w="1314" w:type="dxa"/>
            <w:vMerge/>
            <w:tcBorders>
              <w:top w:val="single" w:sz="4" w:space="0" w:color="auto"/>
              <w:left w:val="single" w:sz="4" w:space="0" w:color="auto"/>
              <w:bottom w:val="single" w:sz="4" w:space="0" w:color="auto"/>
              <w:right w:val="single" w:sz="4" w:space="0" w:color="auto"/>
            </w:tcBorders>
            <w:vAlign w:val="center"/>
            <w:hideMark/>
          </w:tcPr>
          <w:p w14:paraId="28116A71" w14:textId="77777777" w:rsidR="00F0682C" w:rsidRPr="008C5F1C" w:rsidRDefault="00F0682C" w:rsidP="00F0682C">
            <w:pPr>
              <w:spacing w:after="0"/>
              <w:rPr>
                <w:rFonts w:ascii="Times New Roman" w:hAnsi="Times New Roman" w:cs="Times New Roman"/>
                <w:noProof/>
                <w:sz w:val="18"/>
                <w:szCs w:val="18"/>
              </w:rPr>
            </w:pPr>
          </w:p>
        </w:tc>
        <w:tc>
          <w:tcPr>
            <w:tcW w:w="1973" w:type="dxa"/>
            <w:tcBorders>
              <w:top w:val="single" w:sz="4" w:space="0" w:color="auto"/>
              <w:left w:val="single" w:sz="4" w:space="0" w:color="auto"/>
              <w:bottom w:val="single" w:sz="4" w:space="0" w:color="auto"/>
              <w:right w:val="single" w:sz="4" w:space="0" w:color="auto"/>
            </w:tcBorders>
            <w:hideMark/>
          </w:tcPr>
          <w:p w14:paraId="3F2D4C64" w14:textId="77777777" w:rsidR="00F0682C" w:rsidRPr="008C5F1C" w:rsidRDefault="00F0682C" w:rsidP="00F0682C">
            <w:pPr>
              <w:spacing w:before="120" w:after="120"/>
              <w:rPr>
                <w:rFonts w:ascii="Times New Roman" w:hAnsi="Times New Roman" w:cs="Times New Roman"/>
                <w:noProof/>
                <w:sz w:val="18"/>
                <w:szCs w:val="18"/>
              </w:rPr>
            </w:pPr>
            <w:r w:rsidRPr="008C5F1C">
              <w:rPr>
                <w:rFonts w:ascii="Times New Roman" w:hAnsi="Times New Roman" w:cs="Times New Roman"/>
                <w:noProof/>
                <w:sz w:val="18"/>
                <w:szCs w:val="18"/>
              </w:rPr>
              <w:t>Less developed</w:t>
            </w:r>
          </w:p>
        </w:tc>
        <w:tc>
          <w:tcPr>
            <w:tcW w:w="1176" w:type="dxa"/>
            <w:tcBorders>
              <w:top w:val="single" w:sz="4" w:space="0" w:color="auto"/>
              <w:left w:val="single" w:sz="4" w:space="0" w:color="auto"/>
              <w:bottom w:val="single" w:sz="4" w:space="0" w:color="auto"/>
              <w:right w:val="single" w:sz="4" w:space="0" w:color="auto"/>
            </w:tcBorders>
          </w:tcPr>
          <w:p w14:paraId="47D85BEA" w14:textId="77777777" w:rsidR="00F0682C" w:rsidRPr="008C5F1C" w:rsidRDefault="00F0682C" w:rsidP="00F0682C">
            <w:pPr>
              <w:spacing w:before="120" w:after="120"/>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tcPr>
          <w:p w14:paraId="524AF3B4" w14:textId="77777777" w:rsidR="00F0682C" w:rsidRPr="008C5F1C" w:rsidRDefault="00F0682C" w:rsidP="00F0682C">
            <w:pPr>
              <w:spacing w:before="120" w:after="120"/>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tcPr>
          <w:p w14:paraId="2074161C" w14:textId="77777777" w:rsidR="00F0682C" w:rsidRPr="008C5F1C" w:rsidRDefault="00F0682C" w:rsidP="00F0682C">
            <w:pPr>
              <w:spacing w:before="120" w:after="120"/>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tcPr>
          <w:p w14:paraId="20810238" w14:textId="77777777" w:rsidR="00F0682C" w:rsidRPr="008C5F1C" w:rsidRDefault="00F0682C" w:rsidP="00F0682C">
            <w:pPr>
              <w:spacing w:before="120" w:after="120"/>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tcPr>
          <w:p w14:paraId="103EF437" w14:textId="77777777" w:rsidR="00F0682C" w:rsidRPr="008C5F1C" w:rsidRDefault="00F0682C" w:rsidP="00F0682C">
            <w:pPr>
              <w:spacing w:before="120" w:after="120"/>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2B9B99" w14:textId="77777777" w:rsidR="00F0682C" w:rsidRPr="008C5F1C" w:rsidRDefault="00F0682C" w:rsidP="00F0682C">
            <w:pPr>
              <w:spacing w:before="120" w:after="120"/>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FD3092" w14:textId="77777777" w:rsidR="00F0682C" w:rsidRPr="008C5F1C" w:rsidRDefault="00F0682C" w:rsidP="00F0682C">
            <w:pPr>
              <w:spacing w:before="120" w:after="120"/>
              <w:jc w:val="right"/>
              <w:rPr>
                <w:rFonts w:ascii="Times New Roman" w:hAnsi="Times New Roman" w:cs="Times New Roman"/>
                <w:noProof/>
                <w:sz w:val="18"/>
                <w:szCs w:val="18"/>
              </w:rPr>
            </w:pPr>
          </w:p>
        </w:tc>
        <w:tc>
          <w:tcPr>
            <w:tcW w:w="1734" w:type="dxa"/>
            <w:tcBorders>
              <w:top w:val="single" w:sz="4" w:space="0" w:color="auto"/>
              <w:left w:val="single" w:sz="4" w:space="0" w:color="auto"/>
              <w:bottom w:val="single" w:sz="4" w:space="0" w:color="auto"/>
              <w:right w:val="single" w:sz="4" w:space="0" w:color="auto"/>
            </w:tcBorders>
          </w:tcPr>
          <w:p w14:paraId="6D3D31C5" w14:textId="77777777" w:rsidR="00F0682C" w:rsidRPr="008C5F1C" w:rsidRDefault="00F0682C" w:rsidP="00F0682C">
            <w:pPr>
              <w:spacing w:before="120" w:after="120"/>
              <w:jc w:val="right"/>
              <w:rPr>
                <w:rFonts w:ascii="Times New Roman" w:hAnsi="Times New Roman" w:cs="Times New Roman"/>
                <w:noProof/>
                <w:sz w:val="18"/>
                <w:szCs w:val="18"/>
              </w:rPr>
            </w:pPr>
          </w:p>
        </w:tc>
      </w:tr>
      <w:tr w:rsidR="00F0682C" w:rsidRPr="008C5F1C" w14:paraId="7427E84B" w14:textId="77777777" w:rsidTr="008D169D">
        <w:tc>
          <w:tcPr>
            <w:tcW w:w="1314" w:type="dxa"/>
            <w:vMerge/>
            <w:tcBorders>
              <w:top w:val="single" w:sz="4" w:space="0" w:color="auto"/>
              <w:left w:val="single" w:sz="4" w:space="0" w:color="auto"/>
              <w:bottom w:val="single" w:sz="4" w:space="0" w:color="auto"/>
              <w:right w:val="single" w:sz="4" w:space="0" w:color="auto"/>
            </w:tcBorders>
            <w:vAlign w:val="center"/>
            <w:hideMark/>
          </w:tcPr>
          <w:p w14:paraId="47B062A0" w14:textId="77777777" w:rsidR="00F0682C" w:rsidRPr="008C5F1C" w:rsidRDefault="00F0682C" w:rsidP="00F0682C">
            <w:pPr>
              <w:spacing w:after="0"/>
              <w:rPr>
                <w:rFonts w:ascii="Times New Roman" w:hAnsi="Times New Roman" w:cs="Times New Roman"/>
                <w:noProof/>
                <w:sz w:val="18"/>
                <w:szCs w:val="18"/>
              </w:rPr>
            </w:pPr>
          </w:p>
        </w:tc>
        <w:tc>
          <w:tcPr>
            <w:tcW w:w="1973" w:type="dxa"/>
            <w:tcBorders>
              <w:top w:val="single" w:sz="4" w:space="0" w:color="auto"/>
              <w:left w:val="single" w:sz="4" w:space="0" w:color="auto"/>
              <w:bottom w:val="single" w:sz="4" w:space="0" w:color="auto"/>
              <w:right w:val="single" w:sz="4" w:space="0" w:color="auto"/>
            </w:tcBorders>
            <w:hideMark/>
          </w:tcPr>
          <w:p w14:paraId="54C46C64" w14:textId="77777777" w:rsidR="00F0682C" w:rsidRPr="008C5F1C" w:rsidRDefault="00F0682C" w:rsidP="00F0682C">
            <w:pPr>
              <w:spacing w:before="120" w:after="120"/>
              <w:rPr>
                <w:rFonts w:ascii="Times New Roman" w:hAnsi="Times New Roman" w:cs="Times New Roman"/>
                <w:noProof/>
                <w:sz w:val="18"/>
                <w:szCs w:val="18"/>
              </w:rPr>
            </w:pPr>
            <w:r w:rsidRPr="008C5F1C">
              <w:rPr>
                <w:rFonts w:ascii="Times New Roman" w:hAnsi="Times New Roman" w:cs="Times New Roman"/>
                <w:noProof/>
                <w:sz w:val="18"/>
                <w:szCs w:val="18"/>
              </w:rPr>
              <w:t>Outermost and northern sparsely populated</w:t>
            </w:r>
          </w:p>
        </w:tc>
        <w:tc>
          <w:tcPr>
            <w:tcW w:w="1176" w:type="dxa"/>
            <w:tcBorders>
              <w:top w:val="single" w:sz="4" w:space="0" w:color="auto"/>
              <w:left w:val="single" w:sz="4" w:space="0" w:color="auto"/>
              <w:bottom w:val="single" w:sz="4" w:space="0" w:color="auto"/>
              <w:right w:val="single" w:sz="4" w:space="0" w:color="auto"/>
            </w:tcBorders>
          </w:tcPr>
          <w:p w14:paraId="0E7F111F" w14:textId="77777777" w:rsidR="00F0682C" w:rsidRPr="008C5F1C" w:rsidRDefault="00F0682C" w:rsidP="00F0682C">
            <w:pPr>
              <w:spacing w:before="120" w:after="120"/>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tcPr>
          <w:p w14:paraId="3BC08F1B" w14:textId="77777777" w:rsidR="00F0682C" w:rsidRPr="008C5F1C" w:rsidRDefault="00F0682C" w:rsidP="00F0682C">
            <w:pPr>
              <w:spacing w:before="120" w:after="120"/>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tcPr>
          <w:p w14:paraId="653EC52A" w14:textId="77777777" w:rsidR="00F0682C" w:rsidRPr="008C5F1C" w:rsidRDefault="00F0682C" w:rsidP="00F0682C">
            <w:pPr>
              <w:spacing w:before="120" w:after="120"/>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tcPr>
          <w:p w14:paraId="341ECB9A" w14:textId="77777777" w:rsidR="00F0682C" w:rsidRPr="008C5F1C" w:rsidRDefault="00F0682C" w:rsidP="00F0682C">
            <w:pPr>
              <w:spacing w:before="120" w:after="120"/>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tcPr>
          <w:p w14:paraId="1C75A9A4" w14:textId="77777777" w:rsidR="00F0682C" w:rsidRPr="008C5F1C" w:rsidRDefault="00F0682C" w:rsidP="00F0682C">
            <w:pPr>
              <w:spacing w:before="120" w:after="120"/>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F9B21F" w14:textId="77777777" w:rsidR="00F0682C" w:rsidRPr="008C5F1C" w:rsidRDefault="00F0682C" w:rsidP="00F0682C">
            <w:pPr>
              <w:spacing w:before="120" w:after="120"/>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333C48" w14:textId="77777777" w:rsidR="00F0682C" w:rsidRPr="008C5F1C" w:rsidRDefault="00F0682C" w:rsidP="00F0682C">
            <w:pPr>
              <w:spacing w:before="120" w:after="120"/>
              <w:jc w:val="right"/>
              <w:rPr>
                <w:rFonts w:ascii="Times New Roman" w:hAnsi="Times New Roman" w:cs="Times New Roman"/>
                <w:noProof/>
                <w:sz w:val="18"/>
                <w:szCs w:val="18"/>
              </w:rPr>
            </w:pPr>
          </w:p>
        </w:tc>
        <w:tc>
          <w:tcPr>
            <w:tcW w:w="1734" w:type="dxa"/>
            <w:tcBorders>
              <w:top w:val="single" w:sz="4" w:space="0" w:color="auto"/>
              <w:left w:val="single" w:sz="4" w:space="0" w:color="auto"/>
              <w:bottom w:val="single" w:sz="4" w:space="0" w:color="auto"/>
              <w:right w:val="single" w:sz="4" w:space="0" w:color="auto"/>
            </w:tcBorders>
          </w:tcPr>
          <w:p w14:paraId="1E9C7B03" w14:textId="77777777" w:rsidR="00F0682C" w:rsidRPr="008C5F1C" w:rsidRDefault="00F0682C" w:rsidP="00F0682C">
            <w:pPr>
              <w:spacing w:before="120" w:after="120"/>
              <w:jc w:val="right"/>
              <w:rPr>
                <w:rFonts w:ascii="Times New Roman" w:hAnsi="Times New Roman" w:cs="Times New Roman"/>
                <w:noProof/>
                <w:sz w:val="18"/>
                <w:szCs w:val="18"/>
              </w:rPr>
            </w:pPr>
          </w:p>
        </w:tc>
      </w:tr>
      <w:tr w:rsidR="00F0682C" w:rsidRPr="008C5F1C" w14:paraId="2435B784" w14:textId="77777777" w:rsidTr="008D169D">
        <w:tc>
          <w:tcPr>
            <w:tcW w:w="1314" w:type="dxa"/>
            <w:tcBorders>
              <w:top w:val="single" w:sz="4" w:space="0" w:color="auto"/>
              <w:left w:val="single" w:sz="4" w:space="0" w:color="auto"/>
              <w:bottom w:val="single" w:sz="4" w:space="0" w:color="auto"/>
              <w:right w:val="single" w:sz="4" w:space="0" w:color="auto"/>
            </w:tcBorders>
            <w:hideMark/>
          </w:tcPr>
          <w:p w14:paraId="3A078D04" w14:textId="77777777" w:rsidR="00F0682C" w:rsidRPr="008C5F1C" w:rsidRDefault="00F0682C" w:rsidP="00F0682C">
            <w:pPr>
              <w:spacing w:before="120" w:after="120"/>
              <w:rPr>
                <w:rFonts w:ascii="Times New Roman" w:hAnsi="Times New Roman" w:cs="Times New Roman"/>
                <w:noProof/>
                <w:sz w:val="18"/>
                <w:szCs w:val="18"/>
              </w:rPr>
            </w:pPr>
            <w:r w:rsidRPr="008C5F1C">
              <w:rPr>
                <w:rFonts w:ascii="Times New Roman" w:hAnsi="Times New Roman" w:cs="Times New Roman"/>
                <w:noProof/>
                <w:sz w:val="18"/>
                <w:szCs w:val="18"/>
              </w:rPr>
              <w:t xml:space="preserve">Total </w:t>
            </w:r>
          </w:p>
        </w:tc>
        <w:tc>
          <w:tcPr>
            <w:tcW w:w="1973" w:type="dxa"/>
            <w:tcBorders>
              <w:top w:val="single" w:sz="4" w:space="0" w:color="auto"/>
              <w:left w:val="single" w:sz="4" w:space="0" w:color="auto"/>
              <w:bottom w:val="single" w:sz="4" w:space="0" w:color="auto"/>
              <w:right w:val="single" w:sz="4" w:space="0" w:color="auto"/>
            </w:tcBorders>
          </w:tcPr>
          <w:p w14:paraId="4EB9B163" w14:textId="77777777" w:rsidR="00F0682C" w:rsidRPr="008C5F1C" w:rsidRDefault="00F0682C" w:rsidP="00F0682C">
            <w:pPr>
              <w:spacing w:before="120" w:after="120"/>
              <w:rPr>
                <w:rFonts w:ascii="Times New Roman" w:hAnsi="Times New Roman" w:cs="Times New Roman"/>
                <w:noProof/>
                <w:sz w:val="18"/>
                <w:szCs w:val="18"/>
              </w:rPr>
            </w:pPr>
          </w:p>
        </w:tc>
        <w:tc>
          <w:tcPr>
            <w:tcW w:w="1176" w:type="dxa"/>
            <w:tcBorders>
              <w:top w:val="single" w:sz="4" w:space="0" w:color="auto"/>
              <w:left w:val="single" w:sz="4" w:space="0" w:color="auto"/>
              <w:bottom w:val="single" w:sz="4" w:space="0" w:color="auto"/>
              <w:right w:val="single" w:sz="4" w:space="0" w:color="auto"/>
            </w:tcBorders>
          </w:tcPr>
          <w:p w14:paraId="44D70220" w14:textId="77777777" w:rsidR="00F0682C" w:rsidRPr="008C5F1C" w:rsidRDefault="00F0682C" w:rsidP="00F0682C">
            <w:pPr>
              <w:spacing w:before="120" w:after="120"/>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tcPr>
          <w:p w14:paraId="07795354" w14:textId="77777777" w:rsidR="00F0682C" w:rsidRPr="008C5F1C" w:rsidRDefault="00F0682C" w:rsidP="00F0682C">
            <w:pPr>
              <w:spacing w:before="120" w:after="120"/>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tcPr>
          <w:p w14:paraId="547E7EDA" w14:textId="77777777" w:rsidR="00F0682C" w:rsidRPr="008C5F1C" w:rsidRDefault="00F0682C" w:rsidP="00F0682C">
            <w:pPr>
              <w:spacing w:before="120" w:after="120"/>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tcPr>
          <w:p w14:paraId="13D55A06" w14:textId="77777777" w:rsidR="00F0682C" w:rsidRPr="008C5F1C" w:rsidRDefault="00F0682C" w:rsidP="00F0682C">
            <w:pPr>
              <w:spacing w:before="120" w:after="120"/>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tcPr>
          <w:p w14:paraId="7AEB5013" w14:textId="77777777" w:rsidR="00F0682C" w:rsidRPr="008C5F1C" w:rsidRDefault="00F0682C" w:rsidP="00F0682C">
            <w:pPr>
              <w:spacing w:before="120" w:after="120"/>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6BD613" w14:textId="77777777" w:rsidR="00F0682C" w:rsidRPr="008C5F1C" w:rsidRDefault="00F0682C" w:rsidP="00F0682C">
            <w:pPr>
              <w:spacing w:before="120" w:after="120"/>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006368" w14:textId="77777777" w:rsidR="00F0682C" w:rsidRPr="008C5F1C" w:rsidRDefault="00F0682C" w:rsidP="00F0682C">
            <w:pPr>
              <w:spacing w:before="120" w:after="120"/>
              <w:jc w:val="right"/>
              <w:rPr>
                <w:rFonts w:ascii="Times New Roman" w:hAnsi="Times New Roman" w:cs="Times New Roman"/>
                <w:noProof/>
                <w:sz w:val="18"/>
                <w:szCs w:val="18"/>
              </w:rPr>
            </w:pPr>
          </w:p>
        </w:tc>
        <w:tc>
          <w:tcPr>
            <w:tcW w:w="1734" w:type="dxa"/>
            <w:tcBorders>
              <w:top w:val="single" w:sz="4" w:space="0" w:color="auto"/>
              <w:left w:val="single" w:sz="4" w:space="0" w:color="auto"/>
              <w:bottom w:val="single" w:sz="4" w:space="0" w:color="auto"/>
              <w:right w:val="single" w:sz="4" w:space="0" w:color="auto"/>
            </w:tcBorders>
          </w:tcPr>
          <w:p w14:paraId="0DF251B8" w14:textId="77777777" w:rsidR="00F0682C" w:rsidRPr="008C5F1C" w:rsidRDefault="00F0682C" w:rsidP="00F0682C">
            <w:pPr>
              <w:spacing w:before="120" w:after="120"/>
              <w:jc w:val="right"/>
              <w:rPr>
                <w:rFonts w:ascii="Times New Roman" w:hAnsi="Times New Roman" w:cs="Times New Roman"/>
                <w:noProof/>
                <w:sz w:val="18"/>
                <w:szCs w:val="18"/>
              </w:rPr>
            </w:pPr>
          </w:p>
        </w:tc>
      </w:tr>
      <w:tr w:rsidR="00F0682C" w:rsidRPr="008C5F1C" w14:paraId="7AB5C43F" w14:textId="77777777" w:rsidTr="008D169D">
        <w:tc>
          <w:tcPr>
            <w:tcW w:w="1314" w:type="dxa"/>
            <w:tcBorders>
              <w:top w:val="single" w:sz="4" w:space="0" w:color="auto"/>
              <w:left w:val="single" w:sz="4" w:space="0" w:color="auto"/>
              <w:bottom w:val="single" w:sz="4" w:space="0" w:color="auto"/>
              <w:right w:val="single" w:sz="4" w:space="0" w:color="auto"/>
            </w:tcBorders>
            <w:hideMark/>
          </w:tcPr>
          <w:p w14:paraId="3BCE1B38" w14:textId="77777777" w:rsidR="00F0682C" w:rsidRPr="008C5F1C" w:rsidRDefault="00F0682C" w:rsidP="00F0682C">
            <w:pPr>
              <w:spacing w:before="120" w:after="120"/>
              <w:rPr>
                <w:rFonts w:ascii="Times New Roman" w:hAnsi="Times New Roman" w:cs="Times New Roman"/>
                <w:noProof/>
                <w:sz w:val="18"/>
                <w:szCs w:val="18"/>
              </w:rPr>
            </w:pPr>
            <w:r w:rsidRPr="008C5F1C">
              <w:rPr>
                <w:rFonts w:ascii="Times New Roman" w:hAnsi="Times New Roman" w:cs="Times New Roman"/>
                <w:noProof/>
                <w:sz w:val="18"/>
                <w:szCs w:val="18"/>
              </w:rPr>
              <w:t>Cohesion Fund</w:t>
            </w:r>
          </w:p>
        </w:tc>
        <w:tc>
          <w:tcPr>
            <w:tcW w:w="1973" w:type="dxa"/>
            <w:tcBorders>
              <w:top w:val="single" w:sz="4" w:space="0" w:color="auto"/>
              <w:left w:val="single" w:sz="4" w:space="0" w:color="auto"/>
              <w:bottom w:val="single" w:sz="4" w:space="0" w:color="auto"/>
              <w:right w:val="single" w:sz="4" w:space="0" w:color="auto"/>
            </w:tcBorders>
            <w:hideMark/>
          </w:tcPr>
          <w:p w14:paraId="6CF70C22" w14:textId="77777777" w:rsidR="00F0682C" w:rsidRPr="008C5F1C" w:rsidRDefault="00F0682C" w:rsidP="00F0682C">
            <w:pPr>
              <w:spacing w:before="120" w:after="120"/>
              <w:rPr>
                <w:rFonts w:ascii="Times New Roman" w:hAnsi="Times New Roman" w:cs="Times New Roman"/>
                <w:noProof/>
                <w:sz w:val="18"/>
                <w:szCs w:val="18"/>
              </w:rPr>
            </w:pPr>
            <w:r w:rsidRPr="008C5F1C">
              <w:rPr>
                <w:rFonts w:ascii="Times New Roman" w:hAnsi="Times New Roman" w:cs="Times New Roman"/>
                <w:noProof/>
                <w:sz w:val="18"/>
                <w:szCs w:val="18"/>
              </w:rPr>
              <w:t>N/A</w:t>
            </w:r>
          </w:p>
        </w:tc>
        <w:tc>
          <w:tcPr>
            <w:tcW w:w="1176" w:type="dxa"/>
            <w:tcBorders>
              <w:top w:val="single" w:sz="4" w:space="0" w:color="auto"/>
              <w:left w:val="single" w:sz="4" w:space="0" w:color="auto"/>
              <w:bottom w:val="single" w:sz="4" w:space="0" w:color="auto"/>
              <w:right w:val="single" w:sz="4" w:space="0" w:color="auto"/>
            </w:tcBorders>
          </w:tcPr>
          <w:p w14:paraId="5C99578E" w14:textId="77777777" w:rsidR="00F0682C" w:rsidRPr="008C5F1C" w:rsidRDefault="00F0682C" w:rsidP="00F0682C">
            <w:pPr>
              <w:spacing w:before="120" w:after="120"/>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tcPr>
          <w:p w14:paraId="01C0CF50" w14:textId="77777777" w:rsidR="00F0682C" w:rsidRPr="008C5F1C" w:rsidRDefault="00F0682C" w:rsidP="00F0682C">
            <w:pPr>
              <w:spacing w:before="120" w:after="120"/>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tcPr>
          <w:p w14:paraId="5CDDD2AE" w14:textId="77777777" w:rsidR="00F0682C" w:rsidRPr="008C5F1C" w:rsidRDefault="00F0682C" w:rsidP="00F0682C">
            <w:pPr>
              <w:spacing w:before="120" w:after="120"/>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tcPr>
          <w:p w14:paraId="44E833E8" w14:textId="77777777" w:rsidR="00F0682C" w:rsidRPr="008C5F1C" w:rsidRDefault="00F0682C" w:rsidP="00F0682C">
            <w:pPr>
              <w:spacing w:before="120" w:after="120"/>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tcPr>
          <w:p w14:paraId="1B1C1BD5" w14:textId="77777777" w:rsidR="00F0682C" w:rsidRPr="008C5F1C" w:rsidRDefault="00F0682C" w:rsidP="00F0682C">
            <w:pPr>
              <w:spacing w:before="120" w:after="120"/>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6477F9" w14:textId="77777777" w:rsidR="00F0682C" w:rsidRPr="008C5F1C" w:rsidRDefault="00F0682C" w:rsidP="00F0682C">
            <w:pPr>
              <w:spacing w:before="120" w:after="120"/>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5B4AC5" w14:textId="77777777" w:rsidR="00F0682C" w:rsidRPr="008C5F1C" w:rsidRDefault="00F0682C" w:rsidP="00F0682C">
            <w:pPr>
              <w:spacing w:before="120" w:after="120"/>
              <w:jc w:val="right"/>
              <w:rPr>
                <w:rFonts w:ascii="Times New Roman" w:hAnsi="Times New Roman" w:cs="Times New Roman"/>
                <w:noProof/>
                <w:sz w:val="18"/>
                <w:szCs w:val="18"/>
              </w:rPr>
            </w:pPr>
          </w:p>
        </w:tc>
        <w:tc>
          <w:tcPr>
            <w:tcW w:w="1734" w:type="dxa"/>
            <w:tcBorders>
              <w:top w:val="single" w:sz="4" w:space="0" w:color="auto"/>
              <w:left w:val="single" w:sz="4" w:space="0" w:color="auto"/>
              <w:bottom w:val="single" w:sz="4" w:space="0" w:color="auto"/>
              <w:right w:val="single" w:sz="4" w:space="0" w:color="auto"/>
            </w:tcBorders>
          </w:tcPr>
          <w:p w14:paraId="4E505410" w14:textId="77777777" w:rsidR="00F0682C" w:rsidRPr="008C5F1C" w:rsidRDefault="00F0682C" w:rsidP="00F0682C">
            <w:pPr>
              <w:spacing w:before="120" w:after="120"/>
              <w:jc w:val="right"/>
              <w:rPr>
                <w:rFonts w:ascii="Times New Roman" w:hAnsi="Times New Roman" w:cs="Times New Roman"/>
                <w:noProof/>
                <w:sz w:val="18"/>
                <w:szCs w:val="18"/>
              </w:rPr>
            </w:pPr>
          </w:p>
        </w:tc>
      </w:tr>
      <w:tr w:rsidR="00F0682C" w:rsidRPr="008C5F1C" w14:paraId="518E9FED" w14:textId="77777777" w:rsidTr="008D169D">
        <w:tc>
          <w:tcPr>
            <w:tcW w:w="1314" w:type="dxa"/>
            <w:tcBorders>
              <w:top w:val="single" w:sz="4" w:space="0" w:color="auto"/>
              <w:left w:val="single" w:sz="4" w:space="0" w:color="auto"/>
              <w:bottom w:val="single" w:sz="4" w:space="0" w:color="auto"/>
              <w:right w:val="single" w:sz="4" w:space="0" w:color="auto"/>
            </w:tcBorders>
            <w:hideMark/>
          </w:tcPr>
          <w:p w14:paraId="2A36AE4F" w14:textId="77777777" w:rsidR="00F0682C" w:rsidRPr="008C5F1C" w:rsidRDefault="00F0682C" w:rsidP="00F0682C">
            <w:pPr>
              <w:spacing w:before="120" w:after="120" w:line="360" w:lineRule="auto"/>
              <w:rPr>
                <w:rFonts w:ascii="Times New Roman" w:hAnsi="Times New Roman" w:cs="Times New Roman"/>
                <w:noProof/>
                <w:sz w:val="18"/>
                <w:szCs w:val="18"/>
              </w:rPr>
            </w:pPr>
            <w:r w:rsidRPr="008C5F1C">
              <w:rPr>
                <w:rFonts w:ascii="Times New Roman" w:hAnsi="Times New Roman" w:cs="Times New Roman"/>
                <w:noProof/>
                <w:sz w:val="18"/>
                <w:szCs w:val="18"/>
              </w:rPr>
              <w:t>EMFF</w:t>
            </w:r>
          </w:p>
        </w:tc>
        <w:tc>
          <w:tcPr>
            <w:tcW w:w="1973" w:type="dxa"/>
            <w:tcBorders>
              <w:top w:val="single" w:sz="4" w:space="0" w:color="auto"/>
              <w:left w:val="single" w:sz="4" w:space="0" w:color="auto"/>
              <w:bottom w:val="single" w:sz="4" w:space="0" w:color="auto"/>
              <w:right w:val="single" w:sz="4" w:space="0" w:color="auto"/>
            </w:tcBorders>
            <w:hideMark/>
          </w:tcPr>
          <w:p w14:paraId="0EC9C546" w14:textId="77777777" w:rsidR="00F0682C" w:rsidRPr="008C5F1C" w:rsidRDefault="00F0682C" w:rsidP="00F0682C">
            <w:pPr>
              <w:spacing w:before="120" w:after="120" w:line="360" w:lineRule="auto"/>
              <w:rPr>
                <w:rFonts w:ascii="Times New Roman" w:hAnsi="Times New Roman" w:cs="Times New Roman"/>
                <w:noProof/>
                <w:sz w:val="18"/>
                <w:szCs w:val="18"/>
              </w:rPr>
            </w:pPr>
            <w:r w:rsidRPr="008C5F1C">
              <w:rPr>
                <w:rFonts w:ascii="Times New Roman" w:hAnsi="Times New Roman" w:cs="Times New Roman"/>
                <w:noProof/>
                <w:sz w:val="18"/>
                <w:szCs w:val="18"/>
              </w:rPr>
              <w:t>N/A</w:t>
            </w:r>
          </w:p>
        </w:tc>
        <w:tc>
          <w:tcPr>
            <w:tcW w:w="1176" w:type="dxa"/>
            <w:tcBorders>
              <w:top w:val="single" w:sz="4" w:space="0" w:color="auto"/>
              <w:left w:val="single" w:sz="4" w:space="0" w:color="auto"/>
              <w:bottom w:val="single" w:sz="4" w:space="0" w:color="auto"/>
              <w:right w:val="single" w:sz="4" w:space="0" w:color="auto"/>
            </w:tcBorders>
          </w:tcPr>
          <w:p w14:paraId="6DA1C739" w14:textId="77777777" w:rsidR="00F0682C" w:rsidRPr="008C5F1C" w:rsidRDefault="00F0682C" w:rsidP="00F0682C">
            <w:pPr>
              <w:spacing w:before="120" w:after="120" w:line="360" w:lineRule="auto"/>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tcPr>
          <w:p w14:paraId="7264C9C5" w14:textId="77777777" w:rsidR="00F0682C" w:rsidRPr="008C5F1C" w:rsidRDefault="00F0682C" w:rsidP="00F0682C">
            <w:pPr>
              <w:spacing w:before="120" w:after="120" w:line="360" w:lineRule="auto"/>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tcPr>
          <w:p w14:paraId="1F9D7258" w14:textId="77777777" w:rsidR="00F0682C" w:rsidRPr="008C5F1C" w:rsidRDefault="00F0682C" w:rsidP="00F0682C">
            <w:pPr>
              <w:spacing w:before="120" w:after="120" w:line="360" w:lineRule="auto"/>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tcPr>
          <w:p w14:paraId="76386378" w14:textId="77777777" w:rsidR="00F0682C" w:rsidRPr="008C5F1C" w:rsidRDefault="00F0682C" w:rsidP="00F0682C">
            <w:pPr>
              <w:spacing w:before="120" w:after="120" w:line="360" w:lineRule="auto"/>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tcPr>
          <w:p w14:paraId="6C4CFA10" w14:textId="77777777" w:rsidR="00F0682C" w:rsidRPr="008C5F1C" w:rsidRDefault="00F0682C" w:rsidP="00F0682C">
            <w:pPr>
              <w:spacing w:before="120" w:after="120" w:line="360" w:lineRule="auto"/>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tcPr>
          <w:p w14:paraId="6022213C" w14:textId="77777777" w:rsidR="00F0682C" w:rsidRPr="008C5F1C" w:rsidRDefault="00F0682C" w:rsidP="00F0682C">
            <w:pPr>
              <w:spacing w:before="120" w:after="120" w:line="360" w:lineRule="auto"/>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tcPr>
          <w:p w14:paraId="1861EA85" w14:textId="77777777" w:rsidR="00F0682C" w:rsidRPr="008C5F1C" w:rsidRDefault="00F0682C" w:rsidP="00F0682C">
            <w:pPr>
              <w:spacing w:before="120" w:after="120" w:line="360" w:lineRule="auto"/>
              <w:jc w:val="right"/>
              <w:rPr>
                <w:rFonts w:ascii="Times New Roman" w:hAnsi="Times New Roman" w:cs="Times New Roman"/>
                <w:noProof/>
                <w:sz w:val="18"/>
                <w:szCs w:val="18"/>
              </w:rPr>
            </w:pPr>
          </w:p>
        </w:tc>
        <w:tc>
          <w:tcPr>
            <w:tcW w:w="1734" w:type="dxa"/>
            <w:tcBorders>
              <w:top w:val="single" w:sz="4" w:space="0" w:color="auto"/>
              <w:left w:val="single" w:sz="4" w:space="0" w:color="auto"/>
              <w:bottom w:val="single" w:sz="4" w:space="0" w:color="auto"/>
              <w:right w:val="single" w:sz="4" w:space="0" w:color="auto"/>
            </w:tcBorders>
          </w:tcPr>
          <w:p w14:paraId="7F6E9D1F" w14:textId="77777777" w:rsidR="00F0682C" w:rsidRPr="008C5F1C" w:rsidRDefault="00F0682C" w:rsidP="00F0682C">
            <w:pPr>
              <w:spacing w:before="120" w:after="120" w:line="360" w:lineRule="auto"/>
              <w:jc w:val="right"/>
              <w:rPr>
                <w:rFonts w:ascii="Times New Roman" w:hAnsi="Times New Roman" w:cs="Times New Roman"/>
                <w:noProof/>
                <w:sz w:val="18"/>
                <w:szCs w:val="18"/>
              </w:rPr>
            </w:pPr>
          </w:p>
        </w:tc>
      </w:tr>
      <w:tr w:rsidR="00F0682C" w:rsidRPr="008C5F1C" w14:paraId="51BB8853" w14:textId="77777777" w:rsidTr="008D169D">
        <w:tc>
          <w:tcPr>
            <w:tcW w:w="1314" w:type="dxa"/>
            <w:tcBorders>
              <w:top w:val="single" w:sz="4" w:space="0" w:color="auto"/>
              <w:left w:val="single" w:sz="4" w:space="0" w:color="auto"/>
              <w:bottom w:val="single" w:sz="4" w:space="0" w:color="auto"/>
              <w:right w:val="single" w:sz="4" w:space="0" w:color="auto"/>
            </w:tcBorders>
            <w:hideMark/>
          </w:tcPr>
          <w:p w14:paraId="679A3610" w14:textId="77777777" w:rsidR="00F0682C" w:rsidRPr="008C5F1C" w:rsidRDefault="00F0682C" w:rsidP="00F0682C">
            <w:pPr>
              <w:spacing w:before="120" w:after="120" w:line="360" w:lineRule="auto"/>
              <w:rPr>
                <w:rFonts w:ascii="Times New Roman" w:hAnsi="Times New Roman" w:cs="Times New Roman"/>
                <w:noProof/>
                <w:sz w:val="18"/>
                <w:szCs w:val="18"/>
              </w:rPr>
            </w:pPr>
            <w:r w:rsidRPr="008C5F1C">
              <w:rPr>
                <w:rFonts w:ascii="Times New Roman" w:hAnsi="Times New Roman" w:cs="Times New Roman"/>
                <w:noProof/>
                <w:sz w:val="18"/>
                <w:szCs w:val="18"/>
              </w:rPr>
              <w:t xml:space="preserve">Total </w:t>
            </w:r>
          </w:p>
        </w:tc>
        <w:tc>
          <w:tcPr>
            <w:tcW w:w="1973" w:type="dxa"/>
            <w:tcBorders>
              <w:top w:val="single" w:sz="4" w:space="0" w:color="auto"/>
              <w:left w:val="single" w:sz="4" w:space="0" w:color="auto"/>
              <w:bottom w:val="single" w:sz="4" w:space="0" w:color="auto"/>
              <w:right w:val="single" w:sz="4" w:space="0" w:color="auto"/>
            </w:tcBorders>
          </w:tcPr>
          <w:p w14:paraId="22190464" w14:textId="77777777" w:rsidR="00F0682C" w:rsidRPr="008C5F1C" w:rsidRDefault="00F0682C" w:rsidP="00F0682C">
            <w:pPr>
              <w:spacing w:before="120" w:after="120" w:line="360" w:lineRule="auto"/>
              <w:rPr>
                <w:rFonts w:ascii="Times New Roman" w:hAnsi="Times New Roman" w:cs="Times New Roman"/>
                <w:noProof/>
                <w:sz w:val="18"/>
                <w:szCs w:val="18"/>
              </w:rPr>
            </w:pPr>
          </w:p>
        </w:tc>
        <w:tc>
          <w:tcPr>
            <w:tcW w:w="1176" w:type="dxa"/>
            <w:tcBorders>
              <w:top w:val="single" w:sz="4" w:space="0" w:color="auto"/>
              <w:left w:val="single" w:sz="4" w:space="0" w:color="auto"/>
              <w:bottom w:val="single" w:sz="4" w:space="0" w:color="auto"/>
              <w:right w:val="single" w:sz="4" w:space="0" w:color="auto"/>
            </w:tcBorders>
            <w:vAlign w:val="center"/>
          </w:tcPr>
          <w:p w14:paraId="34CA3E7B" w14:textId="60BC0F5B" w:rsidR="00F0682C" w:rsidRPr="008C5F1C" w:rsidRDefault="00F0682C" w:rsidP="00F0682C">
            <w:pPr>
              <w:spacing w:before="120" w:after="120" w:line="360" w:lineRule="auto"/>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vAlign w:val="center"/>
          </w:tcPr>
          <w:p w14:paraId="4DCBB978" w14:textId="735D636C" w:rsidR="00F0682C" w:rsidRPr="008C5F1C" w:rsidRDefault="00F0682C" w:rsidP="00F0682C">
            <w:pPr>
              <w:spacing w:before="120" w:after="120" w:line="360" w:lineRule="auto"/>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vAlign w:val="center"/>
          </w:tcPr>
          <w:p w14:paraId="1B9700B2" w14:textId="7EC1FEEA" w:rsidR="00F0682C" w:rsidRPr="008C5F1C" w:rsidRDefault="00F0682C" w:rsidP="00F0682C">
            <w:pPr>
              <w:spacing w:before="120" w:after="120" w:line="360" w:lineRule="auto"/>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vAlign w:val="center"/>
          </w:tcPr>
          <w:p w14:paraId="0B0266D0" w14:textId="3C82BE0E" w:rsidR="00F0682C" w:rsidRPr="008C5F1C" w:rsidRDefault="00F0682C" w:rsidP="00F0682C">
            <w:pPr>
              <w:spacing w:before="120" w:after="120" w:line="360" w:lineRule="auto"/>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vAlign w:val="center"/>
          </w:tcPr>
          <w:p w14:paraId="762EEB3D" w14:textId="7FD8D57B" w:rsidR="00F0682C" w:rsidRPr="008C5F1C" w:rsidRDefault="00F0682C" w:rsidP="00F0682C">
            <w:pPr>
              <w:spacing w:before="120" w:after="120" w:line="360" w:lineRule="auto"/>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vAlign w:val="center"/>
          </w:tcPr>
          <w:p w14:paraId="01036D6A" w14:textId="4B7CBA5A" w:rsidR="00F0682C" w:rsidRPr="008C5F1C" w:rsidRDefault="00F0682C" w:rsidP="00F0682C">
            <w:pPr>
              <w:spacing w:before="120" w:after="120" w:line="360" w:lineRule="auto"/>
              <w:jc w:val="right"/>
              <w:rPr>
                <w:rFonts w:ascii="Times New Roman" w:hAnsi="Times New Roman" w:cs="Times New Roman"/>
                <w:noProof/>
                <w:sz w:val="18"/>
                <w:szCs w:val="18"/>
              </w:rPr>
            </w:pPr>
          </w:p>
        </w:tc>
        <w:tc>
          <w:tcPr>
            <w:tcW w:w="1359" w:type="dxa"/>
            <w:tcBorders>
              <w:top w:val="single" w:sz="4" w:space="0" w:color="auto"/>
              <w:left w:val="single" w:sz="4" w:space="0" w:color="auto"/>
              <w:bottom w:val="single" w:sz="4" w:space="0" w:color="auto"/>
              <w:right w:val="single" w:sz="4" w:space="0" w:color="auto"/>
            </w:tcBorders>
            <w:vAlign w:val="center"/>
          </w:tcPr>
          <w:p w14:paraId="7B891E7F" w14:textId="3510403A" w:rsidR="00F0682C" w:rsidRPr="008C5F1C" w:rsidRDefault="00F0682C" w:rsidP="00F0682C">
            <w:pPr>
              <w:spacing w:before="120" w:after="120" w:line="360" w:lineRule="auto"/>
              <w:jc w:val="right"/>
              <w:rPr>
                <w:rFonts w:ascii="Times New Roman" w:hAnsi="Times New Roman" w:cs="Times New Roman"/>
                <w:noProof/>
                <w:sz w:val="18"/>
                <w:szCs w:val="18"/>
              </w:rPr>
            </w:pPr>
          </w:p>
        </w:tc>
        <w:tc>
          <w:tcPr>
            <w:tcW w:w="1734" w:type="dxa"/>
            <w:tcBorders>
              <w:top w:val="single" w:sz="4" w:space="0" w:color="auto"/>
              <w:left w:val="single" w:sz="4" w:space="0" w:color="auto"/>
              <w:bottom w:val="single" w:sz="4" w:space="0" w:color="auto"/>
              <w:right w:val="single" w:sz="4" w:space="0" w:color="auto"/>
            </w:tcBorders>
            <w:vAlign w:val="center"/>
          </w:tcPr>
          <w:p w14:paraId="5663E7AC" w14:textId="29A61045" w:rsidR="00F0682C" w:rsidRPr="008C5F1C" w:rsidRDefault="00F0682C" w:rsidP="00F0682C">
            <w:pPr>
              <w:spacing w:before="120" w:after="120" w:line="360" w:lineRule="auto"/>
              <w:jc w:val="right"/>
              <w:rPr>
                <w:rFonts w:ascii="Times New Roman" w:hAnsi="Times New Roman" w:cs="Times New Roman"/>
                <w:noProof/>
                <w:sz w:val="18"/>
                <w:szCs w:val="18"/>
              </w:rPr>
            </w:pPr>
          </w:p>
        </w:tc>
      </w:tr>
    </w:tbl>
    <w:p w14:paraId="2269C600" w14:textId="7CD8DDBC" w:rsidR="00653571" w:rsidRPr="008C5F1C" w:rsidRDefault="00653571" w:rsidP="00653571">
      <w:pPr>
        <w:spacing w:before="240" w:after="240" w:line="240" w:lineRule="auto"/>
        <w:rPr>
          <w:rFonts w:ascii="Times New Roman" w:eastAsia="Times New Roman" w:hAnsi="Times New Roman" w:cs="Times New Roman"/>
          <w:b/>
          <w:iCs/>
          <w:noProof/>
          <w:sz w:val="24"/>
          <w:szCs w:val="24"/>
          <w:u w:val="single"/>
        </w:rPr>
      </w:pPr>
    </w:p>
    <w:p w14:paraId="4EDDAC6A" w14:textId="77777777" w:rsidR="00653571" w:rsidRPr="008C5F1C" w:rsidRDefault="00653571" w:rsidP="00653571">
      <w:pPr>
        <w:pStyle w:val="Heading3"/>
        <w:numPr>
          <w:ilvl w:val="0"/>
          <w:numId w:val="0"/>
        </w:numPr>
        <w:ind w:left="851" w:hanging="851"/>
        <w:rPr>
          <w:rFonts w:eastAsia="Times New Roman" w:cs="Times New Roman"/>
          <w:b/>
          <w:iCs/>
          <w:noProof/>
          <w:szCs w:val="24"/>
          <w:vertAlign w:val="superscript"/>
          <w:lang w:val="ro-RO" w:eastAsia="en-GB"/>
        </w:rPr>
      </w:pPr>
      <w:bookmarkStart w:id="136" w:name="_Toc39840953"/>
      <w:r w:rsidRPr="008C5F1C">
        <w:rPr>
          <w:rStyle w:val="Heading3Char"/>
          <w:rFonts w:cs="Times New Roman"/>
          <w:b/>
          <w:bCs/>
          <w:lang w:val="ro-RO"/>
        </w:rPr>
        <w:t xml:space="preserve">3.2. Total </w:t>
      </w:r>
      <w:proofErr w:type="spellStart"/>
      <w:r w:rsidRPr="008C5F1C">
        <w:rPr>
          <w:rStyle w:val="Heading3Char"/>
          <w:rFonts w:cs="Times New Roman"/>
          <w:b/>
          <w:bCs/>
          <w:lang w:val="ro-RO"/>
        </w:rPr>
        <w:t>financial</w:t>
      </w:r>
      <w:proofErr w:type="spellEnd"/>
      <w:r w:rsidRPr="008C5F1C">
        <w:rPr>
          <w:rStyle w:val="Heading3Char"/>
          <w:rFonts w:cs="Times New Roman"/>
          <w:b/>
          <w:bCs/>
          <w:lang w:val="ro-RO"/>
        </w:rPr>
        <w:t xml:space="preserve"> </w:t>
      </w:r>
      <w:proofErr w:type="spellStart"/>
      <w:r w:rsidRPr="008C5F1C">
        <w:rPr>
          <w:rStyle w:val="Heading3Char"/>
          <w:rFonts w:cs="Times New Roman"/>
          <w:b/>
          <w:bCs/>
          <w:lang w:val="ro-RO"/>
        </w:rPr>
        <w:t>appropriations</w:t>
      </w:r>
      <w:proofErr w:type="spellEnd"/>
      <w:r w:rsidRPr="008C5F1C">
        <w:rPr>
          <w:rStyle w:val="Heading3Char"/>
          <w:rFonts w:cs="Times New Roman"/>
          <w:b/>
          <w:bCs/>
          <w:lang w:val="ro-RO"/>
        </w:rPr>
        <w:t xml:space="preserve"> </w:t>
      </w:r>
      <w:proofErr w:type="spellStart"/>
      <w:r w:rsidRPr="008C5F1C">
        <w:rPr>
          <w:rStyle w:val="Heading3Char"/>
          <w:rFonts w:cs="Times New Roman"/>
          <w:b/>
          <w:bCs/>
          <w:lang w:val="ro-RO"/>
        </w:rPr>
        <w:t>by</w:t>
      </w:r>
      <w:proofErr w:type="spellEnd"/>
      <w:r w:rsidRPr="008C5F1C">
        <w:rPr>
          <w:rStyle w:val="Heading3Char"/>
          <w:rFonts w:cs="Times New Roman"/>
          <w:b/>
          <w:bCs/>
          <w:lang w:val="ro-RO"/>
        </w:rPr>
        <w:t xml:space="preserve"> fund </w:t>
      </w:r>
      <w:proofErr w:type="spellStart"/>
      <w:r w:rsidRPr="008C5F1C">
        <w:rPr>
          <w:rStyle w:val="Heading3Char"/>
          <w:rFonts w:cs="Times New Roman"/>
          <w:b/>
          <w:bCs/>
          <w:lang w:val="ro-RO"/>
        </w:rPr>
        <w:t>and</w:t>
      </w:r>
      <w:proofErr w:type="spellEnd"/>
      <w:r w:rsidRPr="008C5F1C">
        <w:rPr>
          <w:rStyle w:val="Heading3Char"/>
          <w:rFonts w:cs="Times New Roman"/>
          <w:b/>
          <w:bCs/>
          <w:lang w:val="ro-RO"/>
        </w:rPr>
        <w:t xml:space="preserve"> </w:t>
      </w:r>
      <w:proofErr w:type="spellStart"/>
      <w:r w:rsidRPr="008C5F1C">
        <w:rPr>
          <w:rStyle w:val="Heading3Char"/>
          <w:rFonts w:cs="Times New Roman"/>
          <w:b/>
          <w:bCs/>
          <w:lang w:val="ro-RO"/>
        </w:rPr>
        <w:t>national</w:t>
      </w:r>
      <w:proofErr w:type="spellEnd"/>
      <w:r w:rsidRPr="008C5F1C">
        <w:rPr>
          <w:rStyle w:val="Heading3Char"/>
          <w:rFonts w:cs="Times New Roman"/>
          <w:b/>
          <w:bCs/>
          <w:lang w:val="ro-RO"/>
        </w:rPr>
        <w:t xml:space="preserve"> </w:t>
      </w:r>
      <w:proofErr w:type="spellStart"/>
      <w:r w:rsidRPr="008C5F1C">
        <w:rPr>
          <w:rStyle w:val="Heading3Char"/>
          <w:rFonts w:cs="Times New Roman"/>
          <w:b/>
          <w:bCs/>
          <w:lang w:val="ro-RO"/>
        </w:rPr>
        <w:t>co-financing</w:t>
      </w:r>
      <w:proofErr w:type="spellEnd"/>
      <w:r w:rsidRPr="008C5F1C">
        <w:rPr>
          <w:rFonts w:eastAsia="Times New Roman" w:cs="Times New Roman"/>
          <w:b/>
          <w:iCs/>
          <w:noProof/>
          <w:szCs w:val="24"/>
          <w:lang w:val="ro-RO" w:eastAsia="en-GB"/>
        </w:rPr>
        <w:t xml:space="preserve"> *</w:t>
      </w:r>
      <w:bookmarkEnd w:id="136"/>
    </w:p>
    <w:p w14:paraId="292C441D" w14:textId="77777777" w:rsidR="00653571" w:rsidRPr="008C5F1C" w:rsidRDefault="00653571" w:rsidP="00653571">
      <w:pPr>
        <w:spacing w:before="120" w:after="120" w:line="240" w:lineRule="auto"/>
        <w:ind w:left="720"/>
        <w:jc w:val="both"/>
        <w:rPr>
          <w:rFonts w:ascii="Times New Roman" w:eastAsia="Times New Roman" w:hAnsi="Times New Roman" w:cs="Times New Roman"/>
          <w:i/>
          <w:noProof/>
          <w:sz w:val="24"/>
          <w:szCs w:val="24"/>
          <w:lang w:eastAsia="en-GB"/>
        </w:rPr>
      </w:pPr>
      <w:r w:rsidRPr="008C5F1C">
        <w:rPr>
          <w:rFonts w:ascii="Times New Roman" w:eastAsia="Times New Roman" w:hAnsi="Times New Roman" w:cs="Times New Roman"/>
          <w:i/>
          <w:noProof/>
          <w:sz w:val="24"/>
          <w:szCs w:val="24"/>
          <w:lang w:eastAsia="en-GB"/>
        </w:rPr>
        <w:t>Reference: Article 17(3)(f)(ii), Article 17(6)</w:t>
      </w:r>
    </w:p>
    <w:p w14:paraId="223DCBB4" w14:textId="77777777" w:rsidR="00653571" w:rsidRPr="008C5F1C" w:rsidRDefault="00653571" w:rsidP="00653571">
      <w:pPr>
        <w:spacing w:before="120" w:after="120" w:line="240" w:lineRule="auto"/>
        <w:ind w:left="720"/>
        <w:jc w:val="both"/>
        <w:rPr>
          <w:rFonts w:ascii="Times New Roman" w:eastAsia="Times New Roman" w:hAnsi="Times New Roman" w:cs="Times New Roman"/>
          <w:i/>
          <w:noProof/>
          <w:sz w:val="24"/>
          <w:szCs w:val="24"/>
          <w:lang w:eastAsia="en-GB"/>
        </w:rPr>
      </w:pPr>
      <w:r w:rsidRPr="008C5F1C">
        <w:rPr>
          <w:rFonts w:ascii="Times New Roman" w:eastAsia="Times New Roman" w:hAnsi="Times New Roman" w:cs="Times New Roman"/>
          <w:i/>
          <w:noProof/>
          <w:sz w:val="24"/>
          <w:szCs w:val="24"/>
          <w:lang w:eastAsia="en-GB"/>
        </w:rPr>
        <w:t>For the Investments for Jobs and Growth goal:</w:t>
      </w:r>
    </w:p>
    <w:tbl>
      <w:tblPr>
        <w:tblStyle w:val="TableGrid"/>
        <w:tblW w:w="15131" w:type="dxa"/>
        <w:jc w:val="center"/>
        <w:tblLayout w:type="fixed"/>
        <w:tblLook w:val="04A0" w:firstRow="1" w:lastRow="0" w:firstColumn="1" w:lastColumn="0" w:noHBand="0" w:noVBand="1"/>
      </w:tblPr>
      <w:tblGrid>
        <w:gridCol w:w="1419"/>
        <w:gridCol w:w="1343"/>
        <w:gridCol w:w="1984"/>
        <w:gridCol w:w="1701"/>
        <w:gridCol w:w="1418"/>
        <w:gridCol w:w="1134"/>
        <w:gridCol w:w="992"/>
        <w:gridCol w:w="709"/>
        <w:gridCol w:w="708"/>
        <w:gridCol w:w="1276"/>
        <w:gridCol w:w="2447"/>
      </w:tblGrid>
      <w:tr w:rsidR="00653571" w:rsidRPr="008C5F1C" w14:paraId="53380D2C" w14:textId="77777777" w:rsidTr="00313EC5">
        <w:trPr>
          <w:jc w:val="center"/>
        </w:trPr>
        <w:tc>
          <w:tcPr>
            <w:tcW w:w="15131" w:type="dxa"/>
            <w:gridSpan w:val="11"/>
          </w:tcPr>
          <w:p w14:paraId="37BC7096" w14:textId="77777777" w:rsidR="00653571" w:rsidRPr="008C5F1C" w:rsidRDefault="00653571" w:rsidP="00313EC5">
            <w:pPr>
              <w:spacing w:after="120"/>
              <w:ind w:left="720"/>
              <w:contextualSpacing/>
              <w:rPr>
                <w:rFonts w:ascii="Times New Roman" w:eastAsia="Calibri" w:hAnsi="Times New Roman" w:cs="Times New Roman"/>
                <w:b/>
                <w:noProof/>
                <w:sz w:val="16"/>
                <w:szCs w:val="16"/>
              </w:rPr>
            </w:pPr>
            <w:r w:rsidRPr="008C5F1C">
              <w:rPr>
                <w:rFonts w:ascii="Times New Roman" w:eastAsia="Calibri" w:hAnsi="Times New Roman" w:cs="Times New Roman"/>
                <w:b/>
                <w:noProof/>
                <w:sz w:val="16"/>
                <w:szCs w:val="16"/>
              </w:rPr>
              <w:t>Table 11: Total financial appropriations by fund and national co-financing</w:t>
            </w:r>
          </w:p>
        </w:tc>
      </w:tr>
      <w:tr w:rsidR="00653571" w:rsidRPr="008C5F1C" w14:paraId="647C4571" w14:textId="77777777" w:rsidTr="00313EC5">
        <w:trPr>
          <w:trHeight w:val="714"/>
          <w:jc w:val="center"/>
        </w:trPr>
        <w:tc>
          <w:tcPr>
            <w:tcW w:w="1419" w:type="dxa"/>
            <w:vMerge w:val="restart"/>
          </w:tcPr>
          <w:p w14:paraId="285E334B"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Policy/JTF objective or TA</w:t>
            </w:r>
          </w:p>
        </w:tc>
        <w:tc>
          <w:tcPr>
            <w:tcW w:w="1343" w:type="dxa"/>
            <w:vMerge w:val="restart"/>
          </w:tcPr>
          <w:p w14:paraId="40E283B6"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Priority</w:t>
            </w:r>
          </w:p>
        </w:tc>
        <w:tc>
          <w:tcPr>
            <w:tcW w:w="1984" w:type="dxa"/>
            <w:vMerge w:val="restart"/>
          </w:tcPr>
          <w:p w14:paraId="4CE3B130"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Basis for calculation EU support (total or public)</w:t>
            </w:r>
          </w:p>
        </w:tc>
        <w:tc>
          <w:tcPr>
            <w:tcW w:w="1701" w:type="dxa"/>
            <w:vMerge w:val="restart"/>
          </w:tcPr>
          <w:p w14:paraId="561150A2"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Fund</w:t>
            </w:r>
          </w:p>
        </w:tc>
        <w:tc>
          <w:tcPr>
            <w:tcW w:w="1418" w:type="dxa"/>
            <w:vMerge w:val="restart"/>
          </w:tcPr>
          <w:p w14:paraId="714F3AA7"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Category of region**</w:t>
            </w:r>
          </w:p>
        </w:tc>
        <w:tc>
          <w:tcPr>
            <w:tcW w:w="1134" w:type="dxa"/>
            <w:vMerge w:val="restart"/>
          </w:tcPr>
          <w:p w14:paraId="078A16C7"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EU contribution</w:t>
            </w:r>
          </w:p>
        </w:tc>
        <w:tc>
          <w:tcPr>
            <w:tcW w:w="992" w:type="dxa"/>
            <w:vMerge w:val="restart"/>
          </w:tcPr>
          <w:p w14:paraId="57987861"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National contribution</w:t>
            </w:r>
          </w:p>
        </w:tc>
        <w:tc>
          <w:tcPr>
            <w:tcW w:w="1417" w:type="dxa"/>
            <w:gridSpan w:val="2"/>
          </w:tcPr>
          <w:p w14:paraId="0F4F01E6"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Indicative breakdown of national contribution</w:t>
            </w:r>
          </w:p>
        </w:tc>
        <w:tc>
          <w:tcPr>
            <w:tcW w:w="1276" w:type="dxa"/>
            <w:vMerge w:val="restart"/>
          </w:tcPr>
          <w:p w14:paraId="6508942B"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Total</w:t>
            </w:r>
          </w:p>
        </w:tc>
        <w:tc>
          <w:tcPr>
            <w:tcW w:w="2447" w:type="dxa"/>
            <w:vMerge w:val="restart"/>
          </w:tcPr>
          <w:p w14:paraId="152917A1"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Co-financing rate</w:t>
            </w:r>
          </w:p>
        </w:tc>
      </w:tr>
      <w:tr w:rsidR="00653571" w:rsidRPr="008C5F1C" w14:paraId="56C08911" w14:textId="77777777" w:rsidTr="00313EC5">
        <w:trPr>
          <w:trHeight w:val="170"/>
          <w:jc w:val="center"/>
        </w:trPr>
        <w:tc>
          <w:tcPr>
            <w:tcW w:w="1419" w:type="dxa"/>
            <w:vMerge/>
          </w:tcPr>
          <w:p w14:paraId="0E80E49C" w14:textId="77777777" w:rsidR="00653571" w:rsidRPr="008C5F1C" w:rsidRDefault="00653571" w:rsidP="00313EC5">
            <w:pPr>
              <w:spacing w:after="120"/>
              <w:rPr>
                <w:rFonts w:ascii="Times New Roman" w:eastAsia="Calibri" w:hAnsi="Times New Roman" w:cs="Times New Roman"/>
                <w:noProof/>
                <w:sz w:val="16"/>
                <w:szCs w:val="16"/>
              </w:rPr>
            </w:pPr>
          </w:p>
        </w:tc>
        <w:tc>
          <w:tcPr>
            <w:tcW w:w="1343" w:type="dxa"/>
            <w:vMerge/>
            <w:tcBorders>
              <w:bottom w:val="nil"/>
            </w:tcBorders>
          </w:tcPr>
          <w:p w14:paraId="01CEDF03" w14:textId="77777777" w:rsidR="00653571" w:rsidRPr="008C5F1C" w:rsidRDefault="00653571" w:rsidP="00313EC5">
            <w:pPr>
              <w:spacing w:after="120"/>
              <w:rPr>
                <w:rFonts w:ascii="Times New Roman" w:eastAsia="Calibri" w:hAnsi="Times New Roman" w:cs="Times New Roman"/>
                <w:noProof/>
                <w:sz w:val="16"/>
                <w:szCs w:val="16"/>
              </w:rPr>
            </w:pPr>
          </w:p>
        </w:tc>
        <w:tc>
          <w:tcPr>
            <w:tcW w:w="1984" w:type="dxa"/>
            <w:vMerge/>
            <w:tcBorders>
              <w:bottom w:val="nil"/>
            </w:tcBorders>
          </w:tcPr>
          <w:p w14:paraId="784E1B40" w14:textId="77777777" w:rsidR="00653571" w:rsidRPr="008C5F1C" w:rsidRDefault="00653571" w:rsidP="00313EC5">
            <w:pPr>
              <w:spacing w:after="120"/>
              <w:rPr>
                <w:rFonts w:ascii="Times New Roman" w:eastAsia="Calibri" w:hAnsi="Times New Roman" w:cs="Times New Roman"/>
                <w:noProof/>
                <w:sz w:val="16"/>
                <w:szCs w:val="16"/>
              </w:rPr>
            </w:pPr>
          </w:p>
        </w:tc>
        <w:tc>
          <w:tcPr>
            <w:tcW w:w="1701" w:type="dxa"/>
            <w:vMerge/>
            <w:tcBorders>
              <w:bottom w:val="nil"/>
            </w:tcBorders>
          </w:tcPr>
          <w:p w14:paraId="67786A0D" w14:textId="77777777" w:rsidR="00653571" w:rsidRPr="008C5F1C" w:rsidRDefault="00653571" w:rsidP="00313EC5">
            <w:pPr>
              <w:spacing w:after="120"/>
              <w:rPr>
                <w:rFonts w:ascii="Times New Roman" w:eastAsia="Calibri" w:hAnsi="Times New Roman" w:cs="Times New Roman"/>
                <w:noProof/>
                <w:sz w:val="16"/>
                <w:szCs w:val="16"/>
              </w:rPr>
            </w:pPr>
          </w:p>
        </w:tc>
        <w:tc>
          <w:tcPr>
            <w:tcW w:w="1418" w:type="dxa"/>
            <w:vMerge/>
            <w:tcBorders>
              <w:bottom w:val="nil"/>
            </w:tcBorders>
          </w:tcPr>
          <w:p w14:paraId="1189529C" w14:textId="77777777" w:rsidR="00653571" w:rsidRPr="008C5F1C" w:rsidRDefault="00653571" w:rsidP="00313EC5">
            <w:pPr>
              <w:spacing w:after="120"/>
              <w:rPr>
                <w:rFonts w:ascii="Times New Roman" w:eastAsia="Calibri" w:hAnsi="Times New Roman" w:cs="Times New Roman"/>
                <w:noProof/>
                <w:sz w:val="16"/>
                <w:szCs w:val="16"/>
              </w:rPr>
            </w:pPr>
          </w:p>
        </w:tc>
        <w:tc>
          <w:tcPr>
            <w:tcW w:w="1134" w:type="dxa"/>
            <w:vMerge/>
            <w:tcBorders>
              <w:bottom w:val="nil"/>
            </w:tcBorders>
          </w:tcPr>
          <w:p w14:paraId="5C32F500" w14:textId="77777777" w:rsidR="00653571" w:rsidRPr="008C5F1C" w:rsidRDefault="00653571" w:rsidP="00313EC5">
            <w:pPr>
              <w:spacing w:after="120"/>
              <w:rPr>
                <w:rFonts w:ascii="Times New Roman" w:eastAsia="Calibri" w:hAnsi="Times New Roman" w:cs="Times New Roman"/>
                <w:noProof/>
                <w:sz w:val="16"/>
                <w:szCs w:val="16"/>
              </w:rPr>
            </w:pPr>
          </w:p>
        </w:tc>
        <w:tc>
          <w:tcPr>
            <w:tcW w:w="992" w:type="dxa"/>
            <w:vMerge/>
            <w:tcBorders>
              <w:bottom w:val="nil"/>
            </w:tcBorders>
          </w:tcPr>
          <w:p w14:paraId="29EDE209" w14:textId="77777777" w:rsidR="00653571" w:rsidRPr="008C5F1C" w:rsidRDefault="00653571" w:rsidP="00313EC5">
            <w:pPr>
              <w:spacing w:after="120"/>
              <w:rPr>
                <w:rFonts w:ascii="Times New Roman" w:eastAsia="Calibri" w:hAnsi="Times New Roman" w:cs="Times New Roman"/>
                <w:noProof/>
                <w:sz w:val="16"/>
                <w:szCs w:val="16"/>
              </w:rPr>
            </w:pPr>
          </w:p>
        </w:tc>
        <w:tc>
          <w:tcPr>
            <w:tcW w:w="709" w:type="dxa"/>
            <w:tcBorders>
              <w:bottom w:val="nil"/>
            </w:tcBorders>
          </w:tcPr>
          <w:p w14:paraId="26052F5D"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 xml:space="preserve">public </w:t>
            </w:r>
          </w:p>
        </w:tc>
        <w:tc>
          <w:tcPr>
            <w:tcW w:w="708" w:type="dxa"/>
            <w:tcBorders>
              <w:bottom w:val="nil"/>
            </w:tcBorders>
          </w:tcPr>
          <w:p w14:paraId="2FF6D030"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 xml:space="preserve">private </w:t>
            </w:r>
          </w:p>
        </w:tc>
        <w:tc>
          <w:tcPr>
            <w:tcW w:w="1276" w:type="dxa"/>
            <w:vMerge/>
            <w:tcBorders>
              <w:bottom w:val="nil"/>
            </w:tcBorders>
          </w:tcPr>
          <w:p w14:paraId="2A9D8D44" w14:textId="77777777" w:rsidR="00653571" w:rsidRPr="008C5F1C" w:rsidRDefault="00653571" w:rsidP="00313EC5">
            <w:pPr>
              <w:spacing w:after="120"/>
              <w:rPr>
                <w:rFonts w:ascii="Times New Roman" w:eastAsia="Calibri" w:hAnsi="Times New Roman" w:cs="Times New Roman"/>
                <w:noProof/>
                <w:sz w:val="16"/>
                <w:szCs w:val="16"/>
              </w:rPr>
            </w:pPr>
          </w:p>
        </w:tc>
        <w:tc>
          <w:tcPr>
            <w:tcW w:w="2447" w:type="dxa"/>
            <w:vMerge/>
            <w:tcBorders>
              <w:bottom w:val="nil"/>
            </w:tcBorders>
          </w:tcPr>
          <w:p w14:paraId="79413CA5" w14:textId="77777777" w:rsidR="00653571" w:rsidRPr="008C5F1C" w:rsidRDefault="00653571" w:rsidP="00313EC5">
            <w:pPr>
              <w:spacing w:after="120"/>
              <w:rPr>
                <w:rFonts w:ascii="Times New Roman" w:eastAsia="Calibri" w:hAnsi="Times New Roman" w:cs="Times New Roman"/>
                <w:noProof/>
                <w:sz w:val="16"/>
                <w:szCs w:val="16"/>
              </w:rPr>
            </w:pPr>
          </w:p>
        </w:tc>
      </w:tr>
      <w:tr w:rsidR="00653571" w:rsidRPr="008C5F1C" w14:paraId="39F8C2A0" w14:textId="77777777" w:rsidTr="00313EC5">
        <w:trPr>
          <w:jc w:val="center"/>
        </w:trPr>
        <w:tc>
          <w:tcPr>
            <w:tcW w:w="1419" w:type="dxa"/>
            <w:vMerge/>
          </w:tcPr>
          <w:p w14:paraId="33572638" w14:textId="77777777" w:rsidR="00653571" w:rsidRPr="008C5F1C" w:rsidRDefault="00653571" w:rsidP="00313EC5">
            <w:pPr>
              <w:spacing w:after="120"/>
              <w:jc w:val="center"/>
              <w:rPr>
                <w:rFonts w:ascii="Times New Roman" w:eastAsia="Calibri" w:hAnsi="Times New Roman" w:cs="Times New Roman"/>
                <w:noProof/>
                <w:sz w:val="16"/>
                <w:szCs w:val="16"/>
              </w:rPr>
            </w:pPr>
          </w:p>
        </w:tc>
        <w:tc>
          <w:tcPr>
            <w:tcW w:w="1343" w:type="dxa"/>
            <w:tcBorders>
              <w:top w:val="nil"/>
            </w:tcBorders>
          </w:tcPr>
          <w:p w14:paraId="31621267" w14:textId="77777777" w:rsidR="00653571" w:rsidRPr="008C5F1C" w:rsidRDefault="00653571" w:rsidP="00313EC5">
            <w:pPr>
              <w:spacing w:after="120"/>
              <w:jc w:val="center"/>
              <w:rPr>
                <w:rFonts w:ascii="Times New Roman" w:eastAsia="Calibri" w:hAnsi="Times New Roman" w:cs="Times New Roman"/>
                <w:noProof/>
                <w:sz w:val="16"/>
                <w:szCs w:val="16"/>
              </w:rPr>
            </w:pPr>
          </w:p>
        </w:tc>
        <w:tc>
          <w:tcPr>
            <w:tcW w:w="1984" w:type="dxa"/>
            <w:tcBorders>
              <w:top w:val="nil"/>
            </w:tcBorders>
          </w:tcPr>
          <w:p w14:paraId="1A68CE04" w14:textId="77777777" w:rsidR="00653571" w:rsidRPr="008C5F1C" w:rsidRDefault="00653571" w:rsidP="00313EC5">
            <w:pPr>
              <w:spacing w:after="120"/>
              <w:jc w:val="center"/>
              <w:rPr>
                <w:rFonts w:ascii="Times New Roman" w:eastAsia="Calibri" w:hAnsi="Times New Roman" w:cs="Times New Roman"/>
                <w:noProof/>
                <w:sz w:val="16"/>
                <w:szCs w:val="16"/>
              </w:rPr>
            </w:pPr>
          </w:p>
        </w:tc>
        <w:tc>
          <w:tcPr>
            <w:tcW w:w="1701" w:type="dxa"/>
            <w:tcBorders>
              <w:top w:val="nil"/>
            </w:tcBorders>
          </w:tcPr>
          <w:p w14:paraId="41B425B4" w14:textId="77777777" w:rsidR="00653571" w:rsidRPr="008C5F1C" w:rsidRDefault="00653571" w:rsidP="00313EC5">
            <w:pPr>
              <w:spacing w:after="120"/>
              <w:jc w:val="center"/>
              <w:rPr>
                <w:rFonts w:ascii="Times New Roman" w:eastAsia="Calibri" w:hAnsi="Times New Roman" w:cs="Times New Roman"/>
                <w:noProof/>
                <w:sz w:val="16"/>
                <w:szCs w:val="16"/>
              </w:rPr>
            </w:pPr>
          </w:p>
        </w:tc>
        <w:tc>
          <w:tcPr>
            <w:tcW w:w="1418" w:type="dxa"/>
            <w:tcBorders>
              <w:top w:val="nil"/>
            </w:tcBorders>
          </w:tcPr>
          <w:p w14:paraId="37173159" w14:textId="77777777" w:rsidR="00653571" w:rsidRPr="008C5F1C" w:rsidRDefault="00653571" w:rsidP="00313EC5">
            <w:pPr>
              <w:spacing w:after="120"/>
              <w:jc w:val="center"/>
              <w:rPr>
                <w:rFonts w:ascii="Times New Roman" w:eastAsia="Calibri" w:hAnsi="Times New Roman" w:cs="Times New Roman"/>
                <w:noProof/>
                <w:sz w:val="16"/>
                <w:szCs w:val="16"/>
              </w:rPr>
            </w:pPr>
          </w:p>
        </w:tc>
        <w:tc>
          <w:tcPr>
            <w:tcW w:w="1134" w:type="dxa"/>
            <w:tcBorders>
              <w:top w:val="nil"/>
            </w:tcBorders>
          </w:tcPr>
          <w:p w14:paraId="0FCCFDB3" w14:textId="77777777" w:rsidR="00653571" w:rsidRPr="008C5F1C" w:rsidRDefault="00653571" w:rsidP="00313EC5">
            <w:pPr>
              <w:spacing w:after="120"/>
              <w:jc w:val="center"/>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(a)</w:t>
            </w:r>
          </w:p>
        </w:tc>
        <w:tc>
          <w:tcPr>
            <w:tcW w:w="992" w:type="dxa"/>
            <w:tcBorders>
              <w:top w:val="nil"/>
            </w:tcBorders>
          </w:tcPr>
          <w:p w14:paraId="462D71C0" w14:textId="77777777" w:rsidR="00653571" w:rsidRPr="008C5F1C" w:rsidRDefault="00653571" w:rsidP="00313EC5">
            <w:pPr>
              <w:spacing w:after="120"/>
              <w:jc w:val="center"/>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(b)=(c)+(d)</w:t>
            </w:r>
          </w:p>
        </w:tc>
        <w:tc>
          <w:tcPr>
            <w:tcW w:w="709" w:type="dxa"/>
            <w:tcBorders>
              <w:top w:val="nil"/>
            </w:tcBorders>
          </w:tcPr>
          <w:p w14:paraId="5871B5A7" w14:textId="77777777" w:rsidR="00653571" w:rsidRPr="008C5F1C" w:rsidRDefault="00653571" w:rsidP="00313EC5">
            <w:pPr>
              <w:spacing w:after="120"/>
              <w:jc w:val="center"/>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(c)</w:t>
            </w:r>
          </w:p>
        </w:tc>
        <w:tc>
          <w:tcPr>
            <w:tcW w:w="708" w:type="dxa"/>
            <w:tcBorders>
              <w:top w:val="nil"/>
            </w:tcBorders>
          </w:tcPr>
          <w:p w14:paraId="1D52BEE2" w14:textId="77777777" w:rsidR="00653571" w:rsidRPr="008C5F1C" w:rsidRDefault="00653571" w:rsidP="00313EC5">
            <w:pPr>
              <w:spacing w:after="120"/>
              <w:jc w:val="center"/>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(d)</w:t>
            </w:r>
          </w:p>
        </w:tc>
        <w:tc>
          <w:tcPr>
            <w:tcW w:w="1276" w:type="dxa"/>
            <w:tcBorders>
              <w:top w:val="nil"/>
            </w:tcBorders>
          </w:tcPr>
          <w:p w14:paraId="0A719735" w14:textId="77777777" w:rsidR="00653571" w:rsidRPr="008C5F1C" w:rsidRDefault="00653571" w:rsidP="00313EC5">
            <w:pPr>
              <w:spacing w:after="120"/>
              <w:jc w:val="center"/>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(e)=(a)+ (b)***</w:t>
            </w:r>
          </w:p>
        </w:tc>
        <w:tc>
          <w:tcPr>
            <w:tcW w:w="2447" w:type="dxa"/>
            <w:tcBorders>
              <w:top w:val="nil"/>
            </w:tcBorders>
          </w:tcPr>
          <w:p w14:paraId="42C27B16" w14:textId="77777777" w:rsidR="00653571" w:rsidRPr="008C5F1C" w:rsidRDefault="00653571" w:rsidP="00313EC5">
            <w:pPr>
              <w:spacing w:after="120"/>
              <w:jc w:val="center"/>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(f)=(a)/(e)***</w:t>
            </w:r>
          </w:p>
        </w:tc>
      </w:tr>
      <w:tr w:rsidR="00653571" w:rsidRPr="008C5F1C" w14:paraId="266FA750" w14:textId="77777777" w:rsidTr="00313EC5">
        <w:trPr>
          <w:jc w:val="center"/>
        </w:trPr>
        <w:tc>
          <w:tcPr>
            <w:tcW w:w="1419" w:type="dxa"/>
            <w:vMerge w:val="restart"/>
          </w:tcPr>
          <w:p w14:paraId="174F407B" w14:textId="77777777" w:rsidR="00653571" w:rsidRPr="008C5F1C" w:rsidRDefault="00653571" w:rsidP="00313EC5">
            <w:pPr>
              <w:spacing w:after="120"/>
              <w:rPr>
                <w:rFonts w:ascii="Times New Roman" w:eastAsia="Calibri" w:hAnsi="Times New Roman" w:cs="Times New Roman"/>
                <w:noProof/>
                <w:sz w:val="16"/>
                <w:szCs w:val="16"/>
              </w:rPr>
            </w:pPr>
          </w:p>
        </w:tc>
        <w:tc>
          <w:tcPr>
            <w:tcW w:w="1343" w:type="dxa"/>
            <w:vMerge w:val="restart"/>
          </w:tcPr>
          <w:p w14:paraId="566965AE"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Priority 1</w:t>
            </w:r>
          </w:p>
        </w:tc>
        <w:tc>
          <w:tcPr>
            <w:tcW w:w="1984" w:type="dxa"/>
            <w:vMerge w:val="restart"/>
          </w:tcPr>
          <w:p w14:paraId="246EAA7D" w14:textId="207B0FF2"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P</w:t>
            </w:r>
          </w:p>
        </w:tc>
        <w:tc>
          <w:tcPr>
            <w:tcW w:w="1701" w:type="dxa"/>
            <w:vMerge w:val="restart"/>
          </w:tcPr>
          <w:p w14:paraId="448F54ED"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ERDF</w:t>
            </w:r>
          </w:p>
        </w:tc>
        <w:tc>
          <w:tcPr>
            <w:tcW w:w="1418" w:type="dxa"/>
          </w:tcPr>
          <w:p w14:paraId="49B9E7EE"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Less developed</w:t>
            </w:r>
          </w:p>
        </w:tc>
        <w:tc>
          <w:tcPr>
            <w:tcW w:w="1134" w:type="dxa"/>
          </w:tcPr>
          <w:p w14:paraId="7C037B83" w14:textId="77777777" w:rsidR="00653571" w:rsidRPr="008C5F1C" w:rsidRDefault="00653571" w:rsidP="00313EC5">
            <w:pPr>
              <w:spacing w:after="120"/>
              <w:rPr>
                <w:rFonts w:ascii="Times New Roman" w:eastAsia="Calibri" w:hAnsi="Times New Roman" w:cs="Times New Roman"/>
                <w:noProof/>
                <w:sz w:val="16"/>
                <w:szCs w:val="16"/>
              </w:rPr>
            </w:pPr>
          </w:p>
        </w:tc>
        <w:tc>
          <w:tcPr>
            <w:tcW w:w="992" w:type="dxa"/>
          </w:tcPr>
          <w:p w14:paraId="2CA63991" w14:textId="77777777" w:rsidR="00653571" w:rsidRPr="008C5F1C" w:rsidRDefault="00653571" w:rsidP="00313EC5">
            <w:pPr>
              <w:spacing w:after="120"/>
              <w:rPr>
                <w:rFonts w:ascii="Times New Roman" w:eastAsia="Calibri" w:hAnsi="Times New Roman" w:cs="Times New Roman"/>
                <w:noProof/>
                <w:sz w:val="16"/>
                <w:szCs w:val="16"/>
              </w:rPr>
            </w:pPr>
          </w:p>
        </w:tc>
        <w:tc>
          <w:tcPr>
            <w:tcW w:w="709" w:type="dxa"/>
          </w:tcPr>
          <w:p w14:paraId="7FFB3595" w14:textId="77777777" w:rsidR="00653571" w:rsidRPr="008C5F1C" w:rsidRDefault="00653571" w:rsidP="00313EC5">
            <w:pPr>
              <w:spacing w:after="120"/>
              <w:rPr>
                <w:rFonts w:ascii="Times New Roman" w:eastAsia="Calibri" w:hAnsi="Times New Roman" w:cs="Times New Roman"/>
                <w:noProof/>
                <w:sz w:val="16"/>
                <w:szCs w:val="16"/>
              </w:rPr>
            </w:pPr>
          </w:p>
        </w:tc>
        <w:tc>
          <w:tcPr>
            <w:tcW w:w="708" w:type="dxa"/>
          </w:tcPr>
          <w:p w14:paraId="63438106" w14:textId="77777777" w:rsidR="00653571" w:rsidRPr="008C5F1C" w:rsidRDefault="00653571" w:rsidP="00313EC5">
            <w:pPr>
              <w:spacing w:after="120"/>
              <w:rPr>
                <w:rFonts w:ascii="Times New Roman" w:eastAsia="Calibri" w:hAnsi="Times New Roman" w:cs="Times New Roman"/>
                <w:noProof/>
                <w:sz w:val="16"/>
                <w:szCs w:val="16"/>
              </w:rPr>
            </w:pPr>
          </w:p>
        </w:tc>
        <w:tc>
          <w:tcPr>
            <w:tcW w:w="1276" w:type="dxa"/>
          </w:tcPr>
          <w:p w14:paraId="2FB9B299" w14:textId="77777777" w:rsidR="00653571" w:rsidRPr="008C5F1C" w:rsidRDefault="00653571" w:rsidP="00313EC5">
            <w:pPr>
              <w:spacing w:after="120"/>
              <w:rPr>
                <w:rFonts w:ascii="Times New Roman" w:eastAsia="Calibri" w:hAnsi="Times New Roman" w:cs="Times New Roman"/>
                <w:noProof/>
                <w:sz w:val="16"/>
                <w:szCs w:val="16"/>
              </w:rPr>
            </w:pPr>
          </w:p>
        </w:tc>
        <w:tc>
          <w:tcPr>
            <w:tcW w:w="2447" w:type="dxa"/>
          </w:tcPr>
          <w:p w14:paraId="0205753F" w14:textId="77777777" w:rsidR="00653571" w:rsidRPr="008C5F1C" w:rsidRDefault="00653571" w:rsidP="00313EC5">
            <w:pPr>
              <w:spacing w:after="120"/>
              <w:rPr>
                <w:rFonts w:ascii="Times New Roman" w:eastAsia="Calibri" w:hAnsi="Times New Roman" w:cs="Times New Roman"/>
                <w:noProof/>
                <w:sz w:val="16"/>
                <w:szCs w:val="16"/>
              </w:rPr>
            </w:pPr>
          </w:p>
        </w:tc>
      </w:tr>
      <w:tr w:rsidR="00653571" w:rsidRPr="008C5F1C" w14:paraId="6D819110" w14:textId="77777777" w:rsidTr="00313EC5">
        <w:trPr>
          <w:jc w:val="center"/>
        </w:trPr>
        <w:tc>
          <w:tcPr>
            <w:tcW w:w="1419" w:type="dxa"/>
            <w:vMerge/>
          </w:tcPr>
          <w:p w14:paraId="24726F19" w14:textId="77777777" w:rsidR="00653571" w:rsidRPr="008C5F1C" w:rsidRDefault="00653571" w:rsidP="00313EC5">
            <w:pPr>
              <w:spacing w:after="120"/>
              <w:rPr>
                <w:rFonts w:ascii="Times New Roman" w:eastAsia="Calibri" w:hAnsi="Times New Roman" w:cs="Times New Roman"/>
                <w:noProof/>
                <w:sz w:val="16"/>
                <w:szCs w:val="16"/>
              </w:rPr>
            </w:pPr>
          </w:p>
        </w:tc>
        <w:tc>
          <w:tcPr>
            <w:tcW w:w="1343" w:type="dxa"/>
            <w:vMerge/>
          </w:tcPr>
          <w:p w14:paraId="551CE40D" w14:textId="77777777" w:rsidR="00653571" w:rsidRPr="008C5F1C" w:rsidRDefault="00653571" w:rsidP="00313EC5">
            <w:pPr>
              <w:spacing w:after="120"/>
              <w:rPr>
                <w:rFonts w:ascii="Times New Roman" w:eastAsia="Calibri" w:hAnsi="Times New Roman" w:cs="Times New Roman"/>
                <w:noProof/>
                <w:sz w:val="16"/>
                <w:szCs w:val="16"/>
              </w:rPr>
            </w:pPr>
          </w:p>
        </w:tc>
        <w:tc>
          <w:tcPr>
            <w:tcW w:w="1984" w:type="dxa"/>
            <w:vMerge/>
          </w:tcPr>
          <w:p w14:paraId="5065BBFC" w14:textId="77777777" w:rsidR="00653571" w:rsidRPr="008C5F1C" w:rsidRDefault="00653571" w:rsidP="00313EC5">
            <w:pPr>
              <w:spacing w:after="120"/>
              <w:rPr>
                <w:rFonts w:ascii="Times New Roman" w:eastAsia="Calibri" w:hAnsi="Times New Roman" w:cs="Times New Roman"/>
                <w:noProof/>
                <w:sz w:val="16"/>
                <w:szCs w:val="16"/>
              </w:rPr>
            </w:pPr>
          </w:p>
        </w:tc>
        <w:tc>
          <w:tcPr>
            <w:tcW w:w="1701" w:type="dxa"/>
            <w:vMerge/>
          </w:tcPr>
          <w:p w14:paraId="69E996A6" w14:textId="77777777" w:rsidR="00653571" w:rsidRPr="008C5F1C" w:rsidRDefault="00653571" w:rsidP="00313EC5">
            <w:pPr>
              <w:spacing w:after="120"/>
              <w:rPr>
                <w:rFonts w:ascii="Times New Roman" w:eastAsia="Calibri" w:hAnsi="Times New Roman" w:cs="Times New Roman"/>
                <w:noProof/>
                <w:sz w:val="16"/>
                <w:szCs w:val="16"/>
              </w:rPr>
            </w:pPr>
          </w:p>
        </w:tc>
        <w:tc>
          <w:tcPr>
            <w:tcW w:w="1418" w:type="dxa"/>
          </w:tcPr>
          <w:p w14:paraId="414551EB"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More developed</w:t>
            </w:r>
          </w:p>
        </w:tc>
        <w:tc>
          <w:tcPr>
            <w:tcW w:w="1134" w:type="dxa"/>
          </w:tcPr>
          <w:p w14:paraId="1B6488A1" w14:textId="77777777" w:rsidR="00653571" w:rsidRPr="008C5F1C" w:rsidRDefault="00653571" w:rsidP="00313EC5">
            <w:pPr>
              <w:spacing w:after="120"/>
              <w:rPr>
                <w:rFonts w:ascii="Times New Roman" w:eastAsia="Calibri" w:hAnsi="Times New Roman" w:cs="Times New Roman"/>
                <w:noProof/>
                <w:sz w:val="16"/>
                <w:szCs w:val="16"/>
              </w:rPr>
            </w:pPr>
          </w:p>
        </w:tc>
        <w:tc>
          <w:tcPr>
            <w:tcW w:w="992" w:type="dxa"/>
          </w:tcPr>
          <w:p w14:paraId="7ADA3D4F" w14:textId="77777777" w:rsidR="00653571" w:rsidRPr="008C5F1C" w:rsidRDefault="00653571" w:rsidP="00313EC5">
            <w:pPr>
              <w:spacing w:after="120"/>
              <w:rPr>
                <w:rFonts w:ascii="Times New Roman" w:eastAsia="Calibri" w:hAnsi="Times New Roman" w:cs="Times New Roman"/>
                <w:noProof/>
                <w:sz w:val="16"/>
                <w:szCs w:val="16"/>
              </w:rPr>
            </w:pPr>
          </w:p>
        </w:tc>
        <w:tc>
          <w:tcPr>
            <w:tcW w:w="709" w:type="dxa"/>
          </w:tcPr>
          <w:p w14:paraId="216F0214" w14:textId="77777777" w:rsidR="00653571" w:rsidRPr="008C5F1C" w:rsidRDefault="00653571" w:rsidP="00313EC5">
            <w:pPr>
              <w:spacing w:after="120"/>
              <w:rPr>
                <w:rFonts w:ascii="Times New Roman" w:eastAsia="Calibri" w:hAnsi="Times New Roman" w:cs="Times New Roman"/>
                <w:noProof/>
                <w:sz w:val="16"/>
                <w:szCs w:val="16"/>
              </w:rPr>
            </w:pPr>
          </w:p>
        </w:tc>
        <w:tc>
          <w:tcPr>
            <w:tcW w:w="708" w:type="dxa"/>
          </w:tcPr>
          <w:p w14:paraId="3AAF6ED7" w14:textId="77777777" w:rsidR="00653571" w:rsidRPr="008C5F1C" w:rsidRDefault="00653571" w:rsidP="00313EC5">
            <w:pPr>
              <w:spacing w:after="120"/>
              <w:rPr>
                <w:rFonts w:ascii="Times New Roman" w:eastAsia="Calibri" w:hAnsi="Times New Roman" w:cs="Times New Roman"/>
                <w:noProof/>
                <w:sz w:val="16"/>
                <w:szCs w:val="16"/>
              </w:rPr>
            </w:pPr>
          </w:p>
        </w:tc>
        <w:tc>
          <w:tcPr>
            <w:tcW w:w="1276" w:type="dxa"/>
          </w:tcPr>
          <w:p w14:paraId="773C0312" w14:textId="77777777" w:rsidR="00653571" w:rsidRPr="008C5F1C" w:rsidRDefault="00653571" w:rsidP="00313EC5">
            <w:pPr>
              <w:spacing w:after="120"/>
              <w:rPr>
                <w:rFonts w:ascii="Times New Roman" w:eastAsia="Calibri" w:hAnsi="Times New Roman" w:cs="Times New Roman"/>
                <w:noProof/>
                <w:sz w:val="16"/>
                <w:szCs w:val="16"/>
              </w:rPr>
            </w:pPr>
          </w:p>
        </w:tc>
        <w:tc>
          <w:tcPr>
            <w:tcW w:w="2447" w:type="dxa"/>
          </w:tcPr>
          <w:p w14:paraId="544EC8FE" w14:textId="77777777" w:rsidR="00653571" w:rsidRPr="008C5F1C" w:rsidRDefault="00653571" w:rsidP="00313EC5">
            <w:pPr>
              <w:spacing w:after="120"/>
              <w:rPr>
                <w:rFonts w:ascii="Times New Roman" w:eastAsia="Calibri" w:hAnsi="Times New Roman" w:cs="Times New Roman"/>
                <w:noProof/>
                <w:sz w:val="16"/>
                <w:szCs w:val="16"/>
              </w:rPr>
            </w:pPr>
          </w:p>
        </w:tc>
      </w:tr>
      <w:tr w:rsidR="00653571" w:rsidRPr="008C5F1C" w14:paraId="5DF37FD4" w14:textId="77777777" w:rsidTr="00313EC5">
        <w:trPr>
          <w:jc w:val="center"/>
        </w:trPr>
        <w:tc>
          <w:tcPr>
            <w:tcW w:w="1419" w:type="dxa"/>
            <w:vMerge/>
          </w:tcPr>
          <w:p w14:paraId="1EA6F605" w14:textId="77777777" w:rsidR="00653571" w:rsidRPr="008C5F1C" w:rsidRDefault="00653571" w:rsidP="00313EC5">
            <w:pPr>
              <w:spacing w:after="120"/>
              <w:rPr>
                <w:rFonts w:ascii="Times New Roman" w:eastAsia="Calibri" w:hAnsi="Times New Roman" w:cs="Times New Roman"/>
                <w:noProof/>
                <w:sz w:val="16"/>
                <w:szCs w:val="16"/>
              </w:rPr>
            </w:pPr>
          </w:p>
        </w:tc>
        <w:tc>
          <w:tcPr>
            <w:tcW w:w="1343" w:type="dxa"/>
            <w:vMerge/>
          </w:tcPr>
          <w:p w14:paraId="0638E42E" w14:textId="77777777" w:rsidR="00653571" w:rsidRPr="008C5F1C" w:rsidRDefault="00653571" w:rsidP="00313EC5">
            <w:pPr>
              <w:spacing w:after="120"/>
              <w:rPr>
                <w:rFonts w:ascii="Times New Roman" w:eastAsia="Calibri" w:hAnsi="Times New Roman" w:cs="Times New Roman"/>
                <w:noProof/>
                <w:sz w:val="16"/>
                <w:szCs w:val="16"/>
              </w:rPr>
            </w:pPr>
          </w:p>
        </w:tc>
        <w:tc>
          <w:tcPr>
            <w:tcW w:w="1984" w:type="dxa"/>
            <w:vMerge/>
          </w:tcPr>
          <w:p w14:paraId="4F965B54" w14:textId="77777777" w:rsidR="00653571" w:rsidRPr="008C5F1C" w:rsidRDefault="00653571" w:rsidP="00313EC5">
            <w:pPr>
              <w:spacing w:after="120"/>
              <w:rPr>
                <w:rFonts w:ascii="Times New Roman" w:eastAsia="Calibri" w:hAnsi="Times New Roman" w:cs="Times New Roman"/>
                <w:noProof/>
                <w:sz w:val="16"/>
                <w:szCs w:val="16"/>
              </w:rPr>
            </w:pPr>
          </w:p>
        </w:tc>
        <w:tc>
          <w:tcPr>
            <w:tcW w:w="1701" w:type="dxa"/>
            <w:vMerge/>
          </w:tcPr>
          <w:p w14:paraId="563A7C35" w14:textId="77777777" w:rsidR="00653571" w:rsidRPr="008C5F1C" w:rsidRDefault="00653571" w:rsidP="00313EC5">
            <w:pPr>
              <w:spacing w:after="120"/>
              <w:rPr>
                <w:rFonts w:ascii="Times New Roman" w:eastAsia="Calibri" w:hAnsi="Times New Roman" w:cs="Times New Roman"/>
                <w:noProof/>
                <w:sz w:val="16"/>
                <w:szCs w:val="16"/>
              </w:rPr>
            </w:pPr>
          </w:p>
        </w:tc>
        <w:tc>
          <w:tcPr>
            <w:tcW w:w="1418" w:type="dxa"/>
          </w:tcPr>
          <w:p w14:paraId="1CBBDD2A"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Transition</w:t>
            </w:r>
          </w:p>
        </w:tc>
        <w:tc>
          <w:tcPr>
            <w:tcW w:w="1134" w:type="dxa"/>
          </w:tcPr>
          <w:p w14:paraId="6E205AEA" w14:textId="77777777" w:rsidR="00653571" w:rsidRPr="008C5F1C" w:rsidRDefault="00653571" w:rsidP="00313EC5">
            <w:pPr>
              <w:spacing w:after="120"/>
              <w:rPr>
                <w:rFonts w:ascii="Times New Roman" w:eastAsia="Calibri" w:hAnsi="Times New Roman" w:cs="Times New Roman"/>
                <w:noProof/>
                <w:sz w:val="16"/>
                <w:szCs w:val="16"/>
              </w:rPr>
            </w:pPr>
          </w:p>
        </w:tc>
        <w:tc>
          <w:tcPr>
            <w:tcW w:w="992" w:type="dxa"/>
          </w:tcPr>
          <w:p w14:paraId="6A4CA7DC" w14:textId="77777777" w:rsidR="00653571" w:rsidRPr="008C5F1C" w:rsidRDefault="00653571" w:rsidP="00313EC5">
            <w:pPr>
              <w:spacing w:after="120"/>
              <w:rPr>
                <w:rFonts w:ascii="Times New Roman" w:eastAsia="Calibri" w:hAnsi="Times New Roman" w:cs="Times New Roman"/>
                <w:noProof/>
                <w:sz w:val="16"/>
                <w:szCs w:val="16"/>
              </w:rPr>
            </w:pPr>
          </w:p>
        </w:tc>
        <w:tc>
          <w:tcPr>
            <w:tcW w:w="709" w:type="dxa"/>
          </w:tcPr>
          <w:p w14:paraId="19D08FA5" w14:textId="77777777" w:rsidR="00653571" w:rsidRPr="008C5F1C" w:rsidRDefault="00653571" w:rsidP="00313EC5">
            <w:pPr>
              <w:spacing w:after="120"/>
              <w:rPr>
                <w:rFonts w:ascii="Times New Roman" w:eastAsia="Calibri" w:hAnsi="Times New Roman" w:cs="Times New Roman"/>
                <w:noProof/>
                <w:sz w:val="16"/>
                <w:szCs w:val="16"/>
              </w:rPr>
            </w:pPr>
          </w:p>
        </w:tc>
        <w:tc>
          <w:tcPr>
            <w:tcW w:w="708" w:type="dxa"/>
          </w:tcPr>
          <w:p w14:paraId="712375EB" w14:textId="77777777" w:rsidR="00653571" w:rsidRPr="008C5F1C" w:rsidRDefault="00653571" w:rsidP="00313EC5">
            <w:pPr>
              <w:spacing w:after="120"/>
              <w:rPr>
                <w:rFonts w:ascii="Times New Roman" w:eastAsia="Calibri" w:hAnsi="Times New Roman" w:cs="Times New Roman"/>
                <w:noProof/>
                <w:sz w:val="16"/>
                <w:szCs w:val="16"/>
              </w:rPr>
            </w:pPr>
          </w:p>
        </w:tc>
        <w:tc>
          <w:tcPr>
            <w:tcW w:w="1276" w:type="dxa"/>
          </w:tcPr>
          <w:p w14:paraId="786FB56C" w14:textId="77777777" w:rsidR="00653571" w:rsidRPr="008C5F1C" w:rsidRDefault="00653571" w:rsidP="00313EC5">
            <w:pPr>
              <w:spacing w:after="120"/>
              <w:rPr>
                <w:rFonts w:ascii="Times New Roman" w:eastAsia="Calibri" w:hAnsi="Times New Roman" w:cs="Times New Roman"/>
                <w:noProof/>
                <w:sz w:val="16"/>
                <w:szCs w:val="16"/>
              </w:rPr>
            </w:pPr>
          </w:p>
        </w:tc>
        <w:tc>
          <w:tcPr>
            <w:tcW w:w="2447" w:type="dxa"/>
          </w:tcPr>
          <w:p w14:paraId="708FF694" w14:textId="77777777" w:rsidR="00653571" w:rsidRPr="008C5F1C" w:rsidRDefault="00653571" w:rsidP="00313EC5">
            <w:pPr>
              <w:spacing w:after="120"/>
              <w:rPr>
                <w:rFonts w:ascii="Times New Roman" w:eastAsia="Calibri" w:hAnsi="Times New Roman" w:cs="Times New Roman"/>
                <w:noProof/>
                <w:sz w:val="16"/>
                <w:szCs w:val="16"/>
              </w:rPr>
            </w:pPr>
          </w:p>
        </w:tc>
      </w:tr>
      <w:tr w:rsidR="00653571" w:rsidRPr="008C5F1C" w14:paraId="01C7444D" w14:textId="77777777" w:rsidTr="00313EC5">
        <w:trPr>
          <w:jc w:val="center"/>
        </w:trPr>
        <w:tc>
          <w:tcPr>
            <w:tcW w:w="1419" w:type="dxa"/>
            <w:vMerge/>
          </w:tcPr>
          <w:p w14:paraId="617BCFCA" w14:textId="77777777" w:rsidR="00653571" w:rsidRPr="008C5F1C" w:rsidRDefault="00653571" w:rsidP="00313EC5">
            <w:pPr>
              <w:spacing w:after="120"/>
              <w:rPr>
                <w:rFonts w:ascii="Times New Roman" w:eastAsia="Calibri" w:hAnsi="Times New Roman" w:cs="Times New Roman"/>
                <w:noProof/>
                <w:sz w:val="16"/>
                <w:szCs w:val="16"/>
              </w:rPr>
            </w:pPr>
          </w:p>
        </w:tc>
        <w:tc>
          <w:tcPr>
            <w:tcW w:w="1343" w:type="dxa"/>
            <w:vMerge/>
          </w:tcPr>
          <w:p w14:paraId="65DF682D" w14:textId="77777777" w:rsidR="00653571" w:rsidRPr="008C5F1C" w:rsidRDefault="00653571" w:rsidP="00313EC5">
            <w:pPr>
              <w:spacing w:after="120"/>
              <w:rPr>
                <w:rFonts w:ascii="Times New Roman" w:eastAsia="Calibri" w:hAnsi="Times New Roman" w:cs="Times New Roman"/>
                <w:noProof/>
                <w:sz w:val="16"/>
                <w:szCs w:val="16"/>
              </w:rPr>
            </w:pPr>
          </w:p>
        </w:tc>
        <w:tc>
          <w:tcPr>
            <w:tcW w:w="1984" w:type="dxa"/>
            <w:vMerge/>
          </w:tcPr>
          <w:p w14:paraId="46AC607C" w14:textId="77777777" w:rsidR="00653571" w:rsidRPr="008C5F1C" w:rsidRDefault="00653571" w:rsidP="00313EC5">
            <w:pPr>
              <w:spacing w:after="120"/>
              <w:rPr>
                <w:rFonts w:ascii="Times New Roman" w:eastAsia="Calibri" w:hAnsi="Times New Roman" w:cs="Times New Roman"/>
                <w:noProof/>
                <w:sz w:val="16"/>
                <w:szCs w:val="16"/>
              </w:rPr>
            </w:pPr>
          </w:p>
        </w:tc>
        <w:tc>
          <w:tcPr>
            <w:tcW w:w="1701" w:type="dxa"/>
            <w:vMerge/>
          </w:tcPr>
          <w:p w14:paraId="5DFE6297" w14:textId="77777777" w:rsidR="00653571" w:rsidRPr="008C5F1C" w:rsidRDefault="00653571" w:rsidP="00313EC5">
            <w:pPr>
              <w:spacing w:after="120"/>
              <w:rPr>
                <w:rFonts w:ascii="Times New Roman" w:eastAsia="Calibri" w:hAnsi="Times New Roman" w:cs="Times New Roman"/>
                <w:noProof/>
                <w:sz w:val="16"/>
                <w:szCs w:val="16"/>
              </w:rPr>
            </w:pPr>
          </w:p>
        </w:tc>
        <w:tc>
          <w:tcPr>
            <w:tcW w:w="1418" w:type="dxa"/>
          </w:tcPr>
          <w:p w14:paraId="03192A21"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Special allocation for outermost and northern sparsely populated regions</w:t>
            </w:r>
          </w:p>
        </w:tc>
        <w:tc>
          <w:tcPr>
            <w:tcW w:w="1134" w:type="dxa"/>
          </w:tcPr>
          <w:p w14:paraId="7771DD58" w14:textId="77777777" w:rsidR="00653571" w:rsidRPr="008C5F1C" w:rsidRDefault="00653571" w:rsidP="00313EC5">
            <w:pPr>
              <w:spacing w:after="120"/>
              <w:rPr>
                <w:rFonts w:ascii="Times New Roman" w:eastAsia="Calibri" w:hAnsi="Times New Roman" w:cs="Times New Roman"/>
                <w:noProof/>
                <w:sz w:val="16"/>
                <w:szCs w:val="16"/>
              </w:rPr>
            </w:pPr>
          </w:p>
        </w:tc>
        <w:tc>
          <w:tcPr>
            <w:tcW w:w="992" w:type="dxa"/>
          </w:tcPr>
          <w:p w14:paraId="6645835D" w14:textId="77777777" w:rsidR="00653571" w:rsidRPr="008C5F1C" w:rsidRDefault="00653571" w:rsidP="00313EC5">
            <w:pPr>
              <w:spacing w:after="120"/>
              <w:rPr>
                <w:rFonts w:ascii="Times New Roman" w:eastAsia="Calibri" w:hAnsi="Times New Roman" w:cs="Times New Roman"/>
                <w:noProof/>
                <w:sz w:val="16"/>
                <w:szCs w:val="16"/>
              </w:rPr>
            </w:pPr>
          </w:p>
        </w:tc>
        <w:tc>
          <w:tcPr>
            <w:tcW w:w="709" w:type="dxa"/>
          </w:tcPr>
          <w:p w14:paraId="13CD6413" w14:textId="77777777" w:rsidR="00653571" w:rsidRPr="008C5F1C" w:rsidRDefault="00653571" w:rsidP="00313EC5">
            <w:pPr>
              <w:spacing w:after="120"/>
              <w:rPr>
                <w:rFonts w:ascii="Times New Roman" w:eastAsia="Calibri" w:hAnsi="Times New Roman" w:cs="Times New Roman"/>
                <w:noProof/>
                <w:sz w:val="16"/>
                <w:szCs w:val="16"/>
              </w:rPr>
            </w:pPr>
          </w:p>
        </w:tc>
        <w:tc>
          <w:tcPr>
            <w:tcW w:w="708" w:type="dxa"/>
          </w:tcPr>
          <w:p w14:paraId="4984E5D9" w14:textId="77777777" w:rsidR="00653571" w:rsidRPr="008C5F1C" w:rsidRDefault="00653571" w:rsidP="00313EC5">
            <w:pPr>
              <w:spacing w:after="120"/>
              <w:rPr>
                <w:rFonts w:ascii="Times New Roman" w:eastAsia="Calibri" w:hAnsi="Times New Roman" w:cs="Times New Roman"/>
                <w:noProof/>
                <w:sz w:val="16"/>
                <w:szCs w:val="16"/>
              </w:rPr>
            </w:pPr>
          </w:p>
        </w:tc>
        <w:tc>
          <w:tcPr>
            <w:tcW w:w="1276" w:type="dxa"/>
          </w:tcPr>
          <w:p w14:paraId="0A729179" w14:textId="77777777" w:rsidR="00653571" w:rsidRPr="008C5F1C" w:rsidRDefault="00653571" w:rsidP="00313EC5">
            <w:pPr>
              <w:spacing w:after="120"/>
              <w:rPr>
                <w:rFonts w:ascii="Times New Roman" w:eastAsia="Calibri" w:hAnsi="Times New Roman" w:cs="Times New Roman"/>
                <w:noProof/>
                <w:sz w:val="16"/>
                <w:szCs w:val="16"/>
              </w:rPr>
            </w:pPr>
          </w:p>
        </w:tc>
        <w:tc>
          <w:tcPr>
            <w:tcW w:w="2447" w:type="dxa"/>
          </w:tcPr>
          <w:p w14:paraId="6843880D" w14:textId="77777777" w:rsidR="00653571" w:rsidRPr="008C5F1C" w:rsidRDefault="00653571" w:rsidP="00313EC5">
            <w:pPr>
              <w:spacing w:after="120"/>
              <w:rPr>
                <w:rFonts w:ascii="Times New Roman" w:eastAsia="Calibri" w:hAnsi="Times New Roman" w:cs="Times New Roman"/>
                <w:noProof/>
                <w:sz w:val="16"/>
                <w:szCs w:val="16"/>
              </w:rPr>
            </w:pPr>
          </w:p>
        </w:tc>
      </w:tr>
      <w:tr w:rsidR="00653571" w:rsidRPr="008C5F1C" w14:paraId="76F269E4" w14:textId="77777777" w:rsidTr="00313EC5">
        <w:trPr>
          <w:jc w:val="center"/>
        </w:trPr>
        <w:tc>
          <w:tcPr>
            <w:tcW w:w="1419" w:type="dxa"/>
            <w:vMerge w:val="restart"/>
          </w:tcPr>
          <w:p w14:paraId="5493EED3" w14:textId="77777777" w:rsidR="00653571" w:rsidRPr="008C5F1C" w:rsidRDefault="00653571" w:rsidP="00313EC5">
            <w:pPr>
              <w:spacing w:after="120"/>
              <w:rPr>
                <w:rFonts w:ascii="Times New Roman" w:eastAsia="Calibri" w:hAnsi="Times New Roman" w:cs="Times New Roman"/>
                <w:noProof/>
                <w:sz w:val="16"/>
                <w:szCs w:val="16"/>
              </w:rPr>
            </w:pPr>
          </w:p>
        </w:tc>
        <w:tc>
          <w:tcPr>
            <w:tcW w:w="1343" w:type="dxa"/>
            <w:vMerge w:val="restart"/>
          </w:tcPr>
          <w:p w14:paraId="4A3DFEFA"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Priority 2</w:t>
            </w:r>
          </w:p>
        </w:tc>
        <w:tc>
          <w:tcPr>
            <w:tcW w:w="1984" w:type="dxa"/>
            <w:vMerge w:val="restart"/>
          </w:tcPr>
          <w:p w14:paraId="476BA3FF" w14:textId="77777777" w:rsidR="00653571" w:rsidRPr="008C5F1C" w:rsidRDefault="00653571" w:rsidP="00313EC5">
            <w:pPr>
              <w:spacing w:after="120"/>
              <w:rPr>
                <w:rFonts w:ascii="Times New Roman" w:eastAsia="Calibri" w:hAnsi="Times New Roman" w:cs="Times New Roman"/>
                <w:noProof/>
                <w:sz w:val="16"/>
                <w:szCs w:val="16"/>
              </w:rPr>
            </w:pPr>
          </w:p>
        </w:tc>
        <w:tc>
          <w:tcPr>
            <w:tcW w:w="1701" w:type="dxa"/>
            <w:vMerge w:val="restart"/>
          </w:tcPr>
          <w:p w14:paraId="077F4C0D"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ESF+</w:t>
            </w:r>
          </w:p>
        </w:tc>
        <w:tc>
          <w:tcPr>
            <w:tcW w:w="1418" w:type="dxa"/>
          </w:tcPr>
          <w:p w14:paraId="39953D1B"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Less developed</w:t>
            </w:r>
          </w:p>
        </w:tc>
        <w:tc>
          <w:tcPr>
            <w:tcW w:w="1134" w:type="dxa"/>
          </w:tcPr>
          <w:p w14:paraId="2D55F8FF" w14:textId="77777777" w:rsidR="00653571" w:rsidRPr="008C5F1C" w:rsidRDefault="00653571" w:rsidP="00313EC5">
            <w:pPr>
              <w:spacing w:after="120"/>
              <w:rPr>
                <w:rFonts w:ascii="Times New Roman" w:eastAsia="Calibri" w:hAnsi="Times New Roman" w:cs="Times New Roman"/>
                <w:noProof/>
                <w:sz w:val="16"/>
                <w:szCs w:val="16"/>
              </w:rPr>
            </w:pPr>
          </w:p>
        </w:tc>
        <w:tc>
          <w:tcPr>
            <w:tcW w:w="992" w:type="dxa"/>
          </w:tcPr>
          <w:p w14:paraId="563E0D5A" w14:textId="77777777" w:rsidR="00653571" w:rsidRPr="008C5F1C" w:rsidRDefault="00653571" w:rsidP="00313EC5">
            <w:pPr>
              <w:spacing w:after="120"/>
              <w:rPr>
                <w:rFonts w:ascii="Times New Roman" w:eastAsia="Calibri" w:hAnsi="Times New Roman" w:cs="Times New Roman"/>
                <w:noProof/>
                <w:sz w:val="16"/>
                <w:szCs w:val="16"/>
              </w:rPr>
            </w:pPr>
          </w:p>
        </w:tc>
        <w:tc>
          <w:tcPr>
            <w:tcW w:w="709" w:type="dxa"/>
          </w:tcPr>
          <w:p w14:paraId="259310CF" w14:textId="77777777" w:rsidR="00653571" w:rsidRPr="008C5F1C" w:rsidRDefault="00653571" w:rsidP="00313EC5">
            <w:pPr>
              <w:spacing w:after="120"/>
              <w:rPr>
                <w:rFonts w:ascii="Times New Roman" w:eastAsia="Calibri" w:hAnsi="Times New Roman" w:cs="Times New Roman"/>
                <w:noProof/>
                <w:sz w:val="16"/>
                <w:szCs w:val="16"/>
              </w:rPr>
            </w:pPr>
          </w:p>
        </w:tc>
        <w:tc>
          <w:tcPr>
            <w:tcW w:w="708" w:type="dxa"/>
          </w:tcPr>
          <w:p w14:paraId="15F8AA3F" w14:textId="77777777" w:rsidR="00653571" w:rsidRPr="008C5F1C" w:rsidRDefault="00653571" w:rsidP="00313EC5">
            <w:pPr>
              <w:spacing w:after="120"/>
              <w:rPr>
                <w:rFonts w:ascii="Times New Roman" w:eastAsia="Calibri" w:hAnsi="Times New Roman" w:cs="Times New Roman"/>
                <w:noProof/>
                <w:sz w:val="16"/>
                <w:szCs w:val="16"/>
              </w:rPr>
            </w:pPr>
          </w:p>
        </w:tc>
        <w:tc>
          <w:tcPr>
            <w:tcW w:w="1276" w:type="dxa"/>
          </w:tcPr>
          <w:p w14:paraId="7FA7EC94" w14:textId="77777777" w:rsidR="00653571" w:rsidRPr="008C5F1C" w:rsidRDefault="00653571" w:rsidP="00313EC5">
            <w:pPr>
              <w:spacing w:after="120"/>
              <w:rPr>
                <w:rFonts w:ascii="Times New Roman" w:eastAsia="Calibri" w:hAnsi="Times New Roman" w:cs="Times New Roman"/>
                <w:noProof/>
                <w:sz w:val="16"/>
                <w:szCs w:val="16"/>
              </w:rPr>
            </w:pPr>
          </w:p>
        </w:tc>
        <w:tc>
          <w:tcPr>
            <w:tcW w:w="2447" w:type="dxa"/>
          </w:tcPr>
          <w:p w14:paraId="682BE4B9" w14:textId="77777777" w:rsidR="00653571" w:rsidRPr="008C5F1C" w:rsidRDefault="00653571" w:rsidP="00313EC5">
            <w:pPr>
              <w:spacing w:after="120"/>
              <w:rPr>
                <w:rFonts w:ascii="Times New Roman" w:eastAsia="Calibri" w:hAnsi="Times New Roman" w:cs="Times New Roman"/>
                <w:noProof/>
                <w:sz w:val="16"/>
                <w:szCs w:val="16"/>
              </w:rPr>
            </w:pPr>
          </w:p>
        </w:tc>
      </w:tr>
      <w:tr w:rsidR="00653571" w:rsidRPr="008C5F1C" w14:paraId="457E8B44" w14:textId="77777777" w:rsidTr="00313EC5">
        <w:trPr>
          <w:jc w:val="center"/>
        </w:trPr>
        <w:tc>
          <w:tcPr>
            <w:tcW w:w="1419" w:type="dxa"/>
            <w:vMerge/>
          </w:tcPr>
          <w:p w14:paraId="4CD5441E" w14:textId="77777777" w:rsidR="00653571" w:rsidRPr="008C5F1C" w:rsidRDefault="00653571" w:rsidP="00313EC5">
            <w:pPr>
              <w:spacing w:after="120"/>
              <w:rPr>
                <w:rFonts w:ascii="Times New Roman" w:eastAsia="Calibri" w:hAnsi="Times New Roman" w:cs="Times New Roman"/>
                <w:noProof/>
                <w:sz w:val="16"/>
                <w:szCs w:val="16"/>
              </w:rPr>
            </w:pPr>
          </w:p>
        </w:tc>
        <w:tc>
          <w:tcPr>
            <w:tcW w:w="1343" w:type="dxa"/>
            <w:vMerge/>
          </w:tcPr>
          <w:p w14:paraId="2CA30924" w14:textId="77777777" w:rsidR="00653571" w:rsidRPr="008C5F1C" w:rsidRDefault="00653571" w:rsidP="00313EC5">
            <w:pPr>
              <w:spacing w:after="120"/>
              <w:rPr>
                <w:rFonts w:ascii="Times New Roman" w:eastAsia="Calibri" w:hAnsi="Times New Roman" w:cs="Times New Roman"/>
                <w:noProof/>
                <w:sz w:val="16"/>
                <w:szCs w:val="16"/>
              </w:rPr>
            </w:pPr>
          </w:p>
        </w:tc>
        <w:tc>
          <w:tcPr>
            <w:tcW w:w="1984" w:type="dxa"/>
            <w:vMerge/>
          </w:tcPr>
          <w:p w14:paraId="05A2868B" w14:textId="77777777" w:rsidR="00653571" w:rsidRPr="008C5F1C" w:rsidRDefault="00653571" w:rsidP="00313EC5">
            <w:pPr>
              <w:spacing w:after="120"/>
              <w:rPr>
                <w:rFonts w:ascii="Times New Roman" w:eastAsia="Calibri" w:hAnsi="Times New Roman" w:cs="Times New Roman"/>
                <w:noProof/>
                <w:sz w:val="16"/>
                <w:szCs w:val="16"/>
              </w:rPr>
            </w:pPr>
          </w:p>
        </w:tc>
        <w:tc>
          <w:tcPr>
            <w:tcW w:w="1701" w:type="dxa"/>
            <w:vMerge/>
          </w:tcPr>
          <w:p w14:paraId="47103B84" w14:textId="77777777" w:rsidR="00653571" w:rsidRPr="008C5F1C" w:rsidRDefault="00653571" w:rsidP="00313EC5">
            <w:pPr>
              <w:spacing w:after="120"/>
              <w:rPr>
                <w:rFonts w:ascii="Times New Roman" w:eastAsia="Calibri" w:hAnsi="Times New Roman" w:cs="Times New Roman"/>
                <w:noProof/>
                <w:sz w:val="16"/>
                <w:szCs w:val="16"/>
              </w:rPr>
            </w:pPr>
          </w:p>
        </w:tc>
        <w:tc>
          <w:tcPr>
            <w:tcW w:w="1418" w:type="dxa"/>
          </w:tcPr>
          <w:p w14:paraId="54C8198F"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More developed</w:t>
            </w:r>
          </w:p>
        </w:tc>
        <w:tc>
          <w:tcPr>
            <w:tcW w:w="1134" w:type="dxa"/>
          </w:tcPr>
          <w:p w14:paraId="1B895E4A" w14:textId="77777777" w:rsidR="00653571" w:rsidRPr="008C5F1C" w:rsidRDefault="00653571" w:rsidP="00313EC5">
            <w:pPr>
              <w:spacing w:after="120"/>
              <w:rPr>
                <w:rFonts w:ascii="Times New Roman" w:eastAsia="Calibri" w:hAnsi="Times New Roman" w:cs="Times New Roman"/>
                <w:noProof/>
                <w:sz w:val="16"/>
                <w:szCs w:val="16"/>
              </w:rPr>
            </w:pPr>
          </w:p>
        </w:tc>
        <w:tc>
          <w:tcPr>
            <w:tcW w:w="992" w:type="dxa"/>
          </w:tcPr>
          <w:p w14:paraId="7FF30077" w14:textId="77777777" w:rsidR="00653571" w:rsidRPr="008C5F1C" w:rsidRDefault="00653571" w:rsidP="00313EC5">
            <w:pPr>
              <w:spacing w:after="120"/>
              <w:rPr>
                <w:rFonts w:ascii="Times New Roman" w:eastAsia="Calibri" w:hAnsi="Times New Roman" w:cs="Times New Roman"/>
                <w:noProof/>
                <w:sz w:val="16"/>
                <w:szCs w:val="16"/>
              </w:rPr>
            </w:pPr>
          </w:p>
        </w:tc>
        <w:tc>
          <w:tcPr>
            <w:tcW w:w="709" w:type="dxa"/>
          </w:tcPr>
          <w:p w14:paraId="2865CF4A" w14:textId="77777777" w:rsidR="00653571" w:rsidRPr="008C5F1C" w:rsidRDefault="00653571" w:rsidP="00313EC5">
            <w:pPr>
              <w:spacing w:after="120"/>
              <w:rPr>
                <w:rFonts w:ascii="Times New Roman" w:eastAsia="Calibri" w:hAnsi="Times New Roman" w:cs="Times New Roman"/>
                <w:noProof/>
                <w:sz w:val="16"/>
                <w:szCs w:val="16"/>
              </w:rPr>
            </w:pPr>
          </w:p>
        </w:tc>
        <w:tc>
          <w:tcPr>
            <w:tcW w:w="708" w:type="dxa"/>
          </w:tcPr>
          <w:p w14:paraId="64CE1FAC" w14:textId="77777777" w:rsidR="00653571" w:rsidRPr="008C5F1C" w:rsidRDefault="00653571" w:rsidP="00313EC5">
            <w:pPr>
              <w:spacing w:after="120"/>
              <w:rPr>
                <w:rFonts w:ascii="Times New Roman" w:eastAsia="Calibri" w:hAnsi="Times New Roman" w:cs="Times New Roman"/>
                <w:noProof/>
                <w:sz w:val="16"/>
                <w:szCs w:val="16"/>
              </w:rPr>
            </w:pPr>
          </w:p>
        </w:tc>
        <w:tc>
          <w:tcPr>
            <w:tcW w:w="1276" w:type="dxa"/>
          </w:tcPr>
          <w:p w14:paraId="52A208DD" w14:textId="77777777" w:rsidR="00653571" w:rsidRPr="008C5F1C" w:rsidRDefault="00653571" w:rsidP="00313EC5">
            <w:pPr>
              <w:spacing w:after="120"/>
              <w:rPr>
                <w:rFonts w:ascii="Times New Roman" w:eastAsia="Calibri" w:hAnsi="Times New Roman" w:cs="Times New Roman"/>
                <w:noProof/>
                <w:sz w:val="16"/>
                <w:szCs w:val="16"/>
              </w:rPr>
            </w:pPr>
          </w:p>
        </w:tc>
        <w:tc>
          <w:tcPr>
            <w:tcW w:w="2447" w:type="dxa"/>
          </w:tcPr>
          <w:p w14:paraId="2D3AD809" w14:textId="77777777" w:rsidR="00653571" w:rsidRPr="008C5F1C" w:rsidRDefault="00653571" w:rsidP="00313EC5">
            <w:pPr>
              <w:spacing w:after="120"/>
              <w:rPr>
                <w:rFonts w:ascii="Times New Roman" w:eastAsia="Calibri" w:hAnsi="Times New Roman" w:cs="Times New Roman"/>
                <w:noProof/>
                <w:sz w:val="16"/>
                <w:szCs w:val="16"/>
              </w:rPr>
            </w:pPr>
          </w:p>
        </w:tc>
      </w:tr>
      <w:tr w:rsidR="00653571" w:rsidRPr="008C5F1C" w14:paraId="5CEB8AB4" w14:textId="77777777" w:rsidTr="00313EC5">
        <w:trPr>
          <w:jc w:val="center"/>
        </w:trPr>
        <w:tc>
          <w:tcPr>
            <w:tcW w:w="1419" w:type="dxa"/>
            <w:vMerge/>
          </w:tcPr>
          <w:p w14:paraId="22B179CF" w14:textId="77777777" w:rsidR="00653571" w:rsidRPr="008C5F1C" w:rsidRDefault="00653571" w:rsidP="00313EC5">
            <w:pPr>
              <w:spacing w:after="120"/>
              <w:rPr>
                <w:rFonts w:ascii="Times New Roman" w:eastAsia="Calibri" w:hAnsi="Times New Roman" w:cs="Times New Roman"/>
                <w:noProof/>
                <w:sz w:val="16"/>
                <w:szCs w:val="16"/>
              </w:rPr>
            </w:pPr>
          </w:p>
        </w:tc>
        <w:tc>
          <w:tcPr>
            <w:tcW w:w="1343" w:type="dxa"/>
            <w:vMerge/>
          </w:tcPr>
          <w:p w14:paraId="0D9AC654" w14:textId="77777777" w:rsidR="00653571" w:rsidRPr="008C5F1C" w:rsidRDefault="00653571" w:rsidP="00313EC5">
            <w:pPr>
              <w:spacing w:after="120"/>
              <w:rPr>
                <w:rFonts w:ascii="Times New Roman" w:eastAsia="Calibri" w:hAnsi="Times New Roman" w:cs="Times New Roman"/>
                <w:noProof/>
                <w:sz w:val="16"/>
                <w:szCs w:val="16"/>
              </w:rPr>
            </w:pPr>
          </w:p>
        </w:tc>
        <w:tc>
          <w:tcPr>
            <w:tcW w:w="1984" w:type="dxa"/>
            <w:vMerge/>
          </w:tcPr>
          <w:p w14:paraId="05B74CFA" w14:textId="77777777" w:rsidR="00653571" w:rsidRPr="008C5F1C" w:rsidRDefault="00653571" w:rsidP="00313EC5">
            <w:pPr>
              <w:spacing w:after="120"/>
              <w:rPr>
                <w:rFonts w:ascii="Times New Roman" w:eastAsia="Calibri" w:hAnsi="Times New Roman" w:cs="Times New Roman"/>
                <w:noProof/>
                <w:sz w:val="16"/>
                <w:szCs w:val="16"/>
              </w:rPr>
            </w:pPr>
          </w:p>
        </w:tc>
        <w:tc>
          <w:tcPr>
            <w:tcW w:w="1701" w:type="dxa"/>
            <w:vMerge/>
          </w:tcPr>
          <w:p w14:paraId="6410B8BB" w14:textId="77777777" w:rsidR="00653571" w:rsidRPr="008C5F1C" w:rsidRDefault="00653571" w:rsidP="00313EC5">
            <w:pPr>
              <w:spacing w:after="120"/>
              <w:rPr>
                <w:rFonts w:ascii="Times New Roman" w:eastAsia="Calibri" w:hAnsi="Times New Roman" w:cs="Times New Roman"/>
                <w:noProof/>
                <w:sz w:val="16"/>
                <w:szCs w:val="16"/>
              </w:rPr>
            </w:pPr>
          </w:p>
        </w:tc>
        <w:tc>
          <w:tcPr>
            <w:tcW w:w="1418" w:type="dxa"/>
          </w:tcPr>
          <w:p w14:paraId="708BDAB0"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Transition</w:t>
            </w:r>
          </w:p>
        </w:tc>
        <w:tc>
          <w:tcPr>
            <w:tcW w:w="1134" w:type="dxa"/>
          </w:tcPr>
          <w:p w14:paraId="40517C56" w14:textId="77777777" w:rsidR="00653571" w:rsidRPr="008C5F1C" w:rsidRDefault="00653571" w:rsidP="00313EC5">
            <w:pPr>
              <w:spacing w:after="120"/>
              <w:rPr>
                <w:rFonts w:ascii="Times New Roman" w:eastAsia="Calibri" w:hAnsi="Times New Roman" w:cs="Times New Roman"/>
                <w:noProof/>
                <w:sz w:val="16"/>
                <w:szCs w:val="16"/>
              </w:rPr>
            </w:pPr>
          </w:p>
        </w:tc>
        <w:tc>
          <w:tcPr>
            <w:tcW w:w="992" w:type="dxa"/>
          </w:tcPr>
          <w:p w14:paraId="111BC663" w14:textId="77777777" w:rsidR="00653571" w:rsidRPr="008C5F1C" w:rsidRDefault="00653571" w:rsidP="00313EC5">
            <w:pPr>
              <w:spacing w:after="120"/>
              <w:rPr>
                <w:rFonts w:ascii="Times New Roman" w:eastAsia="Calibri" w:hAnsi="Times New Roman" w:cs="Times New Roman"/>
                <w:noProof/>
                <w:sz w:val="16"/>
                <w:szCs w:val="16"/>
              </w:rPr>
            </w:pPr>
          </w:p>
        </w:tc>
        <w:tc>
          <w:tcPr>
            <w:tcW w:w="709" w:type="dxa"/>
          </w:tcPr>
          <w:p w14:paraId="719680F4" w14:textId="77777777" w:rsidR="00653571" w:rsidRPr="008C5F1C" w:rsidRDefault="00653571" w:rsidP="00313EC5">
            <w:pPr>
              <w:spacing w:after="120"/>
              <w:rPr>
                <w:rFonts w:ascii="Times New Roman" w:eastAsia="Calibri" w:hAnsi="Times New Roman" w:cs="Times New Roman"/>
                <w:noProof/>
                <w:sz w:val="16"/>
                <w:szCs w:val="16"/>
              </w:rPr>
            </w:pPr>
          </w:p>
        </w:tc>
        <w:tc>
          <w:tcPr>
            <w:tcW w:w="708" w:type="dxa"/>
          </w:tcPr>
          <w:p w14:paraId="35DE0B4D" w14:textId="77777777" w:rsidR="00653571" w:rsidRPr="008C5F1C" w:rsidRDefault="00653571" w:rsidP="00313EC5">
            <w:pPr>
              <w:spacing w:after="120"/>
              <w:rPr>
                <w:rFonts w:ascii="Times New Roman" w:eastAsia="Calibri" w:hAnsi="Times New Roman" w:cs="Times New Roman"/>
                <w:noProof/>
                <w:sz w:val="16"/>
                <w:szCs w:val="16"/>
              </w:rPr>
            </w:pPr>
          </w:p>
        </w:tc>
        <w:tc>
          <w:tcPr>
            <w:tcW w:w="1276" w:type="dxa"/>
          </w:tcPr>
          <w:p w14:paraId="226449CA" w14:textId="77777777" w:rsidR="00653571" w:rsidRPr="008C5F1C" w:rsidRDefault="00653571" w:rsidP="00313EC5">
            <w:pPr>
              <w:spacing w:after="120"/>
              <w:rPr>
                <w:rFonts w:ascii="Times New Roman" w:eastAsia="Calibri" w:hAnsi="Times New Roman" w:cs="Times New Roman"/>
                <w:noProof/>
                <w:sz w:val="16"/>
                <w:szCs w:val="16"/>
              </w:rPr>
            </w:pPr>
          </w:p>
        </w:tc>
        <w:tc>
          <w:tcPr>
            <w:tcW w:w="2447" w:type="dxa"/>
          </w:tcPr>
          <w:p w14:paraId="7C6F826D" w14:textId="77777777" w:rsidR="00653571" w:rsidRPr="008C5F1C" w:rsidRDefault="00653571" w:rsidP="00313EC5">
            <w:pPr>
              <w:spacing w:after="120"/>
              <w:rPr>
                <w:rFonts w:ascii="Times New Roman" w:eastAsia="Calibri" w:hAnsi="Times New Roman" w:cs="Times New Roman"/>
                <w:noProof/>
                <w:sz w:val="16"/>
                <w:szCs w:val="16"/>
              </w:rPr>
            </w:pPr>
          </w:p>
        </w:tc>
      </w:tr>
      <w:tr w:rsidR="00653571" w:rsidRPr="008C5F1C" w14:paraId="034C432B" w14:textId="77777777" w:rsidTr="00313EC5">
        <w:trPr>
          <w:jc w:val="center"/>
        </w:trPr>
        <w:tc>
          <w:tcPr>
            <w:tcW w:w="1419" w:type="dxa"/>
            <w:vMerge/>
          </w:tcPr>
          <w:p w14:paraId="53350603" w14:textId="77777777" w:rsidR="00653571" w:rsidRPr="008C5F1C" w:rsidRDefault="00653571" w:rsidP="00313EC5">
            <w:pPr>
              <w:spacing w:after="120"/>
              <w:rPr>
                <w:rFonts w:ascii="Times New Roman" w:eastAsia="Calibri" w:hAnsi="Times New Roman" w:cs="Times New Roman"/>
                <w:noProof/>
                <w:sz w:val="16"/>
                <w:szCs w:val="16"/>
              </w:rPr>
            </w:pPr>
          </w:p>
        </w:tc>
        <w:tc>
          <w:tcPr>
            <w:tcW w:w="1343" w:type="dxa"/>
            <w:vMerge/>
          </w:tcPr>
          <w:p w14:paraId="34348D23" w14:textId="77777777" w:rsidR="00653571" w:rsidRPr="008C5F1C" w:rsidRDefault="00653571" w:rsidP="00313EC5">
            <w:pPr>
              <w:spacing w:after="120"/>
              <w:rPr>
                <w:rFonts w:ascii="Times New Roman" w:eastAsia="Calibri" w:hAnsi="Times New Roman" w:cs="Times New Roman"/>
                <w:noProof/>
                <w:sz w:val="16"/>
                <w:szCs w:val="16"/>
              </w:rPr>
            </w:pPr>
          </w:p>
        </w:tc>
        <w:tc>
          <w:tcPr>
            <w:tcW w:w="1984" w:type="dxa"/>
            <w:vMerge/>
          </w:tcPr>
          <w:p w14:paraId="5F174EB4" w14:textId="77777777" w:rsidR="00653571" w:rsidRPr="008C5F1C" w:rsidRDefault="00653571" w:rsidP="00313EC5">
            <w:pPr>
              <w:spacing w:after="120"/>
              <w:rPr>
                <w:rFonts w:ascii="Times New Roman" w:eastAsia="Calibri" w:hAnsi="Times New Roman" w:cs="Times New Roman"/>
                <w:noProof/>
                <w:sz w:val="16"/>
                <w:szCs w:val="16"/>
              </w:rPr>
            </w:pPr>
          </w:p>
        </w:tc>
        <w:tc>
          <w:tcPr>
            <w:tcW w:w="1701" w:type="dxa"/>
            <w:vMerge/>
          </w:tcPr>
          <w:p w14:paraId="1C334B2D" w14:textId="77777777" w:rsidR="00653571" w:rsidRPr="008C5F1C" w:rsidRDefault="00653571" w:rsidP="00313EC5">
            <w:pPr>
              <w:spacing w:after="120"/>
              <w:rPr>
                <w:rFonts w:ascii="Times New Roman" w:eastAsia="Calibri" w:hAnsi="Times New Roman" w:cs="Times New Roman"/>
                <w:noProof/>
                <w:sz w:val="16"/>
                <w:szCs w:val="16"/>
              </w:rPr>
            </w:pPr>
          </w:p>
        </w:tc>
        <w:tc>
          <w:tcPr>
            <w:tcW w:w="1418" w:type="dxa"/>
          </w:tcPr>
          <w:p w14:paraId="76D7B385"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Outermost and northern sparsely populated regions</w:t>
            </w:r>
          </w:p>
        </w:tc>
        <w:tc>
          <w:tcPr>
            <w:tcW w:w="1134" w:type="dxa"/>
          </w:tcPr>
          <w:p w14:paraId="4C0EDBAB" w14:textId="77777777" w:rsidR="00653571" w:rsidRPr="008C5F1C" w:rsidRDefault="00653571" w:rsidP="00313EC5">
            <w:pPr>
              <w:spacing w:after="120"/>
              <w:rPr>
                <w:rFonts w:ascii="Times New Roman" w:eastAsia="Calibri" w:hAnsi="Times New Roman" w:cs="Times New Roman"/>
                <w:noProof/>
                <w:sz w:val="16"/>
                <w:szCs w:val="16"/>
              </w:rPr>
            </w:pPr>
          </w:p>
        </w:tc>
        <w:tc>
          <w:tcPr>
            <w:tcW w:w="992" w:type="dxa"/>
          </w:tcPr>
          <w:p w14:paraId="710E0DC1" w14:textId="77777777" w:rsidR="00653571" w:rsidRPr="008C5F1C" w:rsidRDefault="00653571" w:rsidP="00313EC5">
            <w:pPr>
              <w:spacing w:after="120"/>
              <w:rPr>
                <w:rFonts w:ascii="Times New Roman" w:eastAsia="Calibri" w:hAnsi="Times New Roman" w:cs="Times New Roman"/>
                <w:noProof/>
                <w:sz w:val="16"/>
                <w:szCs w:val="16"/>
              </w:rPr>
            </w:pPr>
          </w:p>
        </w:tc>
        <w:tc>
          <w:tcPr>
            <w:tcW w:w="709" w:type="dxa"/>
          </w:tcPr>
          <w:p w14:paraId="43328EC3" w14:textId="77777777" w:rsidR="00653571" w:rsidRPr="008C5F1C" w:rsidRDefault="00653571" w:rsidP="00313EC5">
            <w:pPr>
              <w:spacing w:after="120"/>
              <w:rPr>
                <w:rFonts w:ascii="Times New Roman" w:eastAsia="Calibri" w:hAnsi="Times New Roman" w:cs="Times New Roman"/>
                <w:noProof/>
                <w:sz w:val="16"/>
                <w:szCs w:val="16"/>
              </w:rPr>
            </w:pPr>
          </w:p>
        </w:tc>
        <w:tc>
          <w:tcPr>
            <w:tcW w:w="708" w:type="dxa"/>
          </w:tcPr>
          <w:p w14:paraId="059BAD2E" w14:textId="77777777" w:rsidR="00653571" w:rsidRPr="008C5F1C" w:rsidRDefault="00653571" w:rsidP="00313EC5">
            <w:pPr>
              <w:spacing w:after="120"/>
              <w:rPr>
                <w:rFonts w:ascii="Times New Roman" w:eastAsia="Calibri" w:hAnsi="Times New Roman" w:cs="Times New Roman"/>
                <w:noProof/>
                <w:sz w:val="16"/>
                <w:szCs w:val="16"/>
              </w:rPr>
            </w:pPr>
          </w:p>
        </w:tc>
        <w:tc>
          <w:tcPr>
            <w:tcW w:w="1276" w:type="dxa"/>
          </w:tcPr>
          <w:p w14:paraId="404F6520" w14:textId="77777777" w:rsidR="00653571" w:rsidRPr="008C5F1C" w:rsidRDefault="00653571" w:rsidP="00313EC5">
            <w:pPr>
              <w:spacing w:after="120"/>
              <w:rPr>
                <w:rFonts w:ascii="Times New Roman" w:eastAsia="Calibri" w:hAnsi="Times New Roman" w:cs="Times New Roman"/>
                <w:noProof/>
                <w:sz w:val="16"/>
                <w:szCs w:val="16"/>
              </w:rPr>
            </w:pPr>
          </w:p>
        </w:tc>
        <w:tc>
          <w:tcPr>
            <w:tcW w:w="2447" w:type="dxa"/>
          </w:tcPr>
          <w:p w14:paraId="40E744EE" w14:textId="77777777" w:rsidR="00653571" w:rsidRPr="008C5F1C" w:rsidRDefault="00653571" w:rsidP="00313EC5">
            <w:pPr>
              <w:spacing w:after="120"/>
              <w:rPr>
                <w:rFonts w:ascii="Times New Roman" w:eastAsia="Calibri" w:hAnsi="Times New Roman" w:cs="Times New Roman"/>
                <w:noProof/>
                <w:sz w:val="16"/>
                <w:szCs w:val="16"/>
              </w:rPr>
            </w:pPr>
          </w:p>
        </w:tc>
      </w:tr>
      <w:tr w:rsidR="00653571" w:rsidRPr="008C5F1C" w14:paraId="0180DB21" w14:textId="77777777" w:rsidTr="00313EC5">
        <w:trPr>
          <w:jc w:val="center"/>
        </w:trPr>
        <w:tc>
          <w:tcPr>
            <w:tcW w:w="1419" w:type="dxa"/>
            <w:vMerge w:val="restart"/>
          </w:tcPr>
          <w:p w14:paraId="1FB980E5" w14:textId="77777777" w:rsidR="00653571" w:rsidRPr="008C5F1C" w:rsidRDefault="00653571" w:rsidP="00313EC5">
            <w:pPr>
              <w:spacing w:after="120"/>
              <w:rPr>
                <w:rFonts w:ascii="Times New Roman" w:eastAsia="Calibri" w:hAnsi="Times New Roman" w:cs="Times New Roman"/>
                <w:noProof/>
                <w:sz w:val="16"/>
                <w:szCs w:val="16"/>
              </w:rPr>
            </w:pPr>
          </w:p>
        </w:tc>
        <w:tc>
          <w:tcPr>
            <w:tcW w:w="1343" w:type="dxa"/>
            <w:vMerge w:val="restart"/>
          </w:tcPr>
          <w:p w14:paraId="2A92947B"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Priority 3</w:t>
            </w:r>
          </w:p>
        </w:tc>
        <w:tc>
          <w:tcPr>
            <w:tcW w:w="1984" w:type="dxa"/>
            <w:vMerge w:val="restart"/>
          </w:tcPr>
          <w:p w14:paraId="54570182" w14:textId="77777777" w:rsidR="00653571" w:rsidRPr="008C5F1C" w:rsidRDefault="00653571" w:rsidP="00313EC5">
            <w:pPr>
              <w:spacing w:after="120"/>
              <w:rPr>
                <w:rFonts w:ascii="Times New Roman" w:eastAsia="Calibri" w:hAnsi="Times New Roman" w:cs="Times New Roman"/>
                <w:noProof/>
                <w:sz w:val="16"/>
                <w:szCs w:val="16"/>
              </w:rPr>
            </w:pPr>
          </w:p>
        </w:tc>
        <w:tc>
          <w:tcPr>
            <w:tcW w:w="1701" w:type="dxa"/>
            <w:vMerge w:val="restart"/>
          </w:tcPr>
          <w:p w14:paraId="28E1B55D"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JTF****</w:t>
            </w:r>
          </w:p>
        </w:tc>
        <w:tc>
          <w:tcPr>
            <w:tcW w:w="1418" w:type="dxa"/>
          </w:tcPr>
          <w:p w14:paraId="75F78228"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Less developed</w:t>
            </w:r>
          </w:p>
        </w:tc>
        <w:tc>
          <w:tcPr>
            <w:tcW w:w="1134" w:type="dxa"/>
          </w:tcPr>
          <w:p w14:paraId="33491C69" w14:textId="77777777" w:rsidR="00653571" w:rsidRPr="008C5F1C" w:rsidRDefault="00653571" w:rsidP="00313EC5">
            <w:pPr>
              <w:spacing w:after="120"/>
              <w:rPr>
                <w:rFonts w:ascii="Times New Roman" w:eastAsia="Calibri" w:hAnsi="Times New Roman" w:cs="Times New Roman"/>
                <w:noProof/>
                <w:sz w:val="16"/>
                <w:szCs w:val="16"/>
              </w:rPr>
            </w:pPr>
          </w:p>
        </w:tc>
        <w:tc>
          <w:tcPr>
            <w:tcW w:w="992" w:type="dxa"/>
          </w:tcPr>
          <w:p w14:paraId="16D3C6EF" w14:textId="77777777" w:rsidR="00653571" w:rsidRPr="008C5F1C" w:rsidRDefault="00653571" w:rsidP="00313EC5">
            <w:pPr>
              <w:spacing w:after="120"/>
              <w:rPr>
                <w:rFonts w:ascii="Times New Roman" w:eastAsia="Calibri" w:hAnsi="Times New Roman" w:cs="Times New Roman"/>
                <w:noProof/>
                <w:sz w:val="16"/>
                <w:szCs w:val="16"/>
              </w:rPr>
            </w:pPr>
          </w:p>
        </w:tc>
        <w:tc>
          <w:tcPr>
            <w:tcW w:w="709" w:type="dxa"/>
          </w:tcPr>
          <w:p w14:paraId="558369AF" w14:textId="77777777" w:rsidR="00653571" w:rsidRPr="008C5F1C" w:rsidRDefault="00653571" w:rsidP="00313EC5">
            <w:pPr>
              <w:spacing w:after="120"/>
              <w:rPr>
                <w:rFonts w:ascii="Times New Roman" w:eastAsia="Calibri" w:hAnsi="Times New Roman" w:cs="Times New Roman"/>
                <w:noProof/>
                <w:sz w:val="16"/>
                <w:szCs w:val="16"/>
              </w:rPr>
            </w:pPr>
          </w:p>
        </w:tc>
        <w:tc>
          <w:tcPr>
            <w:tcW w:w="708" w:type="dxa"/>
          </w:tcPr>
          <w:p w14:paraId="2D7A3485" w14:textId="77777777" w:rsidR="00653571" w:rsidRPr="008C5F1C" w:rsidRDefault="00653571" w:rsidP="00313EC5">
            <w:pPr>
              <w:spacing w:after="120"/>
              <w:rPr>
                <w:rFonts w:ascii="Times New Roman" w:eastAsia="Calibri" w:hAnsi="Times New Roman" w:cs="Times New Roman"/>
                <w:noProof/>
                <w:sz w:val="16"/>
                <w:szCs w:val="16"/>
              </w:rPr>
            </w:pPr>
          </w:p>
        </w:tc>
        <w:tc>
          <w:tcPr>
            <w:tcW w:w="1276" w:type="dxa"/>
          </w:tcPr>
          <w:p w14:paraId="443D92E8" w14:textId="77777777" w:rsidR="00653571" w:rsidRPr="008C5F1C" w:rsidRDefault="00653571" w:rsidP="00313EC5">
            <w:pPr>
              <w:spacing w:after="120"/>
              <w:rPr>
                <w:rFonts w:ascii="Times New Roman" w:eastAsia="Calibri" w:hAnsi="Times New Roman" w:cs="Times New Roman"/>
                <w:noProof/>
                <w:sz w:val="16"/>
                <w:szCs w:val="16"/>
              </w:rPr>
            </w:pPr>
          </w:p>
        </w:tc>
        <w:tc>
          <w:tcPr>
            <w:tcW w:w="2447" w:type="dxa"/>
          </w:tcPr>
          <w:p w14:paraId="093997CA" w14:textId="77777777" w:rsidR="00653571" w:rsidRPr="008C5F1C" w:rsidRDefault="00653571" w:rsidP="00313EC5">
            <w:pPr>
              <w:spacing w:after="120"/>
              <w:rPr>
                <w:rFonts w:ascii="Times New Roman" w:eastAsia="Calibri" w:hAnsi="Times New Roman" w:cs="Times New Roman"/>
                <w:noProof/>
                <w:sz w:val="16"/>
                <w:szCs w:val="16"/>
              </w:rPr>
            </w:pPr>
          </w:p>
        </w:tc>
      </w:tr>
      <w:tr w:rsidR="00653571" w:rsidRPr="008C5F1C" w14:paraId="4ED1C304" w14:textId="77777777" w:rsidTr="00313EC5">
        <w:trPr>
          <w:jc w:val="center"/>
        </w:trPr>
        <w:tc>
          <w:tcPr>
            <w:tcW w:w="1419" w:type="dxa"/>
            <w:vMerge/>
          </w:tcPr>
          <w:p w14:paraId="4763440D" w14:textId="77777777" w:rsidR="00653571" w:rsidRPr="008C5F1C" w:rsidRDefault="00653571" w:rsidP="00313EC5">
            <w:pPr>
              <w:spacing w:after="120"/>
              <w:rPr>
                <w:rFonts w:ascii="Times New Roman" w:eastAsia="Calibri" w:hAnsi="Times New Roman" w:cs="Times New Roman"/>
                <w:noProof/>
                <w:sz w:val="16"/>
                <w:szCs w:val="16"/>
              </w:rPr>
            </w:pPr>
          </w:p>
        </w:tc>
        <w:tc>
          <w:tcPr>
            <w:tcW w:w="1343" w:type="dxa"/>
            <w:vMerge/>
          </w:tcPr>
          <w:p w14:paraId="46367001" w14:textId="77777777" w:rsidR="00653571" w:rsidRPr="008C5F1C" w:rsidRDefault="00653571" w:rsidP="00313EC5">
            <w:pPr>
              <w:spacing w:after="120"/>
              <w:rPr>
                <w:rFonts w:ascii="Times New Roman" w:eastAsia="Calibri" w:hAnsi="Times New Roman" w:cs="Times New Roman"/>
                <w:noProof/>
                <w:sz w:val="16"/>
                <w:szCs w:val="16"/>
              </w:rPr>
            </w:pPr>
          </w:p>
        </w:tc>
        <w:tc>
          <w:tcPr>
            <w:tcW w:w="1984" w:type="dxa"/>
            <w:vMerge/>
          </w:tcPr>
          <w:p w14:paraId="3173AE08" w14:textId="77777777" w:rsidR="00653571" w:rsidRPr="008C5F1C" w:rsidRDefault="00653571" w:rsidP="00313EC5">
            <w:pPr>
              <w:spacing w:after="120"/>
              <w:rPr>
                <w:rFonts w:ascii="Times New Roman" w:eastAsia="Calibri" w:hAnsi="Times New Roman" w:cs="Times New Roman"/>
                <w:noProof/>
                <w:sz w:val="16"/>
                <w:szCs w:val="16"/>
              </w:rPr>
            </w:pPr>
          </w:p>
        </w:tc>
        <w:tc>
          <w:tcPr>
            <w:tcW w:w="1701" w:type="dxa"/>
            <w:vMerge/>
          </w:tcPr>
          <w:p w14:paraId="3DE83050" w14:textId="77777777" w:rsidR="00653571" w:rsidRPr="008C5F1C" w:rsidRDefault="00653571" w:rsidP="00313EC5">
            <w:pPr>
              <w:spacing w:after="120"/>
              <w:rPr>
                <w:rFonts w:ascii="Times New Roman" w:eastAsia="Calibri" w:hAnsi="Times New Roman" w:cs="Times New Roman"/>
                <w:noProof/>
                <w:sz w:val="16"/>
                <w:szCs w:val="16"/>
              </w:rPr>
            </w:pPr>
          </w:p>
        </w:tc>
        <w:tc>
          <w:tcPr>
            <w:tcW w:w="1418" w:type="dxa"/>
          </w:tcPr>
          <w:p w14:paraId="0F924AE0"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More developed</w:t>
            </w:r>
          </w:p>
        </w:tc>
        <w:tc>
          <w:tcPr>
            <w:tcW w:w="1134" w:type="dxa"/>
          </w:tcPr>
          <w:p w14:paraId="7A4F36BB" w14:textId="77777777" w:rsidR="00653571" w:rsidRPr="008C5F1C" w:rsidRDefault="00653571" w:rsidP="00313EC5">
            <w:pPr>
              <w:spacing w:after="120"/>
              <w:rPr>
                <w:rFonts w:ascii="Times New Roman" w:eastAsia="Calibri" w:hAnsi="Times New Roman" w:cs="Times New Roman"/>
                <w:noProof/>
                <w:sz w:val="16"/>
                <w:szCs w:val="16"/>
              </w:rPr>
            </w:pPr>
          </w:p>
        </w:tc>
        <w:tc>
          <w:tcPr>
            <w:tcW w:w="992" w:type="dxa"/>
          </w:tcPr>
          <w:p w14:paraId="4BF3AF73" w14:textId="77777777" w:rsidR="00653571" w:rsidRPr="008C5F1C" w:rsidRDefault="00653571" w:rsidP="00313EC5">
            <w:pPr>
              <w:spacing w:after="120"/>
              <w:rPr>
                <w:rFonts w:ascii="Times New Roman" w:eastAsia="Calibri" w:hAnsi="Times New Roman" w:cs="Times New Roman"/>
                <w:noProof/>
                <w:sz w:val="16"/>
                <w:szCs w:val="16"/>
              </w:rPr>
            </w:pPr>
          </w:p>
        </w:tc>
        <w:tc>
          <w:tcPr>
            <w:tcW w:w="709" w:type="dxa"/>
          </w:tcPr>
          <w:p w14:paraId="5E9EB102" w14:textId="77777777" w:rsidR="00653571" w:rsidRPr="008C5F1C" w:rsidRDefault="00653571" w:rsidP="00313EC5">
            <w:pPr>
              <w:spacing w:after="120"/>
              <w:rPr>
                <w:rFonts w:ascii="Times New Roman" w:eastAsia="Calibri" w:hAnsi="Times New Roman" w:cs="Times New Roman"/>
                <w:noProof/>
                <w:sz w:val="16"/>
                <w:szCs w:val="16"/>
              </w:rPr>
            </w:pPr>
          </w:p>
        </w:tc>
        <w:tc>
          <w:tcPr>
            <w:tcW w:w="708" w:type="dxa"/>
          </w:tcPr>
          <w:p w14:paraId="08F97897" w14:textId="77777777" w:rsidR="00653571" w:rsidRPr="008C5F1C" w:rsidRDefault="00653571" w:rsidP="00313EC5">
            <w:pPr>
              <w:spacing w:after="120"/>
              <w:rPr>
                <w:rFonts w:ascii="Times New Roman" w:eastAsia="Calibri" w:hAnsi="Times New Roman" w:cs="Times New Roman"/>
                <w:noProof/>
                <w:sz w:val="16"/>
                <w:szCs w:val="16"/>
              </w:rPr>
            </w:pPr>
          </w:p>
        </w:tc>
        <w:tc>
          <w:tcPr>
            <w:tcW w:w="1276" w:type="dxa"/>
          </w:tcPr>
          <w:p w14:paraId="6593EAAE" w14:textId="77777777" w:rsidR="00653571" w:rsidRPr="008C5F1C" w:rsidRDefault="00653571" w:rsidP="00313EC5">
            <w:pPr>
              <w:spacing w:after="120"/>
              <w:rPr>
                <w:rFonts w:ascii="Times New Roman" w:eastAsia="Calibri" w:hAnsi="Times New Roman" w:cs="Times New Roman"/>
                <w:noProof/>
                <w:sz w:val="16"/>
                <w:szCs w:val="16"/>
              </w:rPr>
            </w:pPr>
          </w:p>
        </w:tc>
        <w:tc>
          <w:tcPr>
            <w:tcW w:w="2447" w:type="dxa"/>
          </w:tcPr>
          <w:p w14:paraId="769F0D65" w14:textId="77777777" w:rsidR="00653571" w:rsidRPr="008C5F1C" w:rsidRDefault="00653571" w:rsidP="00313EC5">
            <w:pPr>
              <w:spacing w:after="120"/>
              <w:rPr>
                <w:rFonts w:ascii="Times New Roman" w:eastAsia="Calibri" w:hAnsi="Times New Roman" w:cs="Times New Roman"/>
                <w:noProof/>
                <w:sz w:val="16"/>
                <w:szCs w:val="16"/>
              </w:rPr>
            </w:pPr>
          </w:p>
        </w:tc>
      </w:tr>
      <w:tr w:rsidR="00653571" w:rsidRPr="008C5F1C" w14:paraId="6FD4A1E9" w14:textId="77777777" w:rsidTr="00313EC5">
        <w:trPr>
          <w:jc w:val="center"/>
        </w:trPr>
        <w:tc>
          <w:tcPr>
            <w:tcW w:w="1419" w:type="dxa"/>
            <w:vMerge/>
          </w:tcPr>
          <w:p w14:paraId="60335CDF" w14:textId="77777777" w:rsidR="00653571" w:rsidRPr="008C5F1C" w:rsidRDefault="00653571" w:rsidP="00313EC5">
            <w:pPr>
              <w:spacing w:after="120"/>
              <w:rPr>
                <w:rFonts w:ascii="Times New Roman" w:eastAsia="Calibri" w:hAnsi="Times New Roman" w:cs="Times New Roman"/>
                <w:noProof/>
                <w:sz w:val="16"/>
                <w:szCs w:val="16"/>
              </w:rPr>
            </w:pPr>
          </w:p>
        </w:tc>
        <w:tc>
          <w:tcPr>
            <w:tcW w:w="1343" w:type="dxa"/>
            <w:vMerge/>
          </w:tcPr>
          <w:p w14:paraId="2D7ED0D9" w14:textId="77777777" w:rsidR="00653571" w:rsidRPr="008C5F1C" w:rsidRDefault="00653571" w:rsidP="00313EC5">
            <w:pPr>
              <w:spacing w:after="120"/>
              <w:rPr>
                <w:rFonts w:ascii="Times New Roman" w:eastAsia="Calibri" w:hAnsi="Times New Roman" w:cs="Times New Roman"/>
                <w:noProof/>
                <w:sz w:val="16"/>
                <w:szCs w:val="16"/>
              </w:rPr>
            </w:pPr>
          </w:p>
        </w:tc>
        <w:tc>
          <w:tcPr>
            <w:tcW w:w="1984" w:type="dxa"/>
            <w:vMerge/>
          </w:tcPr>
          <w:p w14:paraId="751ED5A4" w14:textId="77777777" w:rsidR="00653571" w:rsidRPr="008C5F1C" w:rsidRDefault="00653571" w:rsidP="00313EC5">
            <w:pPr>
              <w:spacing w:after="120"/>
              <w:rPr>
                <w:rFonts w:ascii="Times New Roman" w:eastAsia="Calibri" w:hAnsi="Times New Roman" w:cs="Times New Roman"/>
                <w:noProof/>
                <w:sz w:val="16"/>
                <w:szCs w:val="16"/>
              </w:rPr>
            </w:pPr>
          </w:p>
        </w:tc>
        <w:tc>
          <w:tcPr>
            <w:tcW w:w="1701" w:type="dxa"/>
            <w:vMerge/>
          </w:tcPr>
          <w:p w14:paraId="3AF6F95A" w14:textId="77777777" w:rsidR="00653571" w:rsidRPr="008C5F1C" w:rsidRDefault="00653571" w:rsidP="00313EC5">
            <w:pPr>
              <w:spacing w:after="120"/>
              <w:rPr>
                <w:rFonts w:ascii="Times New Roman" w:eastAsia="Calibri" w:hAnsi="Times New Roman" w:cs="Times New Roman"/>
                <w:noProof/>
                <w:sz w:val="16"/>
                <w:szCs w:val="16"/>
              </w:rPr>
            </w:pPr>
          </w:p>
        </w:tc>
        <w:tc>
          <w:tcPr>
            <w:tcW w:w="1418" w:type="dxa"/>
          </w:tcPr>
          <w:p w14:paraId="2FC8C671"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Transition</w:t>
            </w:r>
          </w:p>
        </w:tc>
        <w:tc>
          <w:tcPr>
            <w:tcW w:w="1134" w:type="dxa"/>
          </w:tcPr>
          <w:p w14:paraId="4471A13C" w14:textId="77777777" w:rsidR="00653571" w:rsidRPr="008C5F1C" w:rsidRDefault="00653571" w:rsidP="00313EC5">
            <w:pPr>
              <w:spacing w:after="120"/>
              <w:rPr>
                <w:rFonts w:ascii="Times New Roman" w:eastAsia="Calibri" w:hAnsi="Times New Roman" w:cs="Times New Roman"/>
                <w:noProof/>
                <w:sz w:val="16"/>
                <w:szCs w:val="16"/>
              </w:rPr>
            </w:pPr>
          </w:p>
        </w:tc>
        <w:tc>
          <w:tcPr>
            <w:tcW w:w="992" w:type="dxa"/>
          </w:tcPr>
          <w:p w14:paraId="56435FE0" w14:textId="77777777" w:rsidR="00653571" w:rsidRPr="008C5F1C" w:rsidRDefault="00653571" w:rsidP="00313EC5">
            <w:pPr>
              <w:spacing w:after="120"/>
              <w:rPr>
                <w:rFonts w:ascii="Times New Roman" w:eastAsia="Calibri" w:hAnsi="Times New Roman" w:cs="Times New Roman"/>
                <w:noProof/>
                <w:sz w:val="16"/>
                <w:szCs w:val="16"/>
              </w:rPr>
            </w:pPr>
          </w:p>
        </w:tc>
        <w:tc>
          <w:tcPr>
            <w:tcW w:w="709" w:type="dxa"/>
          </w:tcPr>
          <w:p w14:paraId="71C1EF7C" w14:textId="77777777" w:rsidR="00653571" w:rsidRPr="008C5F1C" w:rsidRDefault="00653571" w:rsidP="00313EC5">
            <w:pPr>
              <w:spacing w:after="120"/>
              <w:rPr>
                <w:rFonts w:ascii="Times New Roman" w:eastAsia="Calibri" w:hAnsi="Times New Roman" w:cs="Times New Roman"/>
                <w:noProof/>
                <w:sz w:val="16"/>
                <w:szCs w:val="16"/>
              </w:rPr>
            </w:pPr>
          </w:p>
        </w:tc>
        <w:tc>
          <w:tcPr>
            <w:tcW w:w="708" w:type="dxa"/>
          </w:tcPr>
          <w:p w14:paraId="380D6374" w14:textId="77777777" w:rsidR="00653571" w:rsidRPr="008C5F1C" w:rsidRDefault="00653571" w:rsidP="00313EC5">
            <w:pPr>
              <w:spacing w:after="120"/>
              <w:rPr>
                <w:rFonts w:ascii="Times New Roman" w:eastAsia="Calibri" w:hAnsi="Times New Roman" w:cs="Times New Roman"/>
                <w:noProof/>
                <w:sz w:val="16"/>
                <w:szCs w:val="16"/>
              </w:rPr>
            </w:pPr>
          </w:p>
        </w:tc>
        <w:tc>
          <w:tcPr>
            <w:tcW w:w="1276" w:type="dxa"/>
          </w:tcPr>
          <w:p w14:paraId="74AD3945" w14:textId="77777777" w:rsidR="00653571" w:rsidRPr="008C5F1C" w:rsidRDefault="00653571" w:rsidP="00313EC5">
            <w:pPr>
              <w:spacing w:after="120"/>
              <w:rPr>
                <w:rFonts w:ascii="Times New Roman" w:eastAsia="Calibri" w:hAnsi="Times New Roman" w:cs="Times New Roman"/>
                <w:noProof/>
                <w:sz w:val="16"/>
                <w:szCs w:val="16"/>
              </w:rPr>
            </w:pPr>
          </w:p>
        </w:tc>
        <w:tc>
          <w:tcPr>
            <w:tcW w:w="2447" w:type="dxa"/>
          </w:tcPr>
          <w:p w14:paraId="347B0DFE" w14:textId="77777777" w:rsidR="00653571" w:rsidRPr="008C5F1C" w:rsidRDefault="00653571" w:rsidP="00313EC5">
            <w:pPr>
              <w:spacing w:after="120"/>
              <w:rPr>
                <w:rFonts w:ascii="Times New Roman" w:eastAsia="Calibri" w:hAnsi="Times New Roman" w:cs="Times New Roman"/>
                <w:noProof/>
                <w:sz w:val="16"/>
                <w:szCs w:val="16"/>
              </w:rPr>
            </w:pPr>
          </w:p>
        </w:tc>
      </w:tr>
      <w:tr w:rsidR="00653571" w:rsidRPr="008C5F1C" w14:paraId="691C3DF7" w14:textId="77777777" w:rsidTr="00313EC5">
        <w:trPr>
          <w:jc w:val="center"/>
        </w:trPr>
        <w:tc>
          <w:tcPr>
            <w:tcW w:w="1419" w:type="dxa"/>
          </w:tcPr>
          <w:p w14:paraId="4B546347" w14:textId="77777777" w:rsidR="00653571" w:rsidRPr="008C5F1C" w:rsidRDefault="00653571" w:rsidP="00313EC5">
            <w:pPr>
              <w:spacing w:after="120"/>
              <w:rPr>
                <w:rFonts w:ascii="Times New Roman" w:eastAsia="Calibri" w:hAnsi="Times New Roman" w:cs="Times New Roman"/>
                <w:noProof/>
                <w:sz w:val="16"/>
                <w:szCs w:val="16"/>
              </w:rPr>
            </w:pPr>
          </w:p>
        </w:tc>
        <w:tc>
          <w:tcPr>
            <w:tcW w:w="1343" w:type="dxa"/>
          </w:tcPr>
          <w:p w14:paraId="7F71698A"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Priority 4</w:t>
            </w:r>
          </w:p>
        </w:tc>
        <w:tc>
          <w:tcPr>
            <w:tcW w:w="1984" w:type="dxa"/>
          </w:tcPr>
          <w:p w14:paraId="3CEACFAA" w14:textId="77777777" w:rsidR="00653571" w:rsidRPr="008C5F1C" w:rsidRDefault="00653571" w:rsidP="00313EC5">
            <w:pPr>
              <w:spacing w:after="120"/>
              <w:rPr>
                <w:rFonts w:ascii="Times New Roman" w:eastAsia="Calibri" w:hAnsi="Times New Roman" w:cs="Times New Roman"/>
                <w:noProof/>
                <w:sz w:val="16"/>
                <w:szCs w:val="16"/>
              </w:rPr>
            </w:pPr>
          </w:p>
        </w:tc>
        <w:tc>
          <w:tcPr>
            <w:tcW w:w="1701" w:type="dxa"/>
          </w:tcPr>
          <w:p w14:paraId="172D8267"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CF</w:t>
            </w:r>
          </w:p>
        </w:tc>
        <w:tc>
          <w:tcPr>
            <w:tcW w:w="1418" w:type="dxa"/>
          </w:tcPr>
          <w:p w14:paraId="47F0747F" w14:textId="77777777" w:rsidR="00653571" w:rsidRPr="008C5F1C" w:rsidRDefault="00653571" w:rsidP="00313EC5">
            <w:pPr>
              <w:spacing w:after="120"/>
              <w:rPr>
                <w:rFonts w:ascii="Times New Roman" w:eastAsia="Calibri" w:hAnsi="Times New Roman" w:cs="Times New Roman"/>
                <w:noProof/>
                <w:sz w:val="16"/>
                <w:szCs w:val="16"/>
              </w:rPr>
            </w:pPr>
          </w:p>
        </w:tc>
        <w:tc>
          <w:tcPr>
            <w:tcW w:w="1134" w:type="dxa"/>
          </w:tcPr>
          <w:p w14:paraId="6EB20620" w14:textId="77777777" w:rsidR="00653571" w:rsidRPr="008C5F1C" w:rsidRDefault="00653571" w:rsidP="00313EC5">
            <w:pPr>
              <w:spacing w:after="120"/>
              <w:rPr>
                <w:rFonts w:ascii="Times New Roman" w:eastAsia="Calibri" w:hAnsi="Times New Roman" w:cs="Times New Roman"/>
                <w:noProof/>
                <w:sz w:val="16"/>
                <w:szCs w:val="16"/>
              </w:rPr>
            </w:pPr>
          </w:p>
        </w:tc>
        <w:tc>
          <w:tcPr>
            <w:tcW w:w="992" w:type="dxa"/>
          </w:tcPr>
          <w:p w14:paraId="3EA1D93C" w14:textId="77777777" w:rsidR="00653571" w:rsidRPr="008C5F1C" w:rsidRDefault="00653571" w:rsidP="00313EC5">
            <w:pPr>
              <w:spacing w:after="120"/>
              <w:rPr>
                <w:rFonts w:ascii="Times New Roman" w:eastAsia="Calibri" w:hAnsi="Times New Roman" w:cs="Times New Roman"/>
                <w:noProof/>
                <w:sz w:val="16"/>
                <w:szCs w:val="16"/>
              </w:rPr>
            </w:pPr>
          </w:p>
        </w:tc>
        <w:tc>
          <w:tcPr>
            <w:tcW w:w="709" w:type="dxa"/>
          </w:tcPr>
          <w:p w14:paraId="6217A3F1" w14:textId="77777777" w:rsidR="00653571" w:rsidRPr="008C5F1C" w:rsidRDefault="00653571" w:rsidP="00313EC5">
            <w:pPr>
              <w:spacing w:after="120"/>
              <w:rPr>
                <w:rFonts w:ascii="Times New Roman" w:eastAsia="Calibri" w:hAnsi="Times New Roman" w:cs="Times New Roman"/>
                <w:noProof/>
                <w:sz w:val="16"/>
                <w:szCs w:val="16"/>
              </w:rPr>
            </w:pPr>
          </w:p>
        </w:tc>
        <w:tc>
          <w:tcPr>
            <w:tcW w:w="708" w:type="dxa"/>
          </w:tcPr>
          <w:p w14:paraId="3FF949E4" w14:textId="77777777" w:rsidR="00653571" w:rsidRPr="008C5F1C" w:rsidRDefault="00653571" w:rsidP="00313EC5">
            <w:pPr>
              <w:spacing w:after="120"/>
              <w:rPr>
                <w:rFonts w:ascii="Times New Roman" w:eastAsia="Calibri" w:hAnsi="Times New Roman" w:cs="Times New Roman"/>
                <w:noProof/>
                <w:sz w:val="16"/>
                <w:szCs w:val="16"/>
              </w:rPr>
            </w:pPr>
          </w:p>
        </w:tc>
        <w:tc>
          <w:tcPr>
            <w:tcW w:w="1276" w:type="dxa"/>
          </w:tcPr>
          <w:p w14:paraId="59947489" w14:textId="77777777" w:rsidR="00653571" w:rsidRPr="008C5F1C" w:rsidRDefault="00653571" w:rsidP="00313EC5">
            <w:pPr>
              <w:spacing w:after="120"/>
              <w:rPr>
                <w:rFonts w:ascii="Times New Roman" w:eastAsia="Calibri" w:hAnsi="Times New Roman" w:cs="Times New Roman"/>
                <w:noProof/>
                <w:sz w:val="16"/>
                <w:szCs w:val="16"/>
              </w:rPr>
            </w:pPr>
          </w:p>
        </w:tc>
        <w:tc>
          <w:tcPr>
            <w:tcW w:w="2447" w:type="dxa"/>
          </w:tcPr>
          <w:p w14:paraId="2F479B44" w14:textId="77777777" w:rsidR="00653571" w:rsidRPr="008C5F1C" w:rsidRDefault="00653571" w:rsidP="00313EC5">
            <w:pPr>
              <w:spacing w:after="120"/>
              <w:rPr>
                <w:rFonts w:ascii="Times New Roman" w:eastAsia="Calibri" w:hAnsi="Times New Roman" w:cs="Times New Roman"/>
                <w:noProof/>
                <w:sz w:val="16"/>
                <w:szCs w:val="16"/>
              </w:rPr>
            </w:pPr>
          </w:p>
        </w:tc>
      </w:tr>
      <w:tr w:rsidR="008B3694" w:rsidRPr="008C5F1C" w14:paraId="1FE7D859" w14:textId="77777777" w:rsidTr="00313EC5">
        <w:trPr>
          <w:jc w:val="center"/>
        </w:trPr>
        <w:tc>
          <w:tcPr>
            <w:tcW w:w="1419" w:type="dxa"/>
          </w:tcPr>
          <w:p w14:paraId="316E27E4" w14:textId="77777777" w:rsidR="008B3694" w:rsidRPr="008C5F1C" w:rsidRDefault="008B3694" w:rsidP="00313EC5">
            <w:pPr>
              <w:spacing w:after="120"/>
              <w:rPr>
                <w:rFonts w:ascii="Times New Roman" w:eastAsia="Calibri" w:hAnsi="Times New Roman" w:cs="Times New Roman"/>
                <w:noProof/>
                <w:sz w:val="16"/>
                <w:szCs w:val="16"/>
              </w:rPr>
            </w:pPr>
          </w:p>
        </w:tc>
        <w:tc>
          <w:tcPr>
            <w:tcW w:w="1343" w:type="dxa"/>
          </w:tcPr>
          <w:p w14:paraId="69FD355C" w14:textId="1FEF6A44" w:rsidR="008B3694" w:rsidRPr="008C5F1C" w:rsidRDefault="008B3694"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Priority 5</w:t>
            </w:r>
          </w:p>
        </w:tc>
        <w:tc>
          <w:tcPr>
            <w:tcW w:w="1984" w:type="dxa"/>
          </w:tcPr>
          <w:p w14:paraId="31F4FAF7" w14:textId="77777777" w:rsidR="008B3694" w:rsidRPr="008C5F1C" w:rsidRDefault="008B3694" w:rsidP="00313EC5">
            <w:pPr>
              <w:spacing w:after="120"/>
              <w:rPr>
                <w:rFonts w:ascii="Times New Roman" w:eastAsia="Calibri" w:hAnsi="Times New Roman" w:cs="Times New Roman"/>
                <w:noProof/>
                <w:sz w:val="16"/>
                <w:szCs w:val="16"/>
              </w:rPr>
            </w:pPr>
          </w:p>
        </w:tc>
        <w:tc>
          <w:tcPr>
            <w:tcW w:w="1701" w:type="dxa"/>
          </w:tcPr>
          <w:p w14:paraId="1E4CA8D4" w14:textId="77777777" w:rsidR="008B3694" w:rsidRPr="008C5F1C" w:rsidRDefault="008B3694" w:rsidP="00313EC5">
            <w:pPr>
              <w:spacing w:after="120"/>
              <w:rPr>
                <w:rFonts w:ascii="Times New Roman" w:eastAsia="Calibri" w:hAnsi="Times New Roman" w:cs="Times New Roman"/>
                <w:noProof/>
                <w:sz w:val="16"/>
                <w:szCs w:val="16"/>
              </w:rPr>
            </w:pPr>
          </w:p>
        </w:tc>
        <w:tc>
          <w:tcPr>
            <w:tcW w:w="1418" w:type="dxa"/>
          </w:tcPr>
          <w:p w14:paraId="7DF59159" w14:textId="77777777" w:rsidR="008B3694" w:rsidRPr="008C5F1C" w:rsidRDefault="008B3694" w:rsidP="00313EC5">
            <w:pPr>
              <w:spacing w:after="120"/>
              <w:rPr>
                <w:rFonts w:ascii="Times New Roman" w:eastAsia="Calibri" w:hAnsi="Times New Roman" w:cs="Times New Roman"/>
                <w:noProof/>
                <w:sz w:val="16"/>
                <w:szCs w:val="16"/>
              </w:rPr>
            </w:pPr>
          </w:p>
        </w:tc>
        <w:tc>
          <w:tcPr>
            <w:tcW w:w="1134" w:type="dxa"/>
          </w:tcPr>
          <w:p w14:paraId="50D5F659" w14:textId="77777777" w:rsidR="008B3694" w:rsidRPr="008C5F1C" w:rsidRDefault="008B3694" w:rsidP="00313EC5">
            <w:pPr>
              <w:spacing w:after="120"/>
              <w:rPr>
                <w:rFonts w:ascii="Times New Roman" w:eastAsia="Calibri" w:hAnsi="Times New Roman" w:cs="Times New Roman"/>
                <w:noProof/>
                <w:sz w:val="16"/>
                <w:szCs w:val="16"/>
              </w:rPr>
            </w:pPr>
          </w:p>
        </w:tc>
        <w:tc>
          <w:tcPr>
            <w:tcW w:w="992" w:type="dxa"/>
          </w:tcPr>
          <w:p w14:paraId="3B588747" w14:textId="77777777" w:rsidR="008B3694" w:rsidRPr="008C5F1C" w:rsidRDefault="008B3694" w:rsidP="00313EC5">
            <w:pPr>
              <w:spacing w:after="120"/>
              <w:rPr>
                <w:rFonts w:ascii="Times New Roman" w:eastAsia="Calibri" w:hAnsi="Times New Roman" w:cs="Times New Roman"/>
                <w:noProof/>
                <w:sz w:val="16"/>
                <w:szCs w:val="16"/>
              </w:rPr>
            </w:pPr>
          </w:p>
        </w:tc>
        <w:tc>
          <w:tcPr>
            <w:tcW w:w="709" w:type="dxa"/>
          </w:tcPr>
          <w:p w14:paraId="4E4A8B8E" w14:textId="77777777" w:rsidR="008B3694" w:rsidRPr="008C5F1C" w:rsidRDefault="008B3694" w:rsidP="00313EC5">
            <w:pPr>
              <w:spacing w:after="120"/>
              <w:rPr>
                <w:rFonts w:ascii="Times New Roman" w:eastAsia="Calibri" w:hAnsi="Times New Roman" w:cs="Times New Roman"/>
                <w:noProof/>
                <w:sz w:val="16"/>
                <w:szCs w:val="16"/>
              </w:rPr>
            </w:pPr>
          </w:p>
        </w:tc>
        <w:tc>
          <w:tcPr>
            <w:tcW w:w="708" w:type="dxa"/>
          </w:tcPr>
          <w:p w14:paraId="1CD89B7B" w14:textId="77777777" w:rsidR="008B3694" w:rsidRPr="008C5F1C" w:rsidRDefault="008B3694" w:rsidP="00313EC5">
            <w:pPr>
              <w:spacing w:after="120"/>
              <w:rPr>
                <w:rFonts w:ascii="Times New Roman" w:eastAsia="Calibri" w:hAnsi="Times New Roman" w:cs="Times New Roman"/>
                <w:noProof/>
                <w:sz w:val="16"/>
                <w:szCs w:val="16"/>
              </w:rPr>
            </w:pPr>
          </w:p>
        </w:tc>
        <w:tc>
          <w:tcPr>
            <w:tcW w:w="1276" w:type="dxa"/>
          </w:tcPr>
          <w:p w14:paraId="3CD18FCE" w14:textId="77777777" w:rsidR="008B3694" w:rsidRPr="008C5F1C" w:rsidRDefault="008B3694" w:rsidP="00313EC5">
            <w:pPr>
              <w:spacing w:after="120"/>
              <w:rPr>
                <w:rFonts w:ascii="Times New Roman" w:eastAsia="Calibri" w:hAnsi="Times New Roman" w:cs="Times New Roman"/>
                <w:noProof/>
                <w:sz w:val="16"/>
                <w:szCs w:val="16"/>
              </w:rPr>
            </w:pPr>
          </w:p>
        </w:tc>
        <w:tc>
          <w:tcPr>
            <w:tcW w:w="2447" w:type="dxa"/>
          </w:tcPr>
          <w:p w14:paraId="4E86AEAC" w14:textId="77777777" w:rsidR="008B3694" w:rsidRPr="008C5F1C" w:rsidRDefault="008B3694" w:rsidP="00313EC5">
            <w:pPr>
              <w:spacing w:after="120"/>
              <w:rPr>
                <w:rFonts w:ascii="Times New Roman" w:eastAsia="Calibri" w:hAnsi="Times New Roman" w:cs="Times New Roman"/>
                <w:noProof/>
                <w:sz w:val="16"/>
                <w:szCs w:val="16"/>
              </w:rPr>
            </w:pPr>
          </w:p>
        </w:tc>
      </w:tr>
      <w:tr w:rsidR="008B3694" w:rsidRPr="008C5F1C" w14:paraId="7F615B6E" w14:textId="77777777" w:rsidTr="00313EC5">
        <w:trPr>
          <w:jc w:val="center"/>
        </w:trPr>
        <w:tc>
          <w:tcPr>
            <w:tcW w:w="1419" w:type="dxa"/>
          </w:tcPr>
          <w:p w14:paraId="799108F1" w14:textId="77777777" w:rsidR="008B3694" w:rsidRPr="008C5F1C" w:rsidRDefault="008B3694" w:rsidP="00313EC5">
            <w:pPr>
              <w:spacing w:after="120"/>
              <w:rPr>
                <w:rFonts w:ascii="Times New Roman" w:eastAsia="Calibri" w:hAnsi="Times New Roman" w:cs="Times New Roman"/>
                <w:noProof/>
                <w:sz w:val="16"/>
                <w:szCs w:val="16"/>
              </w:rPr>
            </w:pPr>
          </w:p>
        </w:tc>
        <w:tc>
          <w:tcPr>
            <w:tcW w:w="1343" w:type="dxa"/>
          </w:tcPr>
          <w:p w14:paraId="4C10F93D" w14:textId="43EE7392" w:rsidR="008B3694" w:rsidRPr="008C5F1C" w:rsidRDefault="008B3694"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Priority 6</w:t>
            </w:r>
          </w:p>
        </w:tc>
        <w:tc>
          <w:tcPr>
            <w:tcW w:w="1984" w:type="dxa"/>
          </w:tcPr>
          <w:p w14:paraId="42368462" w14:textId="77777777" w:rsidR="008B3694" w:rsidRPr="008C5F1C" w:rsidRDefault="008B3694" w:rsidP="00313EC5">
            <w:pPr>
              <w:spacing w:after="120"/>
              <w:rPr>
                <w:rFonts w:ascii="Times New Roman" w:eastAsia="Calibri" w:hAnsi="Times New Roman" w:cs="Times New Roman"/>
                <w:noProof/>
                <w:sz w:val="16"/>
                <w:szCs w:val="16"/>
              </w:rPr>
            </w:pPr>
          </w:p>
        </w:tc>
        <w:tc>
          <w:tcPr>
            <w:tcW w:w="1701" w:type="dxa"/>
          </w:tcPr>
          <w:p w14:paraId="40817AAB" w14:textId="77777777" w:rsidR="008B3694" w:rsidRPr="008C5F1C" w:rsidRDefault="008B3694" w:rsidP="00313EC5">
            <w:pPr>
              <w:spacing w:after="120"/>
              <w:rPr>
                <w:rFonts w:ascii="Times New Roman" w:eastAsia="Calibri" w:hAnsi="Times New Roman" w:cs="Times New Roman"/>
                <w:noProof/>
                <w:sz w:val="16"/>
                <w:szCs w:val="16"/>
              </w:rPr>
            </w:pPr>
          </w:p>
        </w:tc>
        <w:tc>
          <w:tcPr>
            <w:tcW w:w="1418" w:type="dxa"/>
          </w:tcPr>
          <w:p w14:paraId="424BCE82" w14:textId="77777777" w:rsidR="008B3694" w:rsidRPr="008C5F1C" w:rsidRDefault="008B3694" w:rsidP="00313EC5">
            <w:pPr>
              <w:spacing w:after="120"/>
              <w:rPr>
                <w:rFonts w:ascii="Times New Roman" w:eastAsia="Calibri" w:hAnsi="Times New Roman" w:cs="Times New Roman"/>
                <w:noProof/>
                <w:sz w:val="16"/>
                <w:szCs w:val="16"/>
              </w:rPr>
            </w:pPr>
          </w:p>
        </w:tc>
        <w:tc>
          <w:tcPr>
            <w:tcW w:w="1134" w:type="dxa"/>
          </w:tcPr>
          <w:p w14:paraId="713E29A4" w14:textId="77777777" w:rsidR="008B3694" w:rsidRPr="008C5F1C" w:rsidRDefault="008B3694" w:rsidP="00313EC5">
            <w:pPr>
              <w:spacing w:after="120"/>
              <w:rPr>
                <w:rFonts w:ascii="Times New Roman" w:eastAsia="Calibri" w:hAnsi="Times New Roman" w:cs="Times New Roman"/>
                <w:noProof/>
                <w:sz w:val="16"/>
                <w:szCs w:val="16"/>
              </w:rPr>
            </w:pPr>
          </w:p>
        </w:tc>
        <w:tc>
          <w:tcPr>
            <w:tcW w:w="992" w:type="dxa"/>
          </w:tcPr>
          <w:p w14:paraId="78D05F4D" w14:textId="77777777" w:rsidR="008B3694" w:rsidRPr="008C5F1C" w:rsidRDefault="008B3694" w:rsidP="00313EC5">
            <w:pPr>
              <w:spacing w:after="120"/>
              <w:rPr>
                <w:rFonts w:ascii="Times New Roman" w:eastAsia="Calibri" w:hAnsi="Times New Roman" w:cs="Times New Roman"/>
                <w:noProof/>
                <w:sz w:val="16"/>
                <w:szCs w:val="16"/>
              </w:rPr>
            </w:pPr>
          </w:p>
        </w:tc>
        <w:tc>
          <w:tcPr>
            <w:tcW w:w="709" w:type="dxa"/>
          </w:tcPr>
          <w:p w14:paraId="6CE50E5F" w14:textId="77777777" w:rsidR="008B3694" w:rsidRPr="008C5F1C" w:rsidRDefault="008B3694" w:rsidP="00313EC5">
            <w:pPr>
              <w:spacing w:after="120"/>
              <w:rPr>
                <w:rFonts w:ascii="Times New Roman" w:eastAsia="Calibri" w:hAnsi="Times New Roman" w:cs="Times New Roman"/>
                <w:noProof/>
                <w:sz w:val="16"/>
                <w:szCs w:val="16"/>
              </w:rPr>
            </w:pPr>
          </w:p>
        </w:tc>
        <w:tc>
          <w:tcPr>
            <w:tcW w:w="708" w:type="dxa"/>
          </w:tcPr>
          <w:p w14:paraId="2A654707" w14:textId="77777777" w:rsidR="008B3694" w:rsidRPr="008C5F1C" w:rsidRDefault="008B3694" w:rsidP="00313EC5">
            <w:pPr>
              <w:spacing w:after="120"/>
              <w:rPr>
                <w:rFonts w:ascii="Times New Roman" w:eastAsia="Calibri" w:hAnsi="Times New Roman" w:cs="Times New Roman"/>
                <w:noProof/>
                <w:sz w:val="16"/>
                <w:szCs w:val="16"/>
              </w:rPr>
            </w:pPr>
          </w:p>
        </w:tc>
        <w:tc>
          <w:tcPr>
            <w:tcW w:w="1276" w:type="dxa"/>
          </w:tcPr>
          <w:p w14:paraId="0A629C68" w14:textId="77777777" w:rsidR="008B3694" w:rsidRPr="008C5F1C" w:rsidRDefault="008B3694" w:rsidP="00313EC5">
            <w:pPr>
              <w:spacing w:after="120"/>
              <w:rPr>
                <w:rFonts w:ascii="Times New Roman" w:eastAsia="Calibri" w:hAnsi="Times New Roman" w:cs="Times New Roman"/>
                <w:noProof/>
                <w:sz w:val="16"/>
                <w:szCs w:val="16"/>
              </w:rPr>
            </w:pPr>
          </w:p>
        </w:tc>
        <w:tc>
          <w:tcPr>
            <w:tcW w:w="2447" w:type="dxa"/>
          </w:tcPr>
          <w:p w14:paraId="0416F27D" w14:textId="77777777" w:rsidR="008B3694" w:rsidRPr="008C5F1C" w:rsidRDefault="008B3694" w:rsidP="00313EC5">
            <w:pPr>
              <w:spacing w:after="120"/>
              <w:rPr>
                <w:rFonts w:ascii="Times New Roman" w:eastAsia="Calibri" w:hAnsi="Times New Roman" w:cs="Times New Roman"/>
                <w:noProof/>
                <w:sz w:val="16"/>
                <w:szCs w:val="16"/>
              </w:rPr>
            </w:pPr>
          </w:p>
        </w:tc>
      </w:tr>
      <w:tr w:rsidR="00653571" w:rsidRPr="008C5F1C" w14:paraId="6CE32C9F" w14:textId="77777777" w:rsidTr="00313EC5">
        <w:trPr>
          <w:jc w:val="center"/>
        </w:trPr>
        <w:tc>
          <w:tcPr>
            <w:tcW w:w="1419" w:type="dxa"/>
          </w:tcPr>
          <w:p w14:paraId="7B822AC2"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TA</w:t>
            </w:r>
          </w:p>
        </w:tc>
        <w:tc>
          <w:tcPr>
            <w:tcW w:w="1343" w:type="dxa"/>
          </w:tcPr>
          <w:p w14:paraId="4BAF423F"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TA Art. 29 CPR</w:t>
            </w:r>
          </w:p>
        </w:tc>
        <w:tc>
          <w:tcPr>
            <w:tcW w:w="1984" w:type="dxa"/>
          </w:tcPr>
          <w:p w14:paraId="1D8D48C6" w14:textId="77777777" w:rsidR="00653571" w:rsidRPr="008C5F1C" w:rsidRDefault="00653571" w:rsidP="00313EC5">
            <w:pPr>
              <w:spacing w:after="120"/>
              <w:rPr>
                <w:rFonts w:ascii="Times New Roman" w:eastAsia="Calibri" w:hAnsi="Times New Roman" w:cs="Times New Roman"/>
                <w:noProof/>
                <w:sz w:val="16"/>
                <w:szCs w:val="16"/>
              </w:rPr>
            </w:pPr>
          </w:p>
        </w:tc>
        <w:tc>
          <w:tcPr>
            <w:tcW w:w="1701" w:type="dxa"/>
          </w:tcPr>
          <w:p w14:paraId="502D9E42"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ERDF or ESF+ or CF or JTF</w:t>
            </w:r>
          </w:p>
        </w:tc>
        <w:tc>
          <w:tcPr>
            <w:tcW w:w="1418" w:type="dxa"/>
          </w:tcPr>
          <w:p w14:paraId="011D2B03" w14:textId="77777777" w:rsidR="00653571" w:rsidRPr="008C5F1C" w:rsidRDefault="00653571" w:rsidP="00313EC5">
            <w:pPr>
              <w:spacing w:after="120"/>
              <w:rPr>
                <w:rFonts w:ascii="Times New Roman" w:eastAsia="Calibri" w:hAnsi="Times New Roman" w:cs="Times New Roman"/>
                <w:noProof/>
                <w:sz w:val="16"/>
                <w:szCs w:val="16"/>
              </w:rPr>
            </w:pPr>
          </w:p>
        </w:tc>
        <w:tc>
          <w:tcPr>
            <w:tcW w:w="1134" w:type="dxa"/>
          </w:tcPr>
          <w:p w14:paraId="5707CE2E" w14:textId="77777777" w:rsidR="00653571" w:rsidRPr="008C5F1C" w:rsidRDefault="00653571" w:rsidP="00313EC5">
            <w:pPr>
              <w:spacing w:after="120"/>
              <w:rPr>
                <w:rFonts w:ascii="Times New Roman" w:eastAsia="Calibri" w:hAnsi="Times New Roman" w:cs="Times New Roman"/>
                <w:noProof/>
                <w:sz w:val="16"/>
                <w:szCs w:val="16"/>
              </w:rPr>
            </w:pPr>
          </w:p>
        </w:tc>
        <w:tc>
          <w:tcPr>
            <w:tcW w:w="992" w:type="dxa"/>
          </w:tcPr>
          <w:p w14:paraId="617DAE79" w14:textId="77777777" w:rsidR="00653571" w:rsidRPr="008C5F1C" w:rsidRDefault="00653571" w:rsidP="00313EC5">
            <w:pPr>
              <w:spacing w:after="120"/>
              <w:rPr>
                <w:rFonts w:ascii="Times New Roman" w:eastAsia="Calibri" w:hAnsi="Times New Roman" w:cs="Times New Roman"/>
                <w:noProof/>
                <w:sz w:val="16"/>
                <w:szCs w:val="16"/>
              </w:rPr>
            </w:pPr>
          </w:p>
        </w:tc>
        <w:tc>
          <w:tcPr>
            <w:tcW w:w="709" w:type="dxa"/>
          </w:tcPr>
          <w:p w14:paraId="2D9B559D" w14:textId="77777777" w:rsidR="00653571" w:rsidRPr="008C5F1C" w:rsidRDefault="00653571" w:rsidP="00313EC5">
            <w:pPr>
              <w:spacing w:after="120"/>
              <w:rPr>
                <w:rFonts w:ascii="Times New Roman" w:eastAsia="Calibri" w:hAnsi="Times New Roman" w:cs="Times New Roman"/>
                <w:noProof/>
                <w:sz w:val="16"/>
                <w:szCs w:val="16"/>
              </w:rPr>
            </w:pPr>
          </w:p>
        </w:tc>
        <w:tc>
          <w:tcPr>
            <w:tcW w:w="708" w:type="dxa"/>
          </w:tcPr>
          <w:p w14:paraId="3B3032F7" w14:textId="77777777" w:rsidR="00653571" w:rsidRPr="008C5F1C" w:rsidRDefault="00653571" w:rsidP="00313EC5">
            <w:pPr>
              <w:spacing w:after="120"/>
              <w:rPr>
                <w:rFonts w:ascii="Times New Roman" w:eastAsia="Calibri" w:hAnsi="Times New Roman" w:cs="Times New Roman"/>
                <w:noProof/>
                <w:sz w:val="16"/>
                <w:szCs w:val="16"/>
              </w:rPr>
            </w:pPr>
          </w:p>
        </w:tc>
        <w:tc>
          <w:tcPr>
            <w:tcW w:w="1276" w:type="dxa"/>
          </w:tcPr>
          <w:p w14:paraId="431FF9C8" w14:textId="77777777" w:rsidR="00653571" w:rsidRPr="008C5F1C" w:rsidRDefault="00653571" w:rsidP="00313EC5">
            <w:pPr>
              <w:spacing w:after="120"/>
              <w:rPr>
                <w:rFonts w:ascii="Times New Roman" w:eastAsia="Calibri" w:hAnsi="Times New Roman" w:cs="Times New Roman"/>
                <w:noProof/>
                <w:sz w:val="16"/>
                <w:szCs w:val="16"/>
              </w:rPr>
            </w:pPr>
          </w:p>
        </w:tc>
        <w:tc>
          <w:tcPr>
            <w:tcW w:w="2447" w:type="dxa"/>
          </w:tcPr>
          <w:p w14:paraId="3CBE5582" w14:textId="77777777" w:rsidR="00653571" w:rsidRPr="008C5F1C" w:rsidRDefault="00653571" w:rsidP="00313EC5">
            <w:pPr>
              <w:spacing w:after="120"/>
              <w:rPr>
                <w:rFonts w:ascii="Times New Roman" w:eastAsia="Calibri" w:hAnsi="Times New Roman" w:cs="Times New Roman"/>
                <w:noProof/>
                <w:sz w:val="16"/>
                <w:szCs w:val="16"/>
              </w:rPr>
            </w:pPr>
          </w:p>
        </w:tc>
      </w:tr>
      <w:tr w:rsidR="00653571" w:rsidRPr="008C5F1C" w14:paraId="4921E25F" w14:textId="77777777" w:rsidTr="00313EC5">
        <w:trPr>
          <w:jc w:val="center"/>
        </w:trPr>
        <w:tc>
          <w:tcPr>
            <w:tcW w:w="1419" w:type="dxa"/>
          </w:tcPr>
          <w:p w14:paraId="6233CC24" w14:textId="77777777" w:rsidR="00653571" w:rsidRPr="008C5F1C" w:rsidRDefault="00653571" w:rsidP="00313EC5">
            <w:pPr>
              <w:spacing w:after="120"/>
              <w:rPr>
                <w:rFonts w:ascii="Times New Roman" w:eastAsia="Calibri" w:hAnsi="Times New Roman" w:cs="Times New Roman"/>
                <w:noProof/>
                <w:sz w:val="16"/>
                <w:szCs w:val="16"/>
              </w:rPr>
            </w:pPr>
          </w:p>
        </w:tc>
        <w:tc>
          <w:tcPr>
            <w:tcW w:w="1343" w:type="dxa"/>
          </w:tcPr>
          <w:p w14:paraId="782B6EFF"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TA Art. 30 CPR</w:t>
            </w:r>
          </w:p>
        </w:tc>
        <w:tc>
          <w:tcPr>
            <w:tcW w:w="1984" w:type="dxa"/>
            <w:tcBorders>
              <w:bottom w:val="single" w:sz="4" w:space="0" w:color="auto"/>
            </w:tcBorders>
          </w:tcPr>
          <w:p w14:paraId="354E1862" w14:textId="77777777" w:rsidR="00653571" w:rsidRPr="008C5F1C" w:rsidRDefault="00653571" w:rsidP="00313EC5">
            <w:pPr>
              <w:spacing w:after="120"/>
              <w:rPr>
                <w:rFonts w:ascii="Times New Roman" w:eastAsia="Calibri" w:hAnsi="Times New Roman" w:cs="Times New Roman"/>
                <w:noProof/>
                <w:sz w:val="16"/>
                <w:szCs w:val="16"/>
              </w:rPr>
            </w:pPr>
          </w:p>
        </w:tc>
        <w:tc>
          <w:tcPr>
            <w:tcW w:w="1701" w:type="dxa"/>
            <w:tcBorders>
              <w:bottom w:val="single" w:sz="4" w:space="0" w:color="auto"/>
            </w:tcBorders>
          </w:tcPr>
          <w:p w14:paraId="100A493D"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ERDF or ESF+ or CF or JTF</w:t>
            </w:r>
          </w:p>
        </w:tc>
        <w:tc>
          <w:tcPr>
            <w:tcW w:w="1418" w:type="dxa"/>
          </w:tcPr>
          <w:p w14:paraId="75A85045" w14:textId="77777777" w:rsidR="00653571" w:rsidRPr="008C5F1C" w:rsidRDefault="00653571" w:rsidP="00313EC5">
            <w:pPr>
              <w:spacing w:after="120"/>
              <w:rPr>
                <w:rFonts w:ascii="Times New Roman" w:eastAsia="Calibri" w:hAnsi="Times New Roman" w:cs="Times New Roman"/>
                <w:noProof/>
                <w:sz w:val="16"/>
                <w:szCs w:val="16"/>
              </w:rPr>
            </w:pPr>
          </w:p>
        </w:tc>
        <w:tc>
          <w:tcPr>
            <w:tcW w:w="1134" w:type="dxa"/>
          </w:tcPr>
          <w:p w14:paraId="551C6039" w14:textId="77777777" w:rsidR="00653571" w:rsidRPr="008C5F1C" w:rsidRDefault="00653571" w:rsidP="00313EC5">
            <w:pPr>
              <w:spacing w:after="120"/>
              <w:rPr>
                <w:rFonts w:ascii="Times New Roman" w:eastAsia="Calibri" w:hAnsi="Times New Roman" w:cs="Times New Roman"/>
                <w:noProof/>
                <w:sz w:val="16"/>
                <w:szCs w:val="16"/>
              </w:rPr>
            </w:pPr>
          </w:p>
        </w:tc>
        <w:tc>
          <w:tcPr>
            <w:tcW w:w="992" w:type="dxa"/>
          </w:tcPr>
          <w:p w14:paraId="3CA45FF8" w14:textId="77777777" w:rsidR="00653571" w:rsidRPr="008C5F1C" w:rsidRDefault="00653571" w:rsidP="00313EC5">
            <w:pPr>
              <w:spacing w:after="120"/>
              <w:rPr>
                <w:rFonts w:ascii="Times New Roman" w:eastAsia="Calibri" w:hAnsi="Times New Roman" w:cs="Times New Roman"/>
                <w:noProof/>
                <w:sz w:val="16"/>
                <w:szCs w:val="16"/>
              </w:rPr>
            </w:pPr>
          </w:p>
        </w:tc>
        <w:tc>
          <w:tcPr>
            <w:tcW w:w="709" w:type="dxa"/>
          </w:tcPr>
          <w:p w14:paraId="09029134" w14:textId="77777777" w:rsidR="00653571" w:rsidRPr="008C5F1C" w:rsidRDefault="00653571" w:rsidP="00313EC5">
            <w:pPr>
              <w:spacing w:after="120"/>
              <w:rPr>
                <w:rFonts w:ascii="Times New Roman" w:eastAsia="Calibri" w:hAnsi="Times New Roman" w:cs="Times New Roman"/>
                <w:noProof/>
                <w:sz w:val="16"/>
                <w:szCs w:val="16"/>
              </w:rPr>
            </w:pPr>
          </w:p>
        </w:tc>
        <w:tc>
          <w:tcPr>
            <w:tcW w:w="708" w:type="dxa"/>
          </w:tcPr>
          <w:p w14:paraId="42891EC7" w14:textId="77777777" w:rsidR="00653571" w:rsidRPr="008C5F1C" w:rsidRDefault="00653571" w:rsidP="00313EC5">
            <w:pPr>
              <w:spacing w:after="120"/>
              <w:rPr>
                <w:rFonts w:ascii="Times New Roman" w:eastAsia="Calibri" w:hAnsi="Times New Roman" w:cs="Times New Roman"/>
                <w:noProof/>
                <w:sz w:val="16"/>
                <w:szCs w:val="16"/>
              </w:rPr>
            </w:pPr>
          </w:p>
        </w:tc>
        <w:tc>
          <w:tcPr>
            <w:tcW w:w="1276" w:type="dxa"/>
          </w:tcPr>
          <w:p w14:paraId="216E9C8D" w14:textId="77777777" w:rsidR="00653571" w:rsidRPr="008C5F1C" w:rsidRDefault="00653571" w:rsidP="00313EC5">
            <w:pPr>
              <w:spacing w:after="120"/>
              <w:rPr>
                <w:rFonts w:ascii="Times New Roman" w:eastAsia="Calibri" w:hAnsi="Times New Roman" w:cs="Times New Roman"/>
                <w:noProof/>
                <w:sz w:val="16"/>
                <w:szCs w:val="16"/>
              </w:rPr>
            </w:pPr>
          </w:p>
        </w:tc>
        <w:tc>
          <w:tcPr>
            <w:tcW w:w="2447" w:type="dxa"/>
          </w:tcPr>
          <w:p w14:paraId="2B78820C" w14:textId="77777777" w:rsidR="00653571" w:rsidRPr="008C5F1C" w:rsidRDefault="00653571" w:rsidP="00313EC5">
            <w:pPr>
              <w:spacing w:after="120"/>
              <w:rPr>
                <w:rFonts w:ascii="Times New Roman" w:eastAsia="Calibri" w:hAnsi="Times New Roman" w:cs="Times New Roman"/>
                <w:noProof/>
                <w:sz w:val="16"/>
                <w:szCs w:val="16"/>
              </w:rPr>
            </w:pPr>
          </w:p>
        </w:tc>
      </w:tr>
      <w:tr w:rsidR="00653571" w:rsidRPr="008C5F1C" w14:paraId="183D490F" w14:textId="77777777" w:rsidTr="00313EC5">
        <w:trPr>
          <w:jc w:val="center"/>
        </w:trPr>
        <w:tc>
          <w:tcPr>
            <w:tcW w:w="2762" w:type="dxa"/>
            <w:gridSpan w:val="2"/>
            <w:vMerge w:val="restart"/>
          </w:tcPr>
          <w:p w14:paraId="33F63273"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Total ERDF</w:t>
            </w:r>
          </w:p>
          <w:p w14:paraId="06FA3AC0" w14:textId="77777777" w:rsidR="00653571" w:rsidRPr="008C5F1C" w:rsidRDefault="00653571" w:rsidP="00313EC5">
            <w:pPr>
              <w:spacing w:after="120"/>
              <w:rPr>
                <w:rFonts w:ascii="Times New Roman" w:eastAsia="Calibri" w:hAnsi="Times New Roman" w:cs="Times New Roman"/>
                <w:noProof/>
                <w:sz w:val="16"/>
                <w:szCs w:val="16"/>
              </w:rPr>
            </w:pPr>
          </w:p>
        </w:tc>
        <w:tc>
          <w:tcPr>
            <w:tcW w:w="1984" w:type="dxa"/>
            <w:shd w:val="clear" w:color="auto" w:fill="7F7F7F" w:themeFill="text1" w:themeFillTint="80"/>
          </w:tcPr>
          <w:p w14:paraId="48AC8A7A" w14:textId="77777777" w:rsidR="00653571" w:rsidRPr="008C5F1C" w:rsidRDefault="00653571" w:rsidP="00313EC5">
            <w:pPr>
              <w:spacing w:after="120"/>
              <w:rPr>
                <w:rFonts w:ascii="Times New Roman" w:eastAsia="Calibri" w:hAnsi="Times New Roman" w:cs="Times New Roman"/>
                <w:noProof/>
                <w:sz w:val="16"/>
                <w:szCs w:val="16"/>
              </w:rPr>
            </w:pPr>
          </w:p>
        </w:tc>
        <w:tc>
          <w:tcPr>
            <w:tcW w:w="1701" w:type="dxa"/>
            <w:shd w:val="clear" w:color="auto" w:fill="7F7F7F" w:themeFill="text1" w:themeFillTint="80"/>
          </w:tcPr>
          <w:p w14:paraId="1E49430A" w14:textId="77777777" w:rsidR="00653571" w:rsidRPr="008C5F1C" w:rsidRDefault="00653571" w:rsidP="00313EC5">
            <w:pPr>
              <w:spacing w:after="120"/>
              <w:rPr>
                <w:rFonts w:ascii="Times New Roman" w:eastAsia="Calibri" w:hAnsi="Times New Roman" w:cs="Times New Roman"/>
                <w:noProof/>
                <w:sz w:val="16"/>
                <w:szCs w:val="16"/>
              </w:rPr>
            </w:pPr>
          </w:p>
        </w:tc>
        <w:tc>
          <w:tcPr>
            <w:tcW w:w="1418" w:type="dxa"/>
          </w:tcPr>
          <w:p w14:paraId="7B9D8C81"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More developed</w:t>
            </w:r>
          </w:p>
        </w:tc>
        <w:tc>
          <w:tcPr>
            <w:tcW w:w="1134" w:type="dxa"/>
          </w:tcPr>
          <w:p w14:paraId="662421B4" w14:textId="77777777" w:rsidR="00653571" w:rsidRPr="008C5F1C" w:rsidRDefault="00653571" w:rsidP="00313EC5">
            <w:pPr>
              <w:spacing w:after="120"/>
              <w:rPr>
                <w:rFonts w:ascii="Times New Roman" w:eastAsia="Calibri" w:hAnsi="Times New Roman" w:cs="Times New Roman"/>
                <w:noProof/>
                <w:sz w:val="16"/>
                <w:szCs w:val="16"/>
              </w:rPr>
            </w:pPr>
          </w:p>
        </w:tc>
        <w:tc>
          <w:tcPr>
            <w:tcW w:w="992" w:type="dxa"/>
          </w:tcPr>
          <w:p w14:paraId="132DE583" w14:textId="77777777" w:rsidR="00653571" w:rsidRPr="008C5F1C" w:rsidRDefault="00653571" w:rsidP="00313EC5">
            <w:pPr>
              <w:spacing w:after="120"/>
              <w:rPr>
                <w:rFonts w:ascii="Times New Roman" w:eastAsia="Calibri" w:hAnsi="Times New Roman" w:cs="Times New Roman"/>
                <w:noProof/>
                <w:sz w:val="16"/>
                <w:szCs w:val="16"/>
              </w:rPr>
            </w:pPr>
          </w:p>
        </w:tc>
        <w:tc>
          <w:tcPr>
            <w:tcW w:w="709" w:type="dxa"/>
          </w:tcPr>
          <w:p w14:paraId="62CA9460" w14:textId="77777777" w:rsidR="00653571" w:rsidRPr="008C5F1C" w:rsidRDefault="00653571" w:rsidP="00313EC5">
            <w:pPr>
              <w:spacing w:after="120"/>
              <w:rPr>
                <w:rFonts w:ascii="Times New Roman" w:eastAsia="Calibri" w:hAnsi="Times New Roman" w:cs="Times New Roman"/>
                <w:noProof/>
                <w:sz w:val="16"/>
                <w:szCs w:val="16"/>
              </w:rPr>
            </w:pPr>
          </w:p>
        </w:tc>
        <w:tc>
          <w:tcPr>
            <w:tcW w:w="708" w:type="dxa"/>
          </w:tcPr>
          <w:p w14:paraId="10AB1326" w14:textId="77777777" w:rsidR="00653571" w:rsidRPr="008C5F1C" w:rsidRDefault="00653571" w:rsidP="00313EC5">
            <w:pPr>
              <w:spacing w:after="120"/>
              <w:rPr>
                <w:rFonts w:ascii="Times New Roman" w:eastAsia="Calibri" w:hAnsi="Times New Roman" w:cs="Times New Roman"/>
                <w:noProof/>
                <w:sz w:val="16"/>
                <w:szCs w:val="16"/>
              </w:rPr>
            </w:pPr>
          </w:p>
        </w:tc>
        <w:tc>
          <w:tcPr>
            <w:tcW w:w="1276" w:type="dxa"/>
          </w:tcPr>
          <w:p w14:paraId="0E0A5E57" w14:textId="77777777" w:rsidR="00653571" w:rsidRPr="008C5F1C" w:rsidRDefault="00653571" w:rsidP="00313EC5">
            <w:pPr>
              <w:spacing w:after="120"/>
              <w:rPr>
                <w:rFonts w:ascii="Times New Roman" w:eastAsia="Calibri" w:hAnsi="Times New Roman" w:cs="Times New Roman"/>
                <w:noProof/>
                <w:sz w:val="16"/>
                <w:szCs w:val="16"/>
              </w:rPr>
            </w:pPr>
          </w:p>
        </w:tc>
        <w:tc>
          <w:tcPr>
            <w:tcW w:w="2447" w:type="dxa"/>
          </w:tcPr>
          <w:p w14:paraId="3ED1F8A9" w14:textId="77777777" w:rsidR="00653571" w:rsidRPr="008C5F1C" w:rsidRDefault="00653571" w:rsidP="00313EC5">
            <w:pPr>
              <w:spacing w:after="120"/>
              <w:rPr>
                <w:rFonts w:ascii="Times New Roman" w:eastAsia="Calibri" w:hAnsi="Times New Roman" w:cs="Times New Roman"/>
                <w:noProof/>
                <w:sz w:val="16"/>
                <w:szCs w:val="16"/>
              </w:rPr>
            </w:pPr>
          </w:p>
        </w:tc>
      </w:tr>
      <w:tr w:rsidR="00653571" w:rsidRPr="008C5F1C" w14:paraId="47CDF299" w14:textId="77777777" w:rsidTr="00313EC5">
        <w:trPr>
          <w:jc w:val="center"/>
        </w:trPr>
        <w:tc>
          <w:tcPr>
            <w:tcW w:w="2762" w:type="dxa"/>
            <w:gridSpan w:val="2"/>
            <w:vMerge/>
          </w:tcPr>
          <w:p w14:paraId="022879E1" w14:textId="77777777" w:rsidR="00653571" w:rsidRPr="008C5F1C" w:rsidRDefault="00653571" w:rsidP="00313EC5">
            <w:pPr>
              <w:spacing w:after="120"/>
              <w:rPr>
                <w:rFonts w:ascii="Times New Roman" w:eastAsia="Calibri" w:hAnsi="Times New Roman" w:cs="Times New Roman"/>
                <w:noProof/>
                <w:sz w:val="16"/>
                <w:szCs w:val="16"/>
              </w:rPr>
            </w:pPr>
          </w:p>
        </w:tc>
        <w:tc>
          <w:tcPr>
            <w:tcW w:w="1984" w:type="dxa"/>
            <w:shd w:val="clear" w:color="auto" w:fill="7F7F7F" w:themeFill="text1" w:themeFillTint="80"/>
          </w:tcPr>
          <w:p w14:paraId="65D84D68" w14:textId="77777777" w:rsidR="00653571" w:rsidRPr="008C5F1C" w:rsidRDefault="00653571" w:rsidP="00313EC5">
            <w:pPr>
              <w:spacing w:after="120"/>
              <w:rPr>
                <w:rFonts w:ascii="Times New Roman" w:eastAsia="Calibri" w:hAnsi="Times New Roman" w:cs="Times New Roman"/>
                <w:noProof/>
                <w:sz w:val="16"/>
                <w:szCs w:val="16"/>
              </w:rPr>
            </w:pPr>
          </w:p>
        </w:tc>
        <w:tc>
          <w:tcPr>
            <w:tcW w:w="1701" w:type="dxa"/>
            <w:shd w:val="clear" w:color="auto" w:fill="7F7F7F" w:themeFill="text1" w:themeFillTint="80"/>
          </w:tcPr>
          <w:p w14:paraId="361E701E" w14:textId="77777777" w:rsidR="00653571" w:rsidRPr="008C5F1C" w:rsidRDefault="00653571" w:rsidP="00313EC5">
            <w:pPr>
              <w:spacing w:after="120"/>
              <w:rPr>
                <w:rFonts w:ascii="Times New Roman" w:eastAsia="Calibri" w:hAnsi="Times New Roman" w:cs="Times New Roman"/>
                <w:noProof/>
                <w:sz w:val="16"/>
                <w:szCs w:val="16"/>
              </w:rPr>
            </w:pPr>
          </w:p>
        </w:tc>
        <w:tc>
          <w:tcPr>
            <w:tcW w:w="1418" w:type="dxa"/>
          </w:tcPr>
          <w:p w14:paraId="48BFF781"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Transition</w:t>
            </w:r>
          </w:p>
        </w:tc>
        <w:tc>
          <w:tcPr>
            <w:tcW w:w="1134" w:type="dxa"/>
          </w:tcPr>
          <w:p w14:paraId="0786EA15" w14:textId="77777777" w:rsidR="00653571" w:rsidRPr="008C5F1C" w:rsidRDefault="00653571" w:rsidP="00313EC5">
            <w:pPr>
              <w:spacing w:after="120"/>
              <w:rPr>
                <w:rFonts w:ascii="Times New Roman" w:eastAsia="Calibri" w:hAnsi="Times New Roman" w:cs="Times New Roman"/>
                <w:noProof/>
                <w:sz w:val="16"/>
                <w:szCs w:val="16"/>
              </w:rPr>
            </w:pPr>
          </w:p>
        </w:tc>
        <w:tc>
          <w:tcPr>
            <w:tcW w:w="992" w:type="dxa"/>
          </w:tcPr>
          <w:p w14:paraId="5DCECF6A" w14:textId="77777777" w:rsidR="00653571" w:rsidRPr="008C5F1C" w:rsidRDefault="00653571" w:rsidP="00313EC5">
            <w:pPr>
              <w:spacing w:after="120"/>
              <w:rPr>
                <w:rFonts w:ascii="Times New Roman" w:eastAsia="Calibri" w:hAnsi="Times New Roman" w:cs="Times New Roman"/>
                <w:noProof/>
                <w:sz w:val="16"/>
                <w:szCs w:val="16"/>
              </w:rPr>
            </w:pPr>
          </w:p>
        </w:tc>
        <w:tc>
          <w:tcPr>
            <w:tcW w:w="709" w:type="dxa"/>
          </w:tcPr>
          <w:p w14:paraId="61F800A7" w14:textId="77777777" w:rsidR="00653571" w:rsidRPr="008C5F1C" w:rsidRDefault="00653571" w:rsidP="00313EC5">
            <w:pPr>
              <w:spacing w:after="120"/>
              <w:rPr>
                <w:rFonts w:ascii="Times New Roman" w:eastAsia="Calibri" w:hAnsi="Times New Roman" w:cs="Times New Roman"/>
                <w:noProof/>
                <w:sz w:val="16"/>
                <w:szCs w:val="16"/>
              </w:rPr>
            </w:pPr>
          </w:p>
        </w:tc>
        <w:tc>
          <w:tcPr>
            <w:tcW w:w="708" w:type="dxa"/>
          </w:tcPr>
          <w:p w14:paraId="023DFD22" w14:textId="77777777" w:rsidR="00653571" w:rsidRPr="008C5F1C" w:rsidRDefault="00653571" w:rsidP="00313EC5">
            <w:pPr>
              <w:spacing w:after="120"/>
              <w:rPr>
                <w:rFonts w:ascii="Times New Roman" w:eastAsia="Calibri" w:hAnsi="Times New Roman" w:cs="Times New Roman"/>
                <w:noProof/>
                <w:sz w:val="16"/>
                <w:szCs w:val="16"/>
              </w:rPr>
            </w:pPr>
          </w:p>
        </w:tc>
        <w:tc>
          <w:tcPr>
            <w:tcW w:w="1276" w:type="dxa"/>
          </w:tcPr>
          <w:p w14:paraId="1F24BB80" w14:textId="77777777" w:rsidR="00653571" w:rsidRPr="008C5F1C" w:rsidRDefault="00653571" w:rsidP="00313EC5">
            <w:pPr>
              <w:spacing w:after="120"/>
              <w:rPr>
                <w:rFonts w:ascii="Times New Roman" w:eastAsia="Calibri" w:hAnsi="Times New Roman" w:cs="Times New Roman"/>
                <w:noProof/>
                <w:sz w:val="16"/>
                <w:szCs w:val="16"/>
              </w:rPr>
            </w:pPr>
          </w:p>
        </w:tc>
        <w:tc>
          <w:tcPr>
            <w:tcW w:w="2447" w:type="dxa"/>
          </w:tcPr>
          <w:p w14:paraId="5F39CF2E" w14:textId="77777777" w:rsidR="00653571" w:rsidRPr="008C5F1C" w:rsidRDefault="00653571" w:rsidP="00313EC5">
            <w:pPr>
              <w:spacing w:after="120"/>
              <w:rPr>
                <w:rFonts w:ascii="Times New Roman" w:eastAsia="Calibri" w:hAnsi="Times New Roman" w:cs="Times New Roman"/>
                <w:noProof/>
                <w:sz w:val="16"/>
                <w:szCs w:val="16"/>
              </w:rPr>
            </w:pPr>
          </w:p>
        </w:tc>
      </w:tr>
      <w:tr w:rsidR="00653571" w:rsidRPr="008C5F1C" w14:paraId="52E07252" w14:textId="77777777" w:rsidTr="00313EC5">
        <w:trPr>
          <w:jc w:val="center"/>
        </w:trPr>
        <w:tc>
          <w:tcPr>
            <w:tcW w:w="2762" w:type="dxa"/>
            <w:gridSpan w:val="2"/>
            <w:vMerge/>
          </w:tcPr>
          <w:p w14:paraId="42E0BE16" w14:textId="77777777" w:rsidR="00653571" w:rsidRPr="008C5F1C" w:rsidRDefault="00653571" w:rsidP="00313EC5">
            <w:pPr>
              <w:spacing w:after="120"/>
              <w:rPr>
                <w:rFonts w:ascii="Times New Roman" w:eastAsia="Calibri" w:hAnsi="Times New Roman" w:cs="Times New Roman"/>
                <w:noProof/>
                <w:sz w:val="16"/>
                <w:szCs w:val="16"/>
              </w:rPr>
            </w:pPr>
          </w:p>
        </w:tc>
        <w:tc>
          <w:tcPr>
            <w:tcW w:w="1984" w:type="dxa"/>
            <w:shd w:val="clear" w:color="auto" w:fill="7F7F7F" w:themeFill="text1" w:themeFillTint="80"/>
          </w:tcPr>
          <w:p w14:paraId="42E9180D" w14:textId="77777777" w:rsidR="00653571" w:rsidRPr="008C5F1C" w:rsidRDefault="00653571" w:rsidP="00313EC5">
            <w:pPr>
              <w:spacing w:after="120"/>
              <w:rPr>
                <w:rFonts w:ascii="Times New Roman" w:eastAsia="Calibri" w:hAnsi="Times New Roman" w:cs="Times New Roman"/>
                <w:noProof/>
                <w:sz w:val="16"/>
                <w:szCs w:val="16"/>
              </w:rPr>
            </w:pPr>
          </w:p>
        </w:tc>
        <w:tc>
          <w:tcPr>
            <w:tcW w:w="1701" w:type="dxa"/>
            <w:shd w:val="clear" w:color="auto" w:fill="7F7F7F" w:themeFill="text1" w:themeFillTint="80"/>
          </w:tcPr>
          <w:p w14:paraId="034C7E32" w14:textId="77777777" w:rsidR="00653571" w:rsidRPr="008C5F1C" w:rsidRDefault="00653571" w:rsidP="00313EC5">
            <w:pPr>
              <w:spacing w:after="120"/>
              <w:rPr>
                <w:rFonts w:ascii="Times New Roman" w:eastAsia="Calibri" w:hAnsi="Times New Roman" w:cs="Times New Roman"/>
                <w:noProof/>
                <w:sz w:val="16"/>
                <w:szCs w:val="16"/>
              </w:rPr>
            </w:pPr>
          </w:p>
        </w:tc>
        <w:tc>
          <w:tcPr>
            <w:tcW w:w="1418" w:type="dxa"/>
          </w:tcPr>
          <w:p w14:paraId="289204FB"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Less developed</w:t>
            </w:r>
          </w:p>
        </w:tc>
        <w:tc>
          <w:tcPr>
            <w:tcW w:w="1134" w:type="dxa"/>
          </w:tcPr>
          <w:p w14:paraId="04D5C93C" w14:textId="77777777" w:rsidR="00653571" w:rsidRPr="008C5F1C" w:rsidRDefault="00653571" w:rsidP="00313EC5">
            <w:pPr>
              <w:spacing w:after="120"/>
              <w:rPr>
                <w:rFonts w:ascii="Times New Roman" w:eastAsia="Calibri" w:hAnsi="Times New Roman" w:cs="Times New Roman"/>
                <w:noProof/>
                <w:sz w:val="16"/>
                <w:szCs w:val="16"/>
              </w:rPr>
            </w:pPr>
          </w:p>
        </w:tc>
        <w:tc>
          <w:tcPr>
            <w:tcW w:w="992" w:type="dxa"/>
          </w:tcPr>
          <w:p w14:paraId="1895C82F" w14:textId="77777777" w:rsidR="00653571" w:rsidRPr="008C5F1C" w:rsidRDefault="00653571" w:rsidP="00313EC5">
            <w:pPr>
              <w:spacing w:after="120"/>
              <w:rPr>
                <w:rFonts w:ascii="Times New Roman" w:eastAsia="Calibri" w:hAnsi="Times New Roman" w:cs="Times New Roman"/>
                <w:noProof/>
                <w:sz w:val="16"/>
                <w:szCs w:val="16"/>
              </w:rPr>
            </w:pPr>
          </w:p>
        </w:tc>
        <w:tc>
          <w:tcPr>
            <w:tcW w:w="709" w:type="dxa"/>
          </w:tcPr>
          <w:p w14:paraId="452D6E31" w14:textId="77777777" w:rsidR="00653571" w:rsidRPr="008C5F1C" w:rsidRDefault="00653571" w:rsidP="00313EC5">
            <w:pPr>
              <w:spacing w:after="120"/>
              <w:rPr>
                <w:rFonts w:ascii="Times New Roman" w:eastAsia="Calibri" w:hAnsi="Times New Roman" w:cs="Times New Roman"/>
                <w:noProof/>
                <w:sz w:val="16"/>
                <w:szCs w:val="16"/>
              </w:rPr>
            </w:pPr>
          </w:p>
        </w:tc>
        <w:tc>
          <w:tcPr>
            <w:tcW w:w="708" w:type="dxa"/>
          </w:tcPr>
          <w:p w14:paraId="7AE933B3" w14:textId="77777777" w:rsidR="00653571" w:rsidRPr="008C5F1C" w:rsidRDefault="00653571" w:rsidP="00313EC5">
            <w:pPr>
              <w:spacing w:after="120"/>
              <w:rPr>
                <w:rFonts w:ascii="Times New Roman" w:eastAsia="Calibri" w:hAnsi="Times New Roman" w:cs="Times New Roman"/>
                <w:noProof/>
                <w:sz w:val="16"/>
                <w:szCs w:val="16"/>
              </w:rPr>
            </w:pPr>
          </w:p>
        </w:tc>
        <w:tc>
          <w:tcPr>
            <w:tcW w:w="1276" w:type="dxa"/>
          </w:tcPr>
          <w:p w14:paraId="5F715B6D" w14:textId="77777777" w:rsidR="00653571" w:rsidRPr="008C5F1C" w:rsidRDefault="00653571" w:rsidP="00313EC5">
            <w:pPr>
              <w:spacing w:after="120"/>
              <w:rPr>
                <w:rFonts w:ascii="Times New Roman" w:eastAsia="Calibri" w:hAnsi="Times New Roman" w:cs="Times New Roman"/>
                <w:noProof/>
                <w:sz w:val="16"/>
                <w:szCs w:val="16"/>
              </w:rPr>
            </w:pPr>
          </w:p>
        </w:tc>
        <w:tc>
          <w:tcPr>
            <w:tcW w:w="2447" w:type="dxa"/>
          </w:tcPr>
          <w:p w14:paraId="1ACD591D" w14:textId="77777777" w:rsidR="00653571" w:rsidRPr="008C5F1C" w:rsidRDefault="00653571" w:rsidP="00313EC5">
            <w:pPr>
              <w:spacing w:after="120"/>
              <w:rPr>
                <w:rFonts w:ascii="Times New Roman" w:eastAsia="Calibri" w:hAnsi="Times New Roman" w:cs="Times New Roman"/>
                <w:noProof/>
                <w:sz w:val="16"/>
                <w:szCs w:val="16"/>
              </w:rPr>
            </w:pPr>
          </w:p>
        </w:tc>
      </w:tr>
      <w:tr w:rsidR="00653571" w:rsidRPr="008C5F1C" w14:paraId="33DBFFED" w14:textId="77777777" w:rsidTr="00313EC5">
        <w:trPr>
          <w:jc w:val="center"/>
        </w:trPr>
        <w:tc>
          <w:tcPr>
            <w:tcW w:w="2762" w:type="dxa"/>
            <w:gridSpan w:val="2"/>
            <w:vMerge/>
          </w:tcPr>
          <w:p w14:paraId="078E83E4" w14:textId="77777777" w:rsidR="00653571" w:rsidRPr="008C5F1C" w:rsidRDefault="00653571" w:rsidP="00313EC5">
            <w:pPr>
              <w:spacing w:after="120"/>
              <w:rPr>
                <w:rFonts w:ascii="Times New Roman" w:eastAsia="Calibri" w:hAnsi="Times New Roman" w:cs="Times New Roman"/>
                <w:noProof/>
                <w:sz w:val="16"/>
                <w:szCs w:val="16"/>
              </w:rPr>
            </w:pPr>
          </w:p>
        </w:tc>
        <w:tc>
          <w:tcPr>
            <w:tcW w:w="1984" w:type="dxa"/>
            <w:shd w:val="clear" w:color="auto" w:fill="7F7F7F" w:themeFill="text1" w:themeFillTint="80"/>
          </w:tcPr>
          <w:p w14:paraId="01667BFA" w14:textId="77777777" w:rsidR="00653571" w:rsidRPr="008C5F1C" w:rsidRDefault="00653571" w:rsidP="00313EC5">
            <w:pPr>
              <w:spacing w:after="120"/>
              <w:rPr>
                <w:rFonts w:ascii="Times New Roman" w:eastAsia="Calibri" w:hAnsi="Times New Roman" w:cs="Times New Roman"/>
                <w:noProof/>
                <w:sz w:val="16"/>
                <w:szCs w:val="16"/>
              </w:rPr>
            </w:pPr>
          </w:p>
        </w:tc>
        <w:tc>
          <w:tcPr>
            <w:tcW w:w="1701" w:type="dxa"/>
            <w:shd w:val="clear" w:color="auto" w:fill="7F7F7F" w:themeFill="text1" w:themeFillTint="80"/>
          </w:tcPr>
          <w:p w14:paraId="53AED77F" w14:textId="77777777" w:rsidR="00653571" w:rsidRPr="008C5F1C" w:rsidRDefault="00653571" w:rsidP="00313EC5">
            <w:pPr>
              <w:spacing w:after="120"/>
              <w:rPr>
                <w:rFonts w:ascii="Times New Roman" w:eastAsia="Calibri" w:hAnsi="Times New Roman" w:cs="Times New Roman"/>
                <w:noProof/>
                <w:sz w:val="16"/>
                <w:szCs w:val="16"/>
              </w:rPr>
            </w:pPr>
          </w:p>
        </w:tc>
        <w:tc>
          <w:tcPr>
            <w:tcW w:w="1418" w:type="dxa"/>
          </w:tcPr>
          <w:p w14:paraId="758E0D62"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Special allocation for outermost and northern sparsely populated regions</w:t>
            </w:r>
          </w:p>
        </w:tc>
        <w:tc>
          <w:tcPr>
            <w:tcW w:w="1134" w:type="dxa"/>
          </w:tcPr>
          <w:p w14:paraId="65A463A2" w14:textId="77777777" w:rsidR="00653571" w:rsidRPr="008C5F1C" w:rsidRDefault="00653571" w:rsidP="00313EC5">
            <w:pPr>
              <w:spacing w:after="120"/>
              <w:rPr>
                <w:rFonts w:ascii="Times New Roman" w:eastAsia="Calibri" w:hAnsi="Times New Roman" w:cs="Times New Roman"/>
                <w:noProof/>
                <w:sz w:val="16"/>
                <w:szCs w:val="16"/>
              </w:rPr>
            </w:pPr>
          </w:p>
        </w:tc>
        <w:tc>
          <w:tcPr>
            <w:tcW w:w="992" w:type="dxa"/>
          </w:tcPr>
          <w:p w14:paraId="6E8F2194" w14:textId="77777777" w:rsidR="00653571" w:rsidRPr="008C5F1C" w:rsidRDefault="00653571" w:rsidP="00313EC5">
            <w:pPr>
              <w:spacing w:after="120"/>
              <w:rPr>
                <w:rFonts w:ascii="Times New Roman" w:eastAsia="Calibri" w:hAnsi="Times New Roman" w:cs="Times New Roman"/>
                <w:noProof/>
                <w:sz w:val="16"/>
                <w:szCs w:val="16"/>
              </w:rPr>
            </w:pPr>
          </w:p>
        </w:tc>
        <w:tc>
          <w:tcPr>
            <w:tcW w:w="709" w:type="dxa"/>
          </w:tcPr>
          <w:p w14:paraId="040821E8" w14:textId="77777777" w:rsidR="00653571" w:rsidRPr="008C5F1C" w:rsidRDefault="00653571" w:rsidP="00313EC5">
            <w:pPr>
              <w:spacing w:after="120"/>
              <w:rPr>
                <w:rFonts w:ascii="Times New Roman" w:eastAsia="Calibri" w:hAnsi="Times New Roman" w:cs="Times New Roman"/>
                <w:noProof/>
                <w:sz w:val="16"/>
                <w:szCs w:val="16"/>
              </w:rPr>
            </w:pPr>
          </w:p>
        </w:tc>
        <w:tc>
          <w:tcPr>
            <w:tcW w:w="708" w:type="dxa"/>
          </w:tcPr>
          <w:p w14:paraId="47096D90" w14:textId="77777777" w:rsidR="00653571" w:rsidRPr="008C5F1C" w:rsidRDefault="00653571" w:rsidP="00313EC5">
            <w:pPr>
              <w:spacing w:after="120"/>
              <w:rPr>
                <w:rFonts w:ascii="Times New Roman" w:eastAsia="Calibri" w:hAnsi="Times New Roman" w:cs="Times New Roman"/>
                <w:noProof/>
                <w:sz w:val="16"/>
                <w:szCs w:val="16"/>
              </w:rPr>
            </w:pPr>
          </w:p>
        </w:tc>
        <w:tc>
          <w:tcPr>
            <w:tcW w:w="1276" w:type="dxa"/>
          </w:tcPr>
          <w:p w14:paraId="4FBD1490" w14:textId="77777777" w:rsidR="00653571" w:rsidRPr="008C5F1C" w:rsidRDefault="00653571" w:rsidP="00313EC5">
            <w:pPr>
              <w:spacing w:after="120"/>
              <w:rPr>
                <w:rFonts w:ascii="Times New Roman" w:eastAsia="Calibri" w:hAnsi="Times New Roman" w:cs="Times New Roman"/>
                <w:noProof/>
                <w:sz w:val="16"/>
                <w:szCs w:val="16"/>
              </w:rPr>
            </w:pPr>
          </w:p>
        </w:tc>
        <w:tc>
          <w:tcPr>
            <w:tcW w:w="2447" w:type="dxa"/>
          </w:tcPr>
          <w:p w14:paraId="23CABDB1" w14:textId="77777777" w:rsidR="00653571" w:rsidRPr="008C5F1C" w:rsidRDefault="00653571" w:rsidP="00313EC5">
            <w:pPr>
              <w:spacing w:after="120"/>
              <w:rPr>
                <w:rFonts w:ascii="Times New Roman" w:eastAsia="Calibri" w:hAnsi="Times New Roman" w:cs="Times New Roman"/>
                <w:noProof/>
                <w:sz w:val="16"/>
                <w:szCs w:val="16"/>
              </w:rPr>
            </w:pPr>
          </w:p>
        </w:tc>
      </w:tr>
      <w:tr w:rsidR="00653571" w:rsidRPr="008C5F1C" w14:paraId="631E8FEF" w14:textId="77777777" w:rsidTr="00313EC5">
        <w:trPr>
          <w:jc w:val="center"/>
        </w:trPr>
        <w:tc>
          <w:tcPr>
            <w:tcW w:w="2762" w:type="dxa"/>
            <w:gridSpan w:val="2"/>
            <w:vMerge w:val="restart"/>
          </w:tcPr>
          <w:p w14:paraId="19F5EBA9"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Total ESF+</w:t>
            </w:r>
          </w:p>
          <w:p w14:paraId="0A5E6D97" w14:textId="77777777" w:rsidR="00653571" w:rsidRPr="008C5F1C" w:rsidRDefault="00653571" w:rsidP="00313EC5">
            <w:pPr>
              <w:spacing w:after="120"/>
              <w:rPr>
                <w:rFonts w:ascii="Times New Roman" w:eastAsia="Calibri" w:hAnsi="Times New Roman" w:cs="Times New Roman"/>
                <w:noProof/>
                <w:sz w:val="16"/>
                <w:szCs w:val="16"/>
              </w:rPr>
            </w:pPr>
          </w:p>
        </w:tc>
        <w:tc>
          <w:tcPr>
            <w:tcW w:w="1984" w:type="dxa"/>
            <w:shd w:val="clear" w:color="auto" w:fill="7F7F7F" w:themeFill="text1" w:themeFillTint="80"/>
          </w:tcPr>
          <w:p w14:paraId="639F005C" w14:textId="77777777" w:rsidR="00653571" w:rsidRPr="008C5F1C" w:rsidRDefault="00653571" w:rsidP="00313EC5">
            <w:pPr>
              <w:spacing w:after="120"/>
              <w:rPr>
                <w:rFonts w:ascii="Times New Roman" w:eastAsia="Calibri" w:hAnsi="Times New Roman" w:cs="Times New Roman"/>
                <w:noProof/>
                <w:sz w:val="16"/>
                <w:szCs w:val="16"/>
              </w:rPr>
            </w:pPr>
          </w:p>
        </w:tc>
        <w:tc>
          <w:tcPr>
            <w:tcW w:w="1701" w:type="dxa"/>
            <w:shd w:val="clear" w:color="auto" w:fill="7F7F7F" w:themeFill="text1" w:themeFillTint="80"/>
          </w:tcPr>
          <w:p w14:paraId="65DDC6B3" w14:textId="77777777" w:rsidR="00653571" w:rsidRPr="008C5F1C" w:rsidRDefault="00653571" w:rsidP="00313EC5">
            <w:pPr>
              <w:spacing w:after="120"/>
              <w:rPr>
                <w:rFonts w:ascii="Times New Roman" w:eastAsia="Calibri" w:hAnsi="Times New Roman" w:cs="Times New Roman"/>
                <w:noProof/>
                <w:sz w:val="16"/>
                <w:szCs w:val="16"/>
              </w:rPr>
            </w:pPr>
          </w:p>
        </w:tc>
        <w:tc>
          <w:tcPr>
            <w:tcW w:w="1418" w:type="dxa"/>
          </w:tcPr>
          <w:p w14:paraId="081CB5D8"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More developed</w:t>
            </w:r>
          </w:p>
        </w:tc>
        <w:tc>
          <w:tcPr>
            <w:tcW w:w="1134" w:type="dxa"/>
          </w:tcPr>
          <w:p w14:paraId="5078D9C3" w14:textId="77777777" w:rsidR="00653571" w:rsidRPr="008C5F1C" w:rsidRDefault="00653571" w:rsidP="00313EC5">
            <w:pPr>
              <w:spacing w:after="120"/>
              <w:rPr>
                <w:rFonts w:ascii="Times New Roman" w:eastAsia="Calibri" w:hAnsi="Times New Roman" w:cs="Times New Roman"/>
                <w:noProof/>
                <w:sz w:val="16"/>
                <w:szCs w:val="16"/>
              </w:rPr>
            </w:pPr>
          </w:p>
        </w:tc>
        <w:tc>
          <w:tcPr>
            <w:tcW w:w="992" w:type="dxa"/>
          </w:tcPr>
          <w:p w14:paraId="4746F3D1" w14:textId="77777777" w:rsidR="00653571" w:rsidRPr="008C5F1C" w:rsidRDefault="00653571" w:rsidP="00313EC5">
            <w:pPr>
              <w:spacing w:after="120"/>
              <w:rPr>
                <w:rFonts w:ascii="Times New Roman" w:eastAsia="Calibri" w:hAnsi="Times New Roman" w:cs="Times New Roman"/>
                <w:noProof/>
                <w:sz w:val="16"/>
                <w:szCs w:val="16"/>
              </w:rPr>
            </w:pPr>
          </w:p>
        </w:tc>
        <w:tc>
          <w:tcPr>
            <w:tcW w:w="709" w:type="dxa"/>
          </w:tcPr>
          <w:p w14:paraId="08047AF0" w14:textId="77777777" w:rsidR="00653571" w:rsidRPr="008C5F1C" w:rsidRDefault="00653571" w:rsidP="00313EC5">
            <w:pPr>
              <w:spacing w:after="120"/>
              <w:rPr>
                <w:rFonts w:ascii="Times New Roman" w:eastAsia="Calibri" w:hAnsi="Times New Roman" w:cs="Times New Roman"/>
                <w:noProof/>
                <w:sz w:val="16"/>
                <w:szCs w:val="16"/>
              </w:rPr>
            </w:pPr>
          </w:p>
        </w:tc>
        <w:tc>
          <w:tcPr>
            <w:tcW w:w="708" w:type="dxa"/>
          </w:tcPr>
          <w:p w14:paraId="2EECECC8" w14:textId="77777777" w:rsidR="00653571" w:rsidRPr="008C5F1C" w:rsidRDefault="00653571" w:rsidP="00313EC5">
            <w:pPr>
              <w:spacing w:after="120"/>
              <w:rPr>
                <w:rFonts w:ascii="Times New Roman" w:eastAsia="Calibri" w:hAnsi="Times New Roman" w:cs="Times New Roman"/>
                <w:noProof/>
                <w:sz w:val="16"/>
                <w:szCs w:val="16"/>
              </w:rPr>
            </w:pPr>
          </w:p>
        </w:tc>
        <w:tc>
          <w:tcPr>
            <w:tcW w:w="1276" w:type="dxa"/>
          </w:tcPr>
          <w:p w14:paraId="524472D9" w14:textId="77777777" w:rsidR="00653571" w:rsidRPr="008C5F1C" w:rsidRDefault="00653571" w:rsidP="00313EC5">
            <w:pPr>
              <w:spacing w:after="120"/>
              <w:rPr>
                <w:rFonts w:ascii="Times New Roman" w:eastAsia="Calibri" w:hAnsi="Times New Roman" w:cs="Times New Roman"/>
                <w:noProof/>
                <w:sz w:val="16"/>
                <w:szCs w:val="16"/>
              </w:rPr>
            </w:pPr>
          </w:p>
        </w:tc>
        <w:tc>
          <w:tcPr>
            <w:tcW w:w="2447" w:type="dxa"/>
          </w:tcPr>
          <w:p w14:paraId="26F6BF88" w14:textId="77777777" w:rsidR="00653571" w:rsidRPr="008C5F1C" w:rsidRDefault="00653571" w:rsidP="00313EC5">
            <w:pPr>
              <w:spacing w:after="120"/>
              <w:rPr>
                <w:rFonts w:ascii="Times New Roman" w:eastAsia="Calibri" w:hAnsi="Times New Roman" w:cs="Times New Roman"/>
                <w:noProof/>
                <w:sz w:val="16"/>
                <w:szCs w:val="16"/>
              </w:rPr>
            </w:pPr>
          </w:p>
        </w:tc>
      </w:tr>
      <w:tr w:rsidR="00653571" w:rsidRPr="008C5F1C" w14:paraId="074103DD" w14:textId="77777777" w:rsidTr="00313EC5">
        <w:trPr>
          <w:jc w:val="center"/>
        </w:trPr>
        <w:tc>
          <w:tcPr>
            <w:tcW w:w="2762" w:type="dxa"/>
            <w:gridSpan w:val="2"/>
            <w:vMerge/>
          </w:tcPr>
          <w:p w14:paraId="2684A143" w14:textId="77777777" w:rsidR="00653571" w:rsidRPr="008C5F1C" w:rsidRDefault="00653571" w:rsidP="00313EC5">
            <w:pPr>
              <w:spacing w:after="120"/>
              <w:rPr>
                <w:rFonts w:ascii="Times New Roman" w:eastAsia="Calibri" w:hAnsi="Times New Roman" w:cs="Times New Roman"/>
                <w:noProof/>
                <w:sz w:val="16"/>
                <w:szCs w:val="16"/>
              </w:rPr>
            </w:pPr>
          </w:p>
        </w:tc>
        <w:tc>
          <w:tcPr>
            <w:tcW w:w="1984" w:type="dxa"/>
            <w:shd w:val="clear" w:color="auto" w:fill="7F7F7F" w:themeFill="text1" w:themeFillTint="80"/>
          </w:tcPr>
          <w:p w14:paraId="492B4E39" w14:textId="77777777" w:rsidR="00653571" w:rsidRPr="008C5F1C" w:rsidRDefault="00653571" w:rsidP="00313EC5">
            <w:pPr>
              <w:spacing w:after="120"/>
              <w:rPr>
                <w:rFonts w:ascii="Times New Roman" w:eastAsia="Calibri" w:hAnsi="Times New Roman" w:cs="Times New Roman"/>
                <w:noProof/>
                <w:sz w:val="16"/>
                <w:szCs w:val="16"/>
              </w:rPr>
            </w:pPr>
          </w:p>
        </w:tc>
        <w:tc>
          <w:tcPr>
            <w:tcW w:w="1701" w:type="dxa"/>
            <w:shd w:val="clear" w:color="auto" w:fill="7F7F7F" w:themeFill="text1" w:themeFillTint="80"/>
          </w:tcPr>
          <w:p w14:paraId="1D64B41B" w14:textId="77777777" w:rsidR="00653571" w:rsidRPr="008C5F1C" w:rsidRDefault="00653571" w:rsidP="00313EC5">
            <w:pPr>
              <w:spacing w:after="120"/>
              <w:rPr>
                <w:rFonts w:ascii="Times New Roman" w:eastAsia="Calibri" w:hAnsi="Times New Roman" w:cs="Times New Roman"/>
                <w:noProof/>
                <w:sz w:val="16"/>
                <w:szCs w:val="16"/>
              </w:rPr>
            </w:pPr>
          </w:p>
        </w:tc>
        <w:tc>
          <w:tcPr>
            <w:tcW w:w="1418" w:type="dxa"/>
          </w:tcPr>
          <w:p w14:paraId="3B5E29A7"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Transition</w:t>
            </w:r>
          </w:p>
        </w:tc>
        <w:tc>
          <w:tcPr>
            <w:tcW w:w="1134" w:type="dxa"/>
          </w:tcPr>
          <w:p w14:paraId="2670CE33" w14:textId="77777777" w:rsidR="00653571" w:rsidRPr="008C5F1C" w:rsidRDefault="00653571" w:rsidP="00313EC5">
            <w:pPr>
              <w:spacing w:after="120"/>
              <w:rPr>
                <w:rFonts w:ascii="Times New Roman" w:eastAsia="Calibri" w:hAnsi="Times New Roman" w:cs="Times New Roman"/>
                <w:noProof/>
                <w:sz w:val="16"/>
                <w:szCs w:val="16"/>
              </w:rPr>
            </w:pPr>
          </w:p>
        </w:tc>
        <w:tc>
          <w:tcPr>
            <w:tcW w:w="992" w:type="dxa"/>
          </w:tcPr>
          <w:p w14:paraId="50A34EE5" w14:textId="77777777" w:rsidR="00653571" w:rsidRPr="008C5F1C" w:rsidRDefault="00653571" w:rsidP="00313EC5">
            <w:pPr>
              <w:spacing w:after="120"/>
              <w:rPr>
                <w:rFonts w:ascii="Times New Roman" w:eastAsia="Calibri" w:hAnsi="Times New Roman" w:cs="Times New Roman"/>
                <w:noProof/>
                <w:sz w:val="16"/>
                <w:szCs w:val="16"/>
              </w:rPr>
            </w:pPr>
          </w:p>
        </w:tc>
        <w:tc>
          <w:tcPr>
            <w:tcW w:w="709" w:type="dxa"/>
          </w:tcPr>
          <w:p w14:paraId="24169543" w14:textId="77777777" w:rsidR="00653571" w:rsidRPr="008C5F1C" w:rsidRDefault="00653571" w:rsidP="00313EC5">
            <w:pPr>
              <w:spacing w:after="120"/>
              <w:rPr>
                <w:rFonts w:ascii="Times New Roman" w:eastAsia="Calibri" w:hAnsi="Times New Roman" w:cs="Times New Roman"/>
                <w:noProof/>
                <w:sz w:val="16"/>
                <w:szCs w:val="16"/>
              </w:rPr>
            </w:pPr>
          </w:p>
        </w:tc>
        <w:tc>
          <w:tcPr>
            <w:tcW w:w="708" w:type="dxa"/>
          </w:tcPr>
          <w:p w14:paraId="1168FEAA" w14:textId="77777777" w:rsidR="00653571" w:rsidRPr="008C5F1C" w:rsidRDefault="00653571" w:rsidP="00313EC5">
            <w:pPr>
              <w:spacing w:after="120"/>
              <w:rPr>
                <w:rFonts w:ascii="Times New Roman" w:eastAsia="Calibri" w:hAnsi="Times New Roman" w:cs="Times New Roman"/>
                <w:noProof/>
                <w:sz w:val="16"/>
                <w:szCs w:val="16"/>
              </w:rPr>
            </w:pPr>
          </w:p>
        </w:tc>
        <w:tc>
          <w:tcPr>
            <w:tcW w:w="1276" w:type="dxa"/>
          </w:tcPr>
          <w:p w14:paraId="03FE72A3" w14:textId="77777777" w:rsidR="00653571" w:rsidRPr="008C5F1C" w:rsidRDefault="00653571" w:rsidP="00313EC5">
            <w:pPr>
              <w:spacing w:after="120"/>
              <w:rPr>
                <w:rFonts w:ascii="Times New Roman" w:eastAsia="Calibri" w:hAnsi="Times New Roman" w:cs="Times New Roman"/>
                <w:noProof/>
                <w:sz w:val="16"/>
                <w:szCs w:val="16"/>
              </w:rPr>
            </w:pPr>
          </w:p>
        </w:tc>
        <w:tc>
          <w:tcPr>
            <w:tcW w:w="2447" w:type="dxa"/>
          </w:tcPr>
          <w:p w14:paraId="53809781" w14:textId="77777777" w:rsidR="00653571" w:rsidRPr="008C5F1C" w:rsidRDefault="00653571" w:rsidP="00313EC5">
            <w:pPr>
              <w:spacing w:after="120"/>
              <w:rPr>
                <w:rFonts w:ascii="Times New Roman" w:eastAsia="Calibri" w:hAnsi="Times New Roman" w:cs="Times New Roman"/>
                <w:noProof/>
                <w:sz w:val="16"/>
                <w:szCs w:val="16"/>
              </w:rPr>
            </w:pPr>
          </w:p>
        </w:tc>
      </w:tr>
      <w:tr w:rsidR="00653571" w:rsidRPr="008C5F1C" w14:paraId="7AA40F9E" w14:textId="77777777" w:rsidTr="00313EC5">
        <w:trPr>
          <w:jc w:val="center"/>
        </w:trPr>
        <w:tc>
          <w:tcPr>
            <w:tcW w:w="2762" w:type="dxa"/>
            <w:gridSpan w:val="2"/>
            <w:vMerge/>
          </w:tcPr>
          <w:p w14:paraId="643DDA26" w14:textId="77777777" w:rsidR="00653571" w:rsidRPr="008C5F1C" w:rsidRDefault="00653571" w:rsidP="00313EC5">
            <w:pPr>
              <w:spacing w:after="120"/>
              <w:rPr>
                <w:rFonts w:ascii="Times New Roman" w:eastAsia="Calibri" w:hAnsi="Times New Roman" w:cs="Times New Roman"/>
                <w:noProof/>
                <w:sz w:val="16"/>
                <w:szCs w:val="16"/>
              </w:rPr>
            </w:pPr>
          </w:p>
        </w:tc>
        <w:tc>
          <w:tcPr>
            <w:tcW w:w="1984" w:type="dxa"/>
            <w:shd w:val="clear" w:color="auto" w:fill="7F7F7F" w:themeFill="text1" w:themeFillTint="80"/>
          </w:tcPr>
          <w:p w14:paraId="33E6CBBB" w14:textId="77777777" w:rsidR="00653571" w:rsidRPr="008C5F1C" w:rsidRDefault="00653571" w:rsidP="00313EC5">
            <w:pPr>
              <w:spacing w:after="120"/>
              <w:rPr>
                <w:rFonts w:ascii="Times New Roman" w:eastAsia="Calibri" w:hAnsi="Times New Roman" w:cs="Times New Roman"/>
                <w:noProof/>
                <w:sz w:val="16"/>
                <w:szCs w:val="16"/>
              </w:rPr>
            </w:pPr>
          </w:p>
        </w:tc>
        <w:tc>
          <w:tcPr>
            <w:tcW w:w="1701" w:type="dxa"/>
            <w:shd w:val="clear" w:color="auto" w:fill="7F7F7F" w:themeFill="text1" w:themeFillTint="80"/>
          </w:tcPr>
          <w:p w14:paraId="38229C4D" w14:textId="77777777" w:rsidR="00653571" w:rsidRPr="008C5F1C" w:rsidRDefault="00653571" w:rsidP="00313EC5">
            <w:pPr>
              <w:spacing w:after="120"/>
              <w:rPr>
                <w:rFonts w:ascii="Times New Roman" w:eastAsia="Calibri" w:hAnsi="Times New Roman" w:cs="Times New Roman"/>
                <w:noProof/>
                <w:sz w:val="16"/>
                <w:szCs w:val="16"/>
              </w:rPr>
            </w:pPr>
          </w:p>
        </w:tc>
        <w:tc>
          <w:tcPr>
            <w:tcW w:w="1418" w:type="dxa"/>
          </w:tcPr>
          <w:p w14:paraId="22D307DF"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Less developed</w:t>
            </w:r>
          </w:p>
        </w:tc>
        <w:tc>
          <w:tcPr>
            <w:tcW w:w="1134" w:type="dxa"/>
          </w:tcPr>
          <w:p w14:paraId="14E1BDF2" w14:textId="77777777" w:rsidR="00653571" w:rsidRPr="008C5F1C" w:rsidRDefault="00653571" w:rsidP="00313EC5">
            <w:pPr>
              <w:spacing w:after="120"/>
              <w:rPr>
                <w:rFonts w:ascii="Times New Roman" w:eastAsia="Calibri" w:hAnsi="Times New Roman" w:cs="Times New Roman"/>
                <w:noProof/>
                <w:sz w:val="16"/>
                <w:szCs w:val="16"/>
              </w:rPr>
            </w:pPr>
          </w:p>
        </w:tc>
        <w:tc>
          <w:tcPr>
            <w:tcW w:w="992" w:type="dxa"/>
          </w:tcPr>
          <w:p w14:paraId="3340AEC7" w14:textId="77777777" w:rsidR="00653571" w:rsidRPr="008C5F1C" w:rsidRDefault="00653571" w:rsidP="00313EC5">
            <w:pPr>
              <w:spacing w:after="120"/>
              <w:rPr>
                <w:rFonts w:ascii="Times New Roman" w:eastAsia="Calibri" w:hAnsi="Times New Roman" w:cs="Times New Roman"/>
                <w:noProof/>
                <w:sz w:val="16"/>
                <w:szCs w:val="16"/>
              </w:rPr>
            </w:pPr>
          </w:p>
        </w:tc>
        <w:tc>
          <w:tcPr>
            <w:tcW w:w="709" w:type="dxa"/>
          </w:tcPr>
          <w:p w14:paraId="537DD52B" w14:textId="77777777" w:rsidR="00653571" w:rsidRPr="008C5F1C" w:rsidRDefault="00653571" w:rsidP="00313EC5">
            <w:pPr>
              <w:spacing w:after="120"/>
              <w:rPr>
                <w:rFonts w:ascii="Times New Roman" w:eastAsia="Calibri" w:hAnsi="Times New Roman" w:cs="Times New Roman"/>
                <w:noProof/>
                <w:sz w:val="16"/>
                <w:szCs w:val="16"/>
              </w:rPr>
            </w:pPr>
          </w:p>
        </w:tc>
        <w:tc>
          <w:tcPr>
            <w:tcW w:w="708" w:type="dxa"/>
          </w:tcPr>
          <w:p w14:paraId="1D67BA66" w14:textId="77777777" w:rsidR="00653571" w:rsidRPr="008C5F1C" w:rsidRDefault="00653571" w:rsidP="00313EC5">
            <w:pPr>
              <w:spacing w:after="120"/>
              <w:rPr>
                <w:rFonts w:ascii="Times New Roman" w:eastAsia="Calibri" w:hAnsi="Times New Roman" w:cs="Times New Roman"/>
                <w:noProof/>
                <w:sz w:val="16"/>
                <w:szCs w:val="16"/>
              </w:rPr>
            </w:pPr>
          </w:p>
        </w:tc>
        <w:tc>
          <w:tcPr>
            <w:tcW w:w="1276" w:type="dxa"/>
          </w:tcPr>
          <w:p w14:paraId="2F66A47C" w14:textId="77777777" w:rsidR="00653571" w:rsidRPr="008C5F1C" w:rsidRDefault="00653571" w:rsidP="00313EC5">
            <w:pPr>
              <w:spacing w:after="120"/>
              <w:rPr>
                <w:rFonts w:ascii="Times New Roman" w:eastAsia="Calibri" w:hAnsi="Times New Roman" w:cs="Times New Roman"/>
                <w:noProof/>
                <w:sz w:val="16"/>
                <w:szCs w:val="16"/>
              </w:rPr>
            </w:pPr>
          </w:p>
        </w:tc>
        <w:tc>
          <w:tcPr>
            <w:tcW w:w="2447" w:type="dxa"/>
          </w:tcPr>
          <w:p w14:paraId="0FC10330" w14:textId="77777777" w:rsidR="00653571" w:rsidRPr="008C5F1C" w:rsidRDefault="00653571" w:rsidP="00313EC5">
            <w:pPr>
              <w:spacing w:after="120"/>
              <w:rPr>
                <w:rFonts w:ascii="Times New Roman" w:eastAsia="Calibri" w:hAnsi="Times New Roman" w:cs="Times New Roman"/>
                <w:noProof/>
                <w:sz w:val="16"/>
                <w:szCs w:val="16"/>
              </w:rPr>
            </w:pPr>
          </w:p>
        </w:tc>
      </w:tr>
      <w:tr w:rsidR="00653571" w:rsidRPr="008C5F1C" w14:paraId="55F2BA03" w14:textId="77777777" w:rsidTr="00313EC5">
        <w:trPr>
          <w:jc w:val="center"/>
        </w:trPr>
        <w:tc>
          <w:tcPr>
            <w:tcW w:w="2762" w:type="dxa"/>
            <w:gridSpan w:val="2"/>
            <w:vMerge/>
          </w:tcPr>
          <w:p w14:paraId="02F80FAC" w14:textId="77777777" w:rsidR="00653571" w:rsidRPr="008C5F1C" w:rsidRDefault="00653571" w:rsidP="00313EC5">
            <w:pPr>
              <w:spacing w:after="120"/>
              <w:rPr>
                <w:rFonts w:ascii="Times New Roman" w:eastAsia="Calibri" w:hAnsi="Times New Roman" w:cs="Times New Roman"/>
                <w:noProof/>
                <w:sz w:val="16"/>
                <w:szCs w:val="16"/>
              </w:rPr>
            </w:pPr>
          </w:p>
        </w:tc>
        <w:tc>
          <w:tcPr>
            <w:tcW w:w="1984" w:type="dxa"/>
            <w:shd w:val="clear" w:color="auto" w:fill="7F7F7F" w:themeFill="text1" w:themeFillTint="80"/>
          </w:tcPr>
          <w:p w14:paraId="017DE2ED" w14:textId="77777777" w:rsidR="00653571" w:rsidRPr="008C5F1C" w:rsidRDefault="00653571" w:rsidP="00313EC5">
            <w:pPr>
              <w:spacing w:after="120"/>
              <w:rPr>
                <w:rFonts w:ascii="Times New Roman" w:eastAsia="Calibri" w:hAnsi="Times New Roman" w:cs="Times New Roman"/>
                <w:noProof/>
                <w:sz w:val="16"/>
                <w:szCs w:val="16"/>
              </w:rPr>
            </w:pPr>
          </w:p>
        </w:tc>
        <w:tc>
          <w:tcPr>
            <w:tcW w:w="1701" w:type="dxa"/>
            <w:shd w:val="clear" w:color="auto" w:fill="7F7F7F" w:themeFill="text1" w:themeFillTint="80"/>
          </w:tcPr>
          <w:p w14:paraId="55773C5F" w14:textId="77777777" w:rsidR="00653571" w:rsidRPr="008C5F1C" w:rsidRDefault="00653571" w:rsidP="00313EC5">
            <w:pPr>
              <w:spacing w:after="120"/>
              <w:rPr>
                <w:rFonts w:ascii="Times New Roman" w:eastAsia="Calibri" w:hAnsi="Times New Roman" w:cs="Times New Roman"/>
                <w:noProof/>
                <w:sz w:val="16"/>
                <w:szCs w:val="16"/>
              </w:rPr>
            </w:pPr>
          </w:p>
        </w:tc>
        <w:tc>
          <w:tcPr>
            <w:tcW w:w="1418" w:type="dxa"/>
          </w:tcPr>
          <w:p w14:paraId="5A53E1AB"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Outermost and northern sparsely populated regions</w:t>
            </w:r>
          </w:p>
        </w:tc>
        <w:tc>
          <w:tcPr>
            <w:tcW w:w="1134" w:type="dxa"/>
          </w:tcPr>
          <w:p w14:paraId="5F05500F" w14:textId="77777777" w:rsidR="00653571" w:rsidRPr="008C5F1C" w:rsidRDefault="00653571" w:rsidP="00313EC5">
            <w:pPr>
              <w:spacing w:after="120"/>
              <w:rPr>
                <w:rFonts w:ascii="Times New Roman" w:eastAsia="Calibri" w:hAnsi="Times New Roman" w:cs="Times New Roman"/>
                <w:noProof/>
                <w:sz w:val="16"/>
                <w:szCs w:val="16"/>
              </w:rPr>
            </w:pPr>
          </w:p>
        </w:tc>
        <w:tc>
          <w:tcPr>
            <w:tcW w:w="992" w:type="dxa"/>
          </w:tcPr>
          <w:p w14:paraId="69DD41B6" w14:textId="77777777" w:rsidR="00653571" w:rsidRPr="008C5F1C" w:rsidRDefault="00653571" w:rsidP="00313EC5">
            <w:pPr>
              <w:spacing w:after="120"/>
              <w:rPr>
                <w:rFonts w:ascii="Times New Roman" w:eastAsia="Calibri" w:hAnsi="Times New Roman" w:cs="Times New Roman"/>
                <w:noProof/>
                <w:sz w:val="16"/>
                <w:szCs w:val="16"/>
              </w:rPr>
            </w:pPr>
          </w:p>
        </w:tc>
        <w:tc>
          <w:tcPr>
            <w:tcW w:w="709" w:type="dxa"/>
          </w:tcPr>
          <w:p w14:paraId="682EE364" w14:textId="77777777" w:rsidR="00653571" w:rsidRPr="008C5F1C" w:rsidRDefault="00653571" w:rsidP="00313EC5">
            <w:pPr>
              <w:spacing w:after="120"/>
              <w:rPr>
                <w:rFonts w:ascii="Times New Roman" w:eastAsia="Calibri" w:hAnsi="Times New Roman" w:cs="Times New Roman"/>
                <w:noProof/>
                <w:sz w:val="16"/>
                <w:szCs w:val="16"/>
              </w:rPr>
            </w:pPr>
          </w:p>
        </w:tc>
        <w:tc>
          <w:tcPr>
            <w:tcW w:w="708" w:type="dxa"/>
          </w:tcPr>
          <w:p w14:paraId="69D67254" w14:textId="77777777" w:rsidR="00653571" w:rsidRPr="008C5F1C" w:rsidRDefault="00653571" w:rsidP="00313EC5">
            <w:pPr>
              <w:spacing w:after="120"/>
              <w:rPr>
                <w:rFonts w:ascii="Times New Roman" w:eastAsia="Calibri" w:hAnsi="Times New Roman" w:cs="Times New Roman"/>
                <w:noProof/>
                <w:sz w:val="16"/>
                <w:szCs w:val="16"/>
              </w:rPr>
            </w:pPr>
          </w:p>
        </w:tc>
        <w:tc>
          <w:tcPr>
            <w:tcW w:w="1276" w:type="dxa"/>
          </w:tcPr>
          <w:p w14:paraId="62ECFC25" w14:textId="77777777" w:rsidR="00653571" w:rsidRPr="008C5F1C" w:rsidRDefault="00653571" w:rsidP="00313EC5">
            <w:pPr>
              <w:spacing w:after="120"/>
              <w:rPr>
                <w:rFonts w:ascii="Times New Roman" w:eastAsia="Calibri" w:hAnsi="Times New Roman" w:cs="Times New Roman"/>
                <w:noProof/>
                <w:sz w:val="16"/>
                <w:szCs w:val="16"/>
              </w:rPr>
            </w:pPr>
          </w:p>
        </w:tc>
        <w:tc>
          <w:tcPr>
            <w:tcW w:w="2447" w:type="dxa"/>
          </w:tcPr>
          <w:p w14:paraId="38920C68" w14:textId="77777777" w:rsidR="00653571" w:rsidRPr="008C5F1C" w:rsidRDefault="00653571" w:rsidP="00313EC5">
            <w:pPr>
              <w:spacing w:after="120"/>
              <w:rPr>
                <w:rFonts w:ascii="Times New Roman" w:eastAsia="Calibri" w:hAnsi="Times New Roman" w:cs="Times New Roman"/>
                <w:noProof/>
                <w:sz w:val="16"/>
                <w:szCs w:val="16"/>
              </w:rPr>
            </w:pPr>
          </w:p>
        </w:tc>
      </w:tr>
      <w:tr w:rsidR="00653571" w:rsidRPr="008C5F1C" w14:paraId="7CA35A3E" w14:textId="77777777" w:rsidTr="00313EC5">
        <w:trPr>
          <w:jc w:val="center"/>
        </w:trPr>
        <w:tc>
          <w:tcPr>
            <w:tcW w:w="2762" w:type="dxa"/>
            <w:gridSpan w:val="2"/>
            <w:vMerge w:val="restart"/>
          </w:tcPr>
          <w:p w14:paraId="5BD6E2D3"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Total JTF</w:t>
            </w:r>
          </w:p>
          <w:p w14:paraId="5DC89B68" w14:textId="77777777" w:rsidR="00653571" w:rsidRPr="008C5F1C" w:rsidRDefault="00653571" w:rsidP="00313EC5">
            <w:pPr>
              <w:spacing w:after="120"/>
              <w:rPr>
                <w:rFonts w:ascii="Times New Roman" w:eastAsia="Calibri" w:hAnsi="Times New Roman" w:cs="Times New Roman"/>
                <w:noProof/>
                <w:sz w:val="16"/>
                <w:szCs w:val="16"/>
              </w:rPr>
            </w:pPr>
          </w:p>
        </w:tc>
        <w:tc>
          <w:tcPr>
            <w:tcW w:w="1984" w:type="dxa"/>
            <w:shd w:val="clear" w:color="auto" w:fill="7F7F7F" w:themeFill="text1" w:themeFillTint="80"/>
          </w:tcPr>
          <w:p w14:paraId="73FECE0D" w14:textId="77777777" w:rsidR="00653571" w:rsidRPr="008C5F1C" w:rsidRDefault="00653571" w:rsidP="00313EC5">
            <w:pPr>
              <w:spacing w:after="120"/>
              <w:rPr>
                <w:rFonts w:ascii="Times New Roman" w:eastAsia="Calibri" w:hAnsi="Times New Roman" w:cs="Times New Roman"/>
                <w:noProof/>
                <w:sz w:val="16"/>
                <w:szCs w:val="16"/>
              </w:rPr>
            </w:pPr>
          </w:p>
        </w:tc>
        <w:tc>
          <w:tcPr>
            <w:tcW w:w="1701" w:type="dxa"/>
            <w:shd w:val="clear" w:color="auto" w:fill="7F7F7F" w:themeFill="text1" w:themeFillTint="80"/>
          </w:tcPr>
          <w:p w14:paraId="1133D0CC" w14:textId="77777777" w:rsidR="00653571" w:rsidRPr="008C5F1C" w:rsidRDefault="00653571" w:rsidP="00313EC5">
            <w:pPr>
              <w:spacing w:after="120"/>
              <w:rPr>
                <w:rFonts w:ascii="Times New Roman" w:eastAsia="Calibri" w:hAnsi="Times New Roman" w:cs="Times New Roman"/>
                <w:noProof/>
                <w:sz w:val="16"/>
                <w:szCs w:val="16"/>
              </w:rPr>
            </w:pPr>
          </w:p>
        </w:tc>
        <w:tc>
          <w:tcPr>
            <w:tcW w:w="1418" w:type="dxa"/>
          </w:tcPr>
          <w:p w14:paraId="0BDDD032"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More developed</w:t>
            </w:r>
          </w:p>
        </w:tc>
        <w:tc>
          <w:tcPr>
            <w:tcW w:w="1134" w:type="dxa"/>
          </w:tcPr>
          <w:p w14:paraId="5788B679" w14:textId="77777777" w:rsidR="00653571" w:rsidRPr="008C5F1C" w:rsidRDefault="00653571" w:rsidP="00313EC5">
            <w:pPr>
              <w:spacing w:after="120"/>
              <w:rPr>
                <w:rFonts w:ascii="Times New Roman" w:eastAsia="Calibri" w:hAnsi="Times New Roman" w:cs="Times New Roman"/>
                <w:noProof/>
                <w:sz w:val="16"/>
                <w:szCs w:val="16"/>
              </w:rPr>
            </w:pPr>
          </w:p>
        </w:tc>
        <w:tc>
          <w:tcPr>
            <w:tcW w:w="992" w:type="dxa"/>
          </w:tcPr>
          <w:p w14:paraId="32CD3585" w14:textId="77777777" w:rsidR="00653571" w:rsidRPr="008C5F1C" w:rsidRDefault="00653571" w:rsidP="00313EC5">
            <w:pPr>
              <w:spacing w:after="120"/>
              <w:rPr>
                <w:rFonts w:ascii="Times New Roman" w:eastAsia="Calibri" w:hAnsi="Times New Roman" w:cs="Times New Roman"/>
                <w:noProof/>
                <w:sz w:val="16"/>
                <w:szCs w:val="16"/>
              </w:rPr>
            </w:pPr>
          </w:p>
        </w:tc>
        <w:tc>
          <w:tcPr>
            <w:tcW w:w="709" w:type="dxa"/>
          </w:tcPr>
          <w:p w14:paraId="058B08EF" w14:textId="77777777" w:rsidR="00653571" w:rsidRPr="008C5F1C" w:rsidRDefault="00653571" w:rsidP="00313EC5">
            <w:pPr>
              <w:spacing w:after="120"/>
              <w:rPr>
                <w:rFonts w:ascii="Times New Roman" w:eastAsia="Calibri" w:hAnsi="Times New Roman" w:cs="Times New Roman"/>
                <w:noProof/>
                <w:sz w:val="16"/>
                <w:szCs w:val="16"/>
              </w:rPr>
            </w:pPr>
          </w:p>
        </w:tc>
        <w:tc>
          <w:tcPr>
            <w:tcW w:w="708" w:type="dxa"/>
          </w:tcPr>
          <w:p w14:paraId="41E27597" w14:textId="77777777" w:rsidR="00653571" w:rsidRPr="008C5F1C" w:rsidRDefault="00653571" w:rsidP="00313EC5">
            <w:pPr>
              <w:spacing w:after="120"/>
              <w:rPr>
                <w:rFonts w:ascii="Times New Roman" w:eastAsia="Calibri" w:hAnsi="Times New Roman" w:cs="Times New Roman"/>
                <w:noProof/>
                <w:sz w:val="16"/>
                <w:szCs w:val="16"/>
              </w:rPr>
            </w:pPr>
          </w:p>
        </w:tc>
        <w:tc>
          <w:tcPr>
            <w:tcW w:w="1276" w:type="dxa"/>
          </w:tcPr>
          <w:p w14:paraId="27C6079C" w14:textId="77777777" w:rsidR="00653571" w:rsidRPr="008C5F1C" w:rsidRDefault="00653571" w:rsidP="00313EC5">
            <w:pPr>
              <w:spacing w:after="120"/>
              <w:rPr>
                <w:rFonts w:ascii="Times New Roman" w:eastAsia="Calibri" w:hAnsi="Times New Roman" w:cs="Times New Roman"/>
                <w:noProof/>
                <w:sz w:val="16"/>
                <w:szCs w:val="16"/>
              </w:rPr>
            </w:pPr>
          </w:p>
        </w:tc>
        <w:tc>
          <w:tcPr>
            <w:tcW w:w="2447" w:type="dxa"/>
          </w:tcPr>
          <w:p w14:paraId="731EB8C5" w14:textId="77777777" w:rsidR="00653571" w:rsidRPr="008C5F1C" w:rsidRDefault="00653571" w:rsidP="00313EC5">
            <w:pPr>
              <w:spacing w:after="120"/>
              <w:rPr>
                <w:rFonts w:ascii="Times New Roman" w:eastAsia="Calibri" w:hAnsi="Times New Roman" w:cs="Times New Roman"/>
                <w:noProof/>
                <w:sz w:val="16"/>
                <w:szCs w:val="16"/>
              </w:rPr>
            </w:pPr>
          </w:p>
        </w:tc>
      </w:tr>
      <w:tr w:rsidR="00653571" w:rsidRPr="008C5F1C" w14:paraId="239F3848" w14:textId="77777777" w:rsidTr="00313EC5">
        <w:trPr>
          <w:jc w:val="center"/>
        </w:trPr>
        <w:tc>
          <w:tcPr>
            <w:tcW w:w="2762" w:type="dxa"/>
            <w:gridSpan w:val="2"/>
            <w:vMerge/>
          </w:tcPr>
          <w:p w14:paraId="21CA0652" w14:textId="77777777" w:rsidR="00653571" w:rsidRPr="008C5F1C" w:rsidRDefault="00653571" w:rsidP="00313EC5">
            <w:pPr>
              <w:spacing w:after="120"/>
              <w:rPr>
                <w:rFonts w:ascii="Times New Roman" w:eastAsia="Calibri" w:hAnsi="Times New Roman" w:cs="Times New Roman"/>
                <w:noProof/>
                <w:sz w:val="16"/>
                <w:szCs w:val="16"/>
              </w:rPr>
            </w:pPr>
          </w:p>
        </w:tc>
        <w:tc>
          <w:tcPr>
            <w:tcW w:w="1984" w:type="dxa"/>
            <w:shd w:val="clear" w:color="auto" w:fill="7F7F7F" w:themeFill="text1" w:themeFillTint="80"/>
          </w:tcPr>
          <w:p w14:paraId="5E612CC3" w14:textId="77777777" w:rsidR="00653571" w:rsidRPr="008C5F1C" w:rsidRDefault="00653571" w:rsidP="00313EC5">
            <w:pPr>
              <w:spacing w:after="120"/>
              <w:rPr>
                <w:rFonts w:ascii="Times New Roman" w:eastAsia="Calibri" w:hAnsi="Times New Roman" w:cs="Times New Roman"/>
                <w:noProof/>
                <w:sz w:val="16"/>
                <w:szCs w:val="16"/>
              </w:rPr>
            </w:pPr>
          </w:p>
        </w:tc>
        <w:tc>
          <w:tcPr>
            <w:tcW w:w="1701" w:type="dxa"/>
            <w:shd w:val="clear" w:color="auto" w:fill="7F7F7F" w:themeFill="text1" w:themeFillTint="80"/>
          </w:tcPr>
          <w:p w14:paraId="50FF1ECA" w14:textId="77777777" w:rsidR="00653571" w:rsidRPr="008C5F1C" w:rsidRDefault="00653571" w:rsidP="00313EC5">
            <w:pPr>
              <w:spacing w:after="120"/>
              <w:rPr>
                <w:rFonts w:ascii="Times New Roman" w:eastAsia="Calibri" w:hAnsi="Times New Roman" w:cs="Times New Roman"/>
                <w:noProof/>
                <w:sz w:val="16"/>
                <w:szCs w:val="16"/>
              </w:rPr>
            </w:pPr>
          </w:p>
        </w:tc>
        <w:tc>
          <w:tcPr>
            <w:tcW w:w="1418" w:type="dxa"/>
          </w:tcPr>
          <w:p w14:paraId="664CFF13"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Transition</w:t>
            </w:r>
          </w:p>
        </w:tc>
        <w:tc>
          <w:tcPr>
            <w:tcW w:w="1134" w:type="dxa"/>
          </w:tcPr>
          <w:p w14:paraId="32E277FC" w14:textId="77777777" w:rsidR="00653571" w:rsidRPr="008C5F1C" w:rsidRDefault="00653571" w:rsidP="00313EC5">
            <w:pPr>
              <w:spacing w:after="120"/>
              <w:rPr>
                <w:rFonts w:ascii="Times New Roman" w:eastAsia="Calibri" w:hAnsi="Times New Roman" w:cs="Times New Roman"/>
                <w:noProof/>
                <w:sz w:val="16"/>
                <w:szCs w:val="16"/>
              </w:rPr>
            </w:pPr>
          </w:p>
        </w:tc>
        <w:tc>
          <w:tcPr>
            <w:tcW w:w="992" w:type="dxa"/>
          </w:tcPr>
          <w:p w14:paraId="3521D098" w14:textId="77777777" w:rsidR="00653571" w:rsidRPr="008C5F1C" w:rsidRDefault="00653571" w:rsidP="00313EC5">
            <w:pPr>
              <w:spacing w:after="120"/>
              <w:rPr>
                <w:rFonts w:ascii="Times New Roman" w:eastAsia="Calibri" w:hAnsi="Times New Roman" w:cs="Times New Roman"/>
                <w:noProof/>
                <w:sz w:val="16"/>
                <w:szCs w:val="16"/>
              </w:rPr>
            </w:pPr>
          </w:p>
        </w:tc>
        <w:tc>
          <w:tcPr>
            <w:tcW w:w="709" w:type="dxa"/>
          </w:tcPr>
          <w:p w14:paraId="6D4C2D16" w14:textId="77777777" w:rsidR="00653571" w:rsidRPr="008C5F1C" w:rsidRDefault="00653571" w:rsidP="00313EC5">
            <w:pPr>
              <w:spacing w:after="120"/>
              <w:rPr>
                <w:rFonts w:ascii="Times New Roman" w:eastAsia="Calibri" w:hAnsi="Times New Roman" w:cs="Times New Roman"/>
                <w:noProof/>
                <w:sz w:val="16"/>
                <w:szCs w:val="16"/>
              </w:rPr>
            </w:pPr>
          </w:p>
        </w:tc>
        <w:tc>
          <w:tcPr>
            <w:tcW w:w="708" w:type="dxa"/>
          </w:tcPr>
          <w:p w14:paraId="1E6A84FA" w14:textId="77777777" w:rsidR="00653571" w:rsidRPr="008C5F1C" w:rsidRDefault="00653571" w:rsidP="00313EC5">
            <w:pPr>
              <w:spacing w:after="120"/>
              <w:rPr>
                <w:rFonts w:ascii="Times New Roman" w:eastAsia="Calibri" w:hAnsi="Times New Roman" w:cs="Times New Roman"/>
                <w:noProof/>
                <w:sz w:val="16"/>
                <w:szCs w:val="16"/>
              </w:rPr>
            </w:pPr>
          </w:p>
        </w:tc>
        <w:tc>
          <w:tcPr>
            <w:tcW w:w="1276" w:type="dxa"/>
          </w:tcPr>
          <w:p w14:paraId="777C3885" w14:textId="77777777" w:rsidR="00653571" w:rsidRPr="008C5F1C" w:rsidRDefault="00653571" w:rsidP="00313EC5">
            <w:pPr>
              <w:spacing w:after="120"/>
              <w:rPr>
                <w:rFonts w:ascii="Times New Roman" w:eastAsia="Calibri" w:hAnsi="Times New Roman" w:cs="Times New Roman"/>
                <w:noProof/>
                <w:sz w:val="16"/>
                <w:szCs w:val="16"/>
              </w:rPr>
            </w:pPr>
          </w:p>
        </w:tc>
        <w:tc>
          <w:tcPr>
            <w:tcW w:w="2447" w:type="dxa"/>
          </w:tcPr>
          <w:p w14:paraId="73912E04" w14:textId="77777777" w:rsidR="00653571" w:rsidRPr="008C5F1C" w:rsidRDefault="00653571" w:rsidP="00313EC5">
            <w:pPr>
              <w:spacing w:after="120"/>
              <w:rPr>
                <w:rFonts w:ascii="Times New Roman" w:eastAsia="Calibri" w:hAnsi="Times New Roman" w:cs="Times New Roman"/>
                <w:noProof/>
                <w:sz w:val="16"/>
                <w:szCs w:val="16"/>
              </w:rPr>
            </w:pPr>
          </w:p>
        </w:tc>
      </w:tr>
      <w:tr w:rsidR="00653571" w:rsidRPr="008C5F1C" w14:paraId="5CAC3B63" w14:textId="77777777" w:rsidTr="00313EC5">
        <w:trPr>
          <w:jc w:val="center"/>
        </w:trPr>
        <w:tc>
          <w:tcPr>
            <w:tcW w:w="2762" w:type="dxa"/>
            <w:gridSpan w:val="2"/>
            <w:vMerge/>
          </w:tcPr>
          <w:p w14:paraId="2E3EDA21" w14:textId="77777777" w:rsidR="00653571" w:rsidRPr="008C5F1C" w:rsidRDefault="00653571" w:rsidP="00313EC5">
            <w:pPr>
              <w:spacing w:after="120"/>
              <w:rPr>
                <w:rFonts w:ascii="Times New Roman" w:eastAsia="Calibri" w:hAnsi="Times New Roman" w:cs="Times New Roman"/>
                <w:noProof/>
                <w:sz w:val="16"/>
                <w:szCs w:val="16"/>
              </w:rPr>
            </w:pPr>
          </w:p>
        </w:tc>
        <w:tc>
          <w:tcPr>
            <w:tcW w:w="1984" w:type="dxa"/>
            <w:shd w:val="clear" w:color="auto" w:fill="7F7F7F" w:themeFill="text1" w:themeFillTint="80"/>
          </w:tcPr>
          <w:p w14:paraId="3C42F1C4" w14:textId="77777777" w:rsidR="00653571" w:rsidRPr="008C5F1C" w:rsidRDefault="00653571" w:rsidP="00313EC5">
            <w:pPr>
              <w:spacing w:after="120"/>
              <w:rPr>
                <w:rFonts w:ascii="Times New Roman" w:eastAsia="Calibri" w:hAnsi="Times New Roman" w:cs="Times New Roman"/>
                <w:noProof/>
                <w:sz w:val="16"/>
                <w:szCs w:val="16"/>
              </w:rPr>
            </w:pPr>
          </w:p>
        </w:tc>
        <w:tc>
          <w:tcPr>
            <w:tcW w:w="1701" w:type="dxa"/>
            <w:shd w:val="clear" w:color="auto" w:fill="7F7F7F" w:themeFill="text1" w:themeFillTint="80"/>
          </w:tcPr>
          <w:p w14:paraId="6F41B482" w14:textId="77777777" w:rsidR="00653571" w:rsidRPr="008C5F1C" w:rsidRDefault="00653571" w:rsidP="00313EC5">
            <w:pPr>
              <w:spacing w:after="120"/>
              <w:rPr>
                <w:rFonts w:ascii="Times New Roman" w:eastAsia="Calibri" w:hAnsi="Times New Roman" w:cs="Times New Roman"/>
                <w:noProof/>
                <w:sz w:val="16"/>
                <w:szCs w:val="16"/>
              </w:rPr>
            </w:pPr>
          </w:p>
        </w:tc>
        <w:tc>
          <w:tcPr>
            <w:tcW w:w="1418" w:type="dxa"/>
          </w:tcPr>
          <w:p w14:paraId="46B6C3EE"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Less developed</w:t>
            </w:r>
          </w:p>
        </w:tc>
        <w:tc>
          <w:tcPr>
            <w:tcW w:w="1134" w:type="dxa"/>
          </w:tcPr>
          <w:p w14:paraId="6C876018" w14:textId="77777777" w:rsidR="00653571" w:rsidRPr="008C5F1C" w:rsidRDefault="00653571" w:rsidP="00313EC5">
            <w:pPr>
              <w:spacing w:after="120"/>
              <w:rPr>
                <w:rFonts w:ascii="Times New Roman" w:eastAsia="Calibri" w:hAnsi="Times New Roman" w:cs="Times New Roman"/>
                <w:noProof/>
                <w:sz w:val="16"/>
                <w:szCs w:val="16"/>
              </w:rPr>
            </w:pPr>
          </w:p>
        </w:tc>
        <w:tc>
          <w:tcPr>
            <w:tcW w:w="992" w:type="dxa"/>
          </w:tcPr>
          <w:p w14:paraId="207E625F" w14:textId="77777777" w:rsidR="00653571" w:rsidRPr="008C5F1C" w:rsidRDefault="00653571" w:rsidP="00313EC5">
            <w:pPr>
              <w:spacing w:after="120"/>
              <w:rPr>
                <w:rFonts w:ascii="Times New Roman" w:eastAsia="Calibri" w:hAnsi="Times New Roman" w:cs="Times New Roman"/>
                <w:noProof/>
                <w:sz w:val="16"/>
                <w:szCs w:val="16"/>
              </w:rPr>
            </w:pPr>
          </w:p>
        </w:tc>
        <w:tc>
          <w:tcPr>
            <w:tcW w:w="709" w:type="dxa"/>
          </w:tcPr>
          <w:p w14:paraId="2B908E7C" w14:textId="77777777" w:rsidR="00653571" w:rsidRPr="008C5F1C" w:rsidRDefault="00653571" w:rsidP="00313EC5">
            <w:pPr>
              <w:spacing w:after="120"/>
              <w:rPr>
                <w:rFonts w:ascii="Times New Roman" w:eastAsia="Calibri" w:hAnsi="Times New Roman" w:cs="Times New Roman"/>
                <w:noProof/>
                <w:sz w:val="16"/>
                <w:szCs w:val="16"/>
              </w:rPr>
            </w:pPr>
          </w:p>
        </w:tc>
        <w:tc>
          <w:tcPr>
            <w:tcW w:w="708" w:type="dxa"/>
          </w:tcPr>
          <w:p w14:paraId="63B6F8D2" w14:textId="77777777" w:rsidR="00653571" w:rsidRPr="008C5F1C" w:rsidRDefault="00653571" w:rsidP="00313EC5">
            <w:pPr>
              <w:spacing w:after="120"/>
              <w:rPr>
                <w:rFonts w:ascii="Times New Roman" w:eastAsia="Calibri" w:hAnsi="Times New Roman" w:cs="Times New Roman"/>
                <w:noProof/>
                <w:sz w:val="16"/>
                <w:szCs w:val="16"/>
              </w:rPr>
            </w:pPr>
          </w:p>
        </w:tc>
        <w:tc>
          <w:tcPr>
            <w:tcW w:w="1276" w:type="dxa"/>
          </w:tcPr>
          <w:p w14:paraId="7D747EF4" w14:textId="77777777" w:rsidR="00653571" w:rsidRPr="008C5F1C" w:rsidRDefault="00653571" w:rsidP="00313EC5">
            <w:pPr>
              <w:spacing w:after="120"/>
              <w:rPr>
                <w:rFonts w:ascii="Times New Roman" w:eastAsia="Calibri" w:hAnsi="Times New Roman" w:cs="Times New Roman"/>
                <w:noProof/>
                <w:sz w:val="16"/>
                <w:szCs w:val="16"/>
              </w:rPr>
            </w:pPr>
          </w:p>
        </w:tc>
        <w:tc>
          <w:tcPr>
            <w:tcW w:w="2447" w:type="dxa"/>
          </w:tcPr>
          <w:p w14:paraId="793761B4" w14:textId="77777777" w:rsidR="00653571" w:rsidRPr="008C5F1C" w:rsidRDefault="00653571" w:rsidP="00313EC5">
            <w:pPr>
              <w:spacing w:after="120"/>
              <w:rPr>
                <w:rFonts w:ascii="Times New Roman" w:eastAsia="Calibri" w:hAnsi="Times New Roman" w:cs="Times New Roman"/>
                <w:noProof/>
                <w:sz w:val="16"/>
                <w:szCs w:val="16"/>
              </w:rPr>
            </w:pPr>
          </w:p>
        </w:tc>
      </w:tr>
      <w:tr w:rsidR="00653571" w:rsidRPr="008C5F1C" w14:paraId="025EFB18" w14:textId="77777777" w:rsidTr="00313EC5">
        <w:trPr>
          <w:gridAfter w:val="9"/>
          <w:wAfter w:w="12369" w:type="dxa"/>
          <w:trHeight w:val="412"/>
          <w:jc w:val="center"/>
        </w:trPr>
        <w:tc>
          <w:tcPr>
            <w:tcW w:w="2762" w:type="dxa"/>
            <w:gridSpan w:val="2"/>
            <w:vMerge/>
          </w:tcPr>
          <w:p w14:paraId="566F2EB0" w14:textId="77777777" w:rsidR="00653571" w:rsidRPr="008C5F1C" w:rsidRDefault="00653571" w:rsidP="00313EC5">
            <w:pPr>
              <w:spacing w:after="120"/>
              <w:rPr>
                <w:rFonts w:ascii="Times New Roman" w:eastAsia="Calibri" w:hAnsi="Times New Roman" w:cs="Times New Roman"/>
                <w:noProof/>
                <w:sz w:val="16"/>
                <w:szCs w:val="16"/>
              </w:rPr>
            </w:pPr>
          </w:p>
        </w:tc>
      </w:tr>
      <w:tr w:rsidR="00653571" w:rsidRPr="008C5F1C" w14:paraId="6F8DDB1B" w14:textId="77777777" w:rsidTr="00313EC5">
        <w:trPr>
          <w:jc w:val="center"/>
        </w:trPr>
        <w:tc>
          <w:tcPr>
            <w:tcW w:w="2762" w:type="dxa"/>
            <w:gridSpan w:val="2"/>
          </w:tcPr>
          <w:p w14:paraId="10D38371"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Total CF</w:t>
            </w:r>
          </w:p>
        </w:tc>
        <w:tc>
          <w:tcPr>
            <w:tcW w:w="1984" w:type="dxa"/>
            <w:tcBorders>
              <w:bottom w:val="single" w:sz="4" w:space="0" w:color="auto"/>
            </w:tcBorders>
            <w:shd w:val="clear" w:color="auto" w:fill="7F7F7F" w:themeFill="text1" w:themeFillTint="80"/>
          </w:tcPr>
          <w:p w14:paraId="1D66309D" w14:textId="77777777" w:rsidR="00653571" w:rsidRPr="008C5F1C" w:rsidRDefault="00653571" w:rsidP="00313EC5">
            <w:pPr>
              <w:spacing w:after="120"/>
              <w:rPr>
                <w:rFonts w:ascii="Times New Roman" w:eastAsia="Calibri" w:hAnsi="Times New Roman" w:cs="Times New Roman"/>
                <w:noProof/>
                <w:sz w:val="16"/>
                <w:szCs w:val="16"/>
              </w:rPr>
            </w:pPr>
          </w:p>
        </w:tc>
        <w:tc>
          <w:tcPr>
            <w:tcW w:w="1701" w:type="dxa"/>
          </w:tcPr>
          <w:p w14:paraId="7463C81B"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N/A</w:t>
            </w:r>
          </w:p>
        </w:tc>
        <w:tc>
          <w:tcPr>
            <w:tcW w:w="1418" w:type="dxa"/>
          </w:tcPr>
          <w:p w14:paraId="3300A22E" w14:textId="77777777" w:rsidR="00653571" w:rsidRPr="008C5F1C" w:rsidRDefault="00653571" w:rsidP="00313EC5">
            <w:pPr>
              <w:spacing w:after="120"/>
              <w:rPr>
                <w:rFonts w:ascii="Times New Roman" w:eastAsia="Calibri" w:hAnsi="Times New Roman" w:cs="Times New Roman"/>
                <w:noProof/>
                <w:sz w:val="16"/>
                <w:szCs w:val="16"/>
              </w:rPr>
            </w:pPr>
          </w:p>
        </w:tc>
        <w:tc>
          <w:tcPr>
            <w:tcW w:w="1134" w:type="dxa"/>
          </w:tcPr>
          <w:p w14:paraId="3A5A879E" w14:textId="77777777" w:rsidR="00653571" w:rsidRPr="008C5F1C" w:rsidRDefault="00653571" w:rsidP="00313EC5">
            <w:pPr>
              <w:spacing w:after="120"/>
              <w:rPr>
                <w:rFonts w:ascii="Times New Roman" w:eastAsia="Calibri" w:hAnsi="Times New Roman" w:cs="Times New Roman"/>
                <w:noProof/>
                <w:sz w:val="16"/>
                <w:szCs w:val="16"/>
              </w:rPr>
            </w:pPr>
          </w:p>
        </w:tc>
        <w:tc>
          <w:tcPr>
            <w:tcW w:w="992" w:type="dxa"/>
          </w:tcPr>
          <w:p w14:paraId="3E11881F" w14:textId="77777777" w:rsidR="00653571" w:rsidRPr="008C5F1C" w:rsidRDefault="00653571" w:rsidP="00313EC5">
            <w:pPr>
              <w:spacing w:after="120"/>
              <w:rPr>
                <w:rFonts w:ascii="Times New Roman" w:eastAsia="Calibri" w:hAnsi="Times New Roman" w:cs="Times New Roman"/>
                <w:noProof/>
                <w:sz w:val="16"/>
                <w:szCs w:val="16"/>
              </w:rPr>
            </w:pPr>
          </w:p>
        </w:tc>
        <w:tc>
          <w:tcPr>
            <w:tcW w:w="709" w:type="dxa"/>
          </w:tcPr>
          <w:p w14:paraId="419FF14B" w14:textId="77777777" w:rsidR="00653571" w:rsidRPr="008C5F1C" w:rsidRDefault="00653571" w:rsidP="00313EC5">
            <w:pPr>
              <w:spacing w:after="120"/>
              <w:rPr>
                <w:rFonts w:ascii="Times New Roman" w:eastAsia="Calibri" w:hAnsi="Times New Roman" w:cs="Times New Roman"/>
                <w:noProof/>
                <w:sz w:val="16"/>
                <w:szCs w:val="16"/>
              </w:rPr>
            </w:pPr>
          </w:p>
        </w:tc>
        <w:tc>
          <w:tcPr>
            <w:tcW w:w="708" w:type="dxa"/>
          </w:tcPr>
          <w:p w14:paraId="2FF89088" w14:textId="77777777" w:rsidR="00653571" w:rsidRPr="008C5F1C" w:rsidRDefault="00653571" w:rsidP="00313EC5">
            <w:pPr>
              <w:spacing w:after="120"/>
              <w:rPr>
                <w:rFonts w:ascii="Times New Roman" w:eastAsia="Calibri" w:hAnsi="Times New Roman" w:cs="Times New Roman"/>
                <w:noProof/>
                <w:sz w:val="16"/>
                <w:szCs w:val="16"/>
              </w:rPr>
            </w:pPr>
          </w:p>
        </w:tc>
        <w:tc>
          <w:tcPr>
            <w:tcW w:w="1276" w:type="dxa"/>
          </w:tcPr>
          <w:p w14:paraId="6DCD736A" w14:textId="77777777" w:rsidR="00653571" w:rsidRPr="008C5F1C" w:rsidRDefault="00653571" w:rsidP="00313EC5">
            <w:pPr>
              <w:spacing w:after="120"/>
              <w:rPr>
                <w:rFonts w:ascii="Times New Roman" w:eastAsia="Calibri" w:hAnsi="Times New Roman" w:cs="Times New Roman"/>
                <w:noProof/>
                <w:sz w:val="16"/>
                <w:szCs w:val="16"/>
              </w:rPr>
            </w:pPr>
          </w:p>
        </w:tc>
        <w:tc>
          <w:tcPr>
            <w:tcW w:w="2447" w:type="dxa"/>
          </w:tcPr>
          <w:p w14:paraId="7DD1AAAE" w14:textId="77777777" w:rsidR="00653571" w:rsidRPr="008C5F1C" w:rsidRDefault="00653571" w:rsidP="00313EC5">
            <w:pPr>
              <w:spacing w:after="120"/>
              <w:rPr>
                <w:rFonts w:ascii="Times New Roman" w:eastAsia="Calibri" w:hAnsi="Times New Roman" w:cs="Times New Roman"/>
                <w:noProof/>
                <w:sz w:val="16"/>
                <w:szCs w:val="16"/>
              </w:rPr>
            </w:pPr>
          </w:p>
        </w:tc>
      </w:tr>
      <w:tr w:rsidR="00653571" w:rsidRPr="008C5F1C" w14:paraId="4D559FE2" w14:textId="77777777" w:rsidTr="00313EC5">
        <w:trPr>
          <w:jc w:val="center"/>
        </w:trPr>
        <w:tc>
          <w:tcPr>
            <w:tcW w:w="2762" w:type="dxa"/>
            <w:gridSpan w:val="2"/>
          </w:tcPr>
          <w:p w14:paraId="301B8B6D" w14:textId="77777777" w:rsidR="00653571" w:rsidRPr="008C5F1C" w:rsidRDefault="00653571" w:rsidP="00313EC5">
            <w:pPr>
              <w:spacing w:after="120"/>
              <w:rPr>
                <w:rFonts w:ascii="Times New Roman" w:eastAsia="Calibri" w:hAnsi="Times New Roman" w:cs="Times New Roman"/>
                <w:noProof/>
                <w:sz w:val="16"/>
                <w:szCs w:val="16"/>
              </w:rPr>
            </w:pPr>
            <w:r w:rsidRPr="008C5F1C">
              <w:rPr>
                <w:rFonts w:ascii="Times New Roman" w:eastAsia="Calibri" w:hAnsi="Times New Roman" w:cs="Times New Roman"/>
                <w:noProof/>
                <w:sz w:val="16"/>
                <w:szCs w:val="16"/>
              </w:rPr>
              <w:t>Grand total</w:t>
            </w:r>
          </w:p>
        </w:tc>
        <w:tc>
          <w:tcPr>
            <w:tcW w:w="1984" w:type="dxa"/>
            <w:shd w:val="clear" w:color="auto" w:fill="7F7F7F" w:themeFill="text1" w:themeFillTint="80"/>
          </w:tcPr>
          <w:p w14:paraId="2BC0AEBD" w14:textId="77777777" w:rsidR="00653571" w:rsidRPr="008C5F1C" w:rsidRDefault="00653571" w:rsidP="00313EC5">
            <w:pPr>
              <w:spacing w:after="120"/>
              <w:rPr>
                <w:rFonts w:ascii="Times New Roman" w:eastAsia="Calibri" w:hAnsi="Times New Roman" w:cs="Times New Roman"/>
                <w:noProof/>
                <w:sz w:val="16"/>
                <w:szCs w:val="16"/>
              </w:rPr>
            </w:pPr>
          </w:p>
        </w:tc>
        <w:tc>
          <w:tcPr>
            <w:tcW w:w="1701" w:type="dxa"/>
          </w:tcPr>
          <w:p w14:paraId="19FC4FD8" w14:textId="77777777" w:rsidR="00653571" w:rsidRPr="008C5F1C" w:rsidRDefault="00653571" w:rsidP="00313EC5">
            <w:pPr>
              <w:spacing w:after="120"/>
              <w:rPr>
                <w:rFonts w:ascii="Times New Roman" w:eastAsia="Calibri" w:hAnsi="Times New Roman" w:cs="Times New Roman"/>
                <w:noProof/>
                <w:sz w:val="16"/>
                <w:szCs w:val="16"/>
              </w:rPr>
            </w:pPr>
          </w:p>
        </w:tc>
        <w:tc>
          <w:tcPr>
            <w:tcW w:w="1418" w:type="dxa"/>
          </w:tcPr>
          <w:p w14:paraId="7F8FDA5F" w14:textId="77777777" w:rsidR="00653571" w:rsidRPr="008C5F1C" w:rsidRDefault="00653571" w:rsidP="00313EC5">
            <w:pPr>
              <w:spacing w:after="120"/>
              <w:rPr>
                <w:rFonts w:ascii="Times New Roman" w:eastAsia="Calibri" w:hAnsi="Times New Roman" w:cs="Times New Roman"/>
                <w:noProof/>
                <w:sz w:val="16"/>
                <w:szCs w:val="16"/>
              </w:rPr>
            </w:pPr>
          </w:p>
        </w:tc>
        <w:tc>
          <w:tcPr>
            <w:tcW w:w="1134" w:type="dxa"/>
          </w:tcPr>
          <w:p w14:paraId="4CB96499" w14:textId="77777777" w:rsidR="00653571" w:rsidRPr="008C5F1C" w:rsidRDefault="00653571" w:rsidP="00313EC5">
            <w:pPr>
              <w:spacing w:after="120"/>
              <w:rPr>
                <w:rFonts w:ascii="Times New Roman" w:eastAsia="Calibri" w:hAnsi="Times New Roman" w:cs="Times New Roman"/>
                <w:noProof/>
                <w:sz w:val="16"/>
                <w:szCs w:val="16"/>
              </w:rPr>
            </w:pPr>
          </w:p>
        </w:tc>
        <w:tc>
          <w:tcPr>
            <w:tcW w:w="992" w:type="dxa"/>
          </w:tcPr>
          <w:p w14:paraId="7F55259C" w14:textId="77777777" w:rsidR="00653571" w:rsidRPr="008C5F1C" w:rsidRDefault="00653571" w:rsidP="00313EC5">
            <w:pPr>
              <w:spacing w:after="120"/>
              <w:rPr>
                <w:rFonts w:ascii="Times New Roman" w:eastAsia="Calibri" w:hAnsi="Times New Roman" w:cs="Times New Roman"/>
                <w:noProof/>
                <w:sz w:val="16"/>
                <w:szCs w:val="16"/>
              </w:rPr>
            </w:pPr>
          </w:p>
        </w:tc>
        <w:tc>
          <w:tcPr>
            <w:tcW w:w="709" w:type="dxa"/>
          </w:tcPr>
          <w:p w14:paraId="0090BE52" w14:textId="77777777" w:rsidR="00653571" w:rsidRPr="008C5F1C" w:rsidRDefault="00653571" w:rsidP="00313EC5">
            <w:pPr>
              <w:spacing w:after="120"/>
              <w:rPr>
                <w:rFonts w:ascii="Times New Roman" w:eastAsia="Calibri" w:hAnsi="Times New Roman" w:cs="Times New Roman"/>
                <w:noProof/>
                <w:sz w:val="16"/>
                <w:szCs w:val="16"/>
              </w:rPr>
            </w:pPr>
          </w:p>
        </w:tc>
        <w:tc>
          <w:tcPr>
            <w:tcW w:w="708" w:type="dxa"/>
          </w:tcPr>
          <w:p w14:paraId="4BE211F3" w14:textId="77777777" w:rsidR="00653571" w:rsidRPr="008C5F1C" w:rsidRDefault="00653571" w:rsidP="00313EC5">
            <w:pPr>
              <w:spacing w:after="120"/>
              <w:rPr>
                <w:rFonts w:ascii="Times New Roman" w:eastAsia="Calibri" w:hAnsi="Times New Roman" w:cs="Times New Roman"/>
                <w:noProof/>
                <w:sz w:val="16"/>
                <w:szCs w:val="16"/>
              </w:rPr>
            </w:pPr>
          </w:p>
        </w:tc>
        <w:tc>
          <w:tcPr>
            <w:tcW w:w="1276" w:type="dxa"/>
          </w:tcPr>
          <w:p w14:paraId="3AD78007" w14:textId="77777777" w:rsidR="00653571" w:rsidRPr="008C5F1C" w:rsidRDefault="00653571" w:rsidP="00313EC5">
            <w:pPr>
              <w:spacing w:after="120"/>
              <w:rPr>
                <w:rFonts w:ascii="Times New Roman" w:eastAsia="Calibri" w:hAnsi="Times New Roman" w:cs="Times New Roman"/>
                <w:noProof/>
                <w:sz w:val="16"/>
                <w:szCs w:val="16"/>
              </w:rPr>
            </w:pPr>
          </w:p>
        </w:tc>
        <w:tc>
          <w:tcPr>
            <w:tcW w:w="2447" w:type="dxa"/>
          </w:tcPr>
          <w:p w14:paraId="78576F4C" w14:textId="77777777" w:rsidR="00653571" w:rsidRPr="008C5F1C" w:rsidRDefault="00653571" w:rsidP="00313EC5">
            <w:pPr>
              <w:spacing w:after="120"/>
              <w:rPr>
                <w:rFonts w:ascii="Times New Roman" w:eastAsia="Calibri" w:hAnsi="Times New Roman" w:cs="Times New Roman"/>
                <w:noProof/>
                <w:sz w:val="16"/>
                <w:szCs w:val="16"/>
              </w:rPr>
            </w:pPr>
          </w:p>
        </w:tc>
      </w:tr>
    </w:tbl>
    <w:p w14:paraId="68E382E1" w14:textId="77777777" w:rsidR="00653571" w:rsidRPr="008C5F1C" w:rsidRDefault="00653571" w:rsidP="00653571">
      <w:pPr>
        <w:spacing w:after="0"/>
        <w:rPr>
          <w:rFonts w:ascii="Times New Roman" w:hAnsi="Times New Roman" w:cs="Times New Roman"/>
          <w:noProof/>
          <w:sz w:val="16"/>
          <w:szCs w:val="16"/>
        </w:rPr>
      </w:pPr>
      <w:r w:rsidRPr="008C5F1C">
        <w:rPr>
          <w:rFonts w:ascii="Times New Roman" w:hAnsi="Times New Roman" w:cs="Times New Roman"/>
          <w:noProof/>
          <w:sz w:val="16"/>
          <w:szCs w:val="16"/>
        </w:rPr>
        <w:t>* Prior to the mid-term review in 2025 for the ERDF, the ESF+, the CF and the JTF, financial appropriations for the years 2021 to 2025 only.</w:t>
      </w:r>
    </w:p>
    <w:p w14:paraId="7B20F383" w14:textId="77777777" w:rsidR="00653571" w:rsidRPr="008C5F1C" w:rsidRDefault="00653571" w:rsidP="00653571">
      <w:pPr>
        <w:spacing w:after="0"/>
        <w:rPr>
          <w:rFonts w:ascii="Times New Roman" w:hAnsi="Times New Roman" w:cs="Times New Roman"/>
          <w:noProof/>
          <w:sz w:val="16"/>
          <w:szCs w:val="16"/>
        </w:rPr>
      </w:pPr>
      <w:r w:rsidRPr="008C5F1C">
        <w:rPr>
          <w:rFonts w:ascii="Times New Roman" w:hAnsi="Times New Roman" w:cs="Times New Roman"/>
          <w:noProof/>
          <w:sz w:val="16"/>
          <w:szCs w:val="16"/>
        </w:rPr>
        <w:t>**For ERDF: less developed, transition, more developed, and, where applicable special allocation for outermost and northern sparsely populated regions. For ESF+: less developed, transition, more developed and, where applicable, additional allocation for outermost and northern sparsely populated regions. For CF: not applicable. For technical assistance, application of categories of region depends on selection of a fund.</w:t>
      </w:r>
    </w:p>
    <w:p w14:paraId="3A2AD982" w14:textId="77777777" w:rsidR="00653571" w:rsidRPr="008C5F1C" w:rsidRDefault="00653571" w:rsidP="00653571">
      <w:pPr>
        <w:spacing w:after="0"/>
        <w:rPr>
          <w:rFonts w:ascii="Times New Roman" w:hAnsi="Times New Roman" w:cs="Times New Roman"/>
          <w:noProof/>
          <w:sz w:val="16"/>
          <w:szCs w:val="16"/>
        </w:rPr>
      </w:pPr>
      <w:r w:rsidRPr="008C5F1C">
        <w:rPr>
          <w:rFonts w:ascii="Times New Roman" w:hAnsi="Times New Roman" w:cs="Times New Roman"/>
          <w:noProof/>
          <w:sz w:val="16"/>
          <w:szCs w:val="16"/>
        </w:rPr>
        <w:t>*** Where relevant for all categories of region.</w:t>
      </w:r>
    </w:p>
    <w:p w14:paraId="18E71FE1" w14:textId="77777777" w:rsidR="00653571" w:rsidRPr="008C5F1C" w:rsidRDefault="00653571" w:rsidP="00653571">
      <w:pPr>
        <w:spacing w:after="0"/>
        <w:rPr>
          <w:rFonts w:ascii="Times New Roman" w:hAnsi="Times New Roman" w:cs="Times New Roman"/>
          <w:noProof/>
          <w:sz w:val="16"/>
          <w:szCs w:val="16"/>
        </w:rPr>
      </w:pPr>
      <w:r w:rsidRPr="008C5F1C">
        <w:rPr>
          <w:rFonts w:ascii="Times New Roman" w:hAnsi="Times New Roman" w:cs="Times New Roman"/>
          <w:noProof/>
          <w:sz w:val="16"/>
          <w:szCs w:val="16"/>
        </w:rPr>
        <w:t>**** Indicate the total JTF resources as a result of Table 18 (i.e. a JTF allocation and the complementary support transferred from the ERDF and the ESF+).</w:t>
      </w:r>
      <w:r w:rsidRPr="008C5F1C">
        <w:rPr>
          <w:rFonts w:ascii="Times New Roman" w:hAnsi="Times New Roman" w:cs="Times New Roman"/>
          <w:noProof/>
          <w:sz w:val="20"/>
          <w:szCs w:val="16"/>
        </w:rPr>
        <w:t>”</w:t>
      </w:r>
    </w:p>
    <w:p w14:paraId="75BEB16F" w14:textId="77777777" w:rsidR="00653571" w:rsidRPr="008C5F1C" w:rsidRDefault="00653571" w:rsidP="00653571">
      <w:pPr>
        <w:rPr>
          <w:rFonts w:ascii="Times New Roman" w:hAnsi="Times New Roman" w:cs="Times New Roman"/>
          <w:noProof/>
          <w:sz w:val="24"/>
          <w:szCs w:val="24"/>
        </w:rPr>
        <w:sectPr w:rsidR="00653571" w:rsidRPr="008C5F1C">
          <w:headerReference w:type="even" r:id="rId10"/>
          <w:headerReference w:type="default" r:id="rId11"/>
          <w:footerReference w:type="even" r:id="rId12"/>
          <w:footerReference w:type="default" r:id="rId13"/>
          <w:headerReference w:type="first" r:id="rId14"/>
          <w:footerReference w:type="first" r:id="rId15"/>
          <w:pgSz w:w="16838" w:h="11906" w:orient="landscape"/>
          <w:pgMar w:top="1417" w:right="1417" w:bottom="1417" w:left="1417" w:header="708" w:footer="708" w:gutter="0"/>
          <w:cols w:space="720"/>
          <w:docGrid w:linePitch="360"/>
        </w:sectPr>
      </w:pPr>
    </w:p>
    <w:p w14:paraId="2FA9E018" w14:textId="77777777" w:rsidR="00653571" w:rsidRPr="008C5F1C" w:rsidRDefault="00653571" w:rsidP="00653571">
      <w:pPr>
        <w:spacing w:after="0" w:line="240" w:lineRule="auto"/>
        <w:rPr>
          <w:rFonts w:ascii="Times New Roman" w:eastAsia="Times New Roman" w:hAnsi="Times New Roman" w:cs="Times New Roman"/>
          <w:i/>
          <w:iCs/>
          <w:noProof/>
          <w:sz w:val="24"/>
          <w:szCs w:val="24"/>
        </w:rPr>
      </w:pPr>
      <w:r w:rsidRPr="008C5F1C">
        <w:rPr>
          <w:rFonts w:ascii="Times New Roman" w:eastAsia="Times New Roman" w:hAnsi="Times New Roman" w:cs="Times New Roman"/>
          <w:i/>
          <w:iCs/>
          <w:noProof/>
          <w:sz w:val="24"/>
          <w:szCs w:val="24"/>
        </w:rPr>
        <w:lastRenderedPageBreak/>
        <w:t>For the EMFF:</w:t>
      </w:r>
    </w:p>
    <w:p w14:paraId="2306BA6F" w14:textId="77777777" w:rsidR="00653571" w:rsidRPr="008C5F1C" w:rsidRDefault="00653571" w:rsidP="00653571">
      <w:pPr>
        <w:spacing w:after="0" w:line="240" w:lineRule="auto"/>
        <w:rPr>
          <w:rFonts w:ascii="Times New Roman" w:eastAsia="Times New Roman" w:hAnsi="Times New Roman" w:cs="Times New Roman"/>
          <w:i/>
          <w:noProof/>
          <w:sz w:val="24"/>
          <w:szCs w:val="24"/>
        </w:rPr>
      </w:pPr>
      <w:r w:rsidRPr="008C5F1C">
        <w:rPr>
          <w:rFonts w:ascii="Times New Roman" w:eastAsia="Times New Roman" w:hAnsi="Times New Roman" w:cs="Times New Roman"/>
          <w:i/>
          <w:noProof/>
          <w:sz w:val="24"/>
          <w:szCs w:val="24"/>
        </w:rPr>
        <w:t>Reference: Article 17(3)(f)(iii)</w:t>
      </w:r>
    </w:p>
    <w:p w14:paraId="542AF343" w14:textId="77777777" w:rsidR="00653571" w:rsidRPr="008C5F1C" w:rsidRDefault="00653571" w:rsidP="00653571">
      <w:pPr>
        <w:spacing w:after="0" w:line="240" w:lineRule="auto"/>
        <w:rPr>
          <w:rFonts w:ascii="Times New Roman" w:eastAsia="Times New Roman" w:hAnsi="Times New Roman" w:cs="Times New Roman"/>
          <w:bCs/>
          <w:i/>
          <w:noProof/>
          <w:sz w:val="24"/>
          <w:szCs w:val="24"/>
        </w:rPr>
      </w:pPr>
      <w:r w:rsidRPr="008C5F1C">
        <w:rPr>
          <w:rFonts w:ascii="Times New Roman" w:eastAsia="Times New Roman" w:hAnsi="Times New Roman" w:cs="Times New Roman"/>
          <w:bCs/>
          <w:i/>
          <w:noProof/>
          <w:sz w:val="24"/>
          <w:szCs w:val="24"/>
        </w:rPr>
        <w:t>EMFF programmes using technical assistance according to Article 30(4)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2"/>
        <w:gridCol w:w="1577"/>
        <w:gridCol w:w="1385"/>
        <w:gridCol w:w="1623"/>
        <w:gridCol w:w="1157"/>
        <w:gridCol w:w="992"/>
        <w:gridCol w:w="1633"/>
      </w:tblGrid>
      <w:tr w:rsidR="00653571" w:rsidRPr="008C5F1C" w14:paraId="73AF2F19" w14:textId="77777777" w:rsidTr="00534127">
        <w:tc>
          <w:tcPr>
            <w:tcW w:w="5000" w:type="pct"/>
            <w:gridSpan w:val="7"/>
            <w:tcBorders>
              <w:top w:val="single" w:sz="4" w:space="0" w:color="auto"/>
              <w:left w:val="single" w:sz="4" w:space="0" w:color="auto"/>
              <w:bottom w:val="single" w:sz="4" w:space="0" w:color="auto"/>
              <w:right w:val="single" w:sz="4" w:space="0" w:color="auto"/>
            </w:tcBorders>
            <w:hideMark/>
          </w:tcPr>
          <w:p w14:paraId="0EC3415C" w14:textId="77777777" w:rsidR="00653571" w:rsidRPr="008C5F1C" w:rsidRDefault="00653571" w:rsidP="00534127">
            <w:pPr>
              <w:spacing w:before="120" w:after="120"/>
              <w:rPr>
                <w:rFonts w:ascii="Times New Roman" w:hAnsi="Times New Roman" w:cs="Times New Roman"/>
                <w:noProof/>
                <w:sz w:val="18"/>
                <w:szCs w:val="18"/>
              </w:rPr>
            </w:pPr>
            <w:r w:rsidRPr="008C5F1C">
              <w:rPr>
                <w:rFonts w:ascii="Times New Roman" w:hAnsi="Times New Roman" w:cs="Times New Roman"/>
                <w:b/>
                <w:noProof/>
                <w:sz w:val="18"/>
                <w:szCs w:val="18"/>
              </w:rPr>
              <w:t>Table 11 A</w:t>
            </w:r>
          </w:p>
        </w:tc>
      </w:tr>
      <w:tr w:rsidR="00653571" w:rsidRPr="008C5F1C" w14:paraId="506B4185" w14:textId="77777777" w:rsidTr="00534127">
        <w:tc>
          <w:tcPr>
            <w:tcW w:w="655" w:type="pct"/>
            <w:tcBorders>
              <w:top w:val="single" w:sz="4" w:space="0" w:color="auto"/>
              <w:left w:val="single" w:sz="4" w:space="0" w:color="auto"/>
              <w:bottom w:val="single" w:sz="4" w:space="0" w:color="auto"/>
              <w:right w:val="single" w:sz="4" w:space="0" w:color="auto"/>
            </w:tcBorders>
            <w:hideMark/>
          </w:tcPr>
          <w:p w14:paraId="22AED9A1" w14:textId="77777777" w:rsidR="00653571" w:rsidRPr="008C5F1C" w:rsidRDefault="00653571" w:rsidP="00534127">
            <w:pPr>
              <w:spacing w:before="120" w:after="120"/>
              <w:jc w:val="center"/>
              <w:rPr>
                <w:rFonts w:ascii="Times New Roman" w:hAnsi="Times New Roman" w:cs="Times New Roman"/>
                <w:b/>
                <w:noProof/>
                <w:sz w:val="18"/>
                <w:szCs w:val="18"/>
              </w:rPr>
            </w:pPr>
            <w:r w:rsidRPr="008C5F1C">
              <w:rPr>
                <w:rFonts w:ascii="Times New Roman" w:hAnsi="Times New Roman" w:cs="Times New Roman"/>
                <w:b/>
                <w:noProof/>
                <w:sz w:val="18"/>
                <w:szCs w:val="18"/>
              </w:rPr>
              <w:t>Priority</w:t>
            </w:r>
          </w:p>
        </w:tc>
        <w:tc>
          <w:tcPr>
            <w:tcW w:w="819" w:type="pct"/>
            <w:tcBorders>
              <w:top w:val="single" w:sz="4" w:space="0" w:color="auto"/>
              <w:left w:val="single" w:sz="4" w:space="0" w:color="auto"/>
              <w:bottom w:val="single" w:sz="4" w:space="0" w:color="auto"/>
              <w:right w:val="single" w:sz="4" w:space="0" w:color="auto"/>
            </w:tcBorders>
            <w:hideMark/>
          </w:tcPr>
          <w:p w14:paraId="28DFBF98" w14:textId="77777777" w:rsidR="00653571" w:rsidRPr="008C5F1C" w:rsidRDefault="00653571" w:rsidP="00534127">
            <w:pPr>
              <w:spacing w:before="120" w:after="120"/>
              <w:jc w:val="center"/>
              <w:rPr>
                <w:rFonts w:ascii="Times New Roman" w:hAnsi="Times New Roman" w:cs="Times New Roman"/>
                <w:b/>
                <w:noProof/>
                <w:sz w:val="18"/>
                <w:szCs w:val="18"/>
              </w:rPr>
            </w:pPr>
            <w:r w:rsidRPr="008C5F1C">
              <w:rPr>
                <w:rFonts w:ascii="Times New Roman" w:hAnsi="Times New Roman" w:cs="Times New Roman"/>
                <w:b/>
                <w:noProof/>
                <w:sz w:val="18"/>
                <w:szCs w:val="18"/>
              </w:rPr>
              <w:t>Specific Objective</w:t>
            </w:r>
            <w:r w:rsidRPr="008C5F1C">
              <w:rPr>
                <w:rFonts w:ascii="Times New Roman" w:hAnsi="Times New Roman" w:cs="Times New Roman"/>
                <w:b/>
                <w:noProof/>
                <w:sz w:val="18"/>
                <w:szCs w:val="18"/>
                <w:u w:val="single"/>
              </w:rPr>
              <w:t xml:space="preserve"> </w:t>
            </w:r>
            <w:r w:rsidRPr="008C5F1C">
              <w:rPr>
                <w:rFonts w:ascii="Times New Roman" w:hAnsi="Times New Roman" w:cs="Times New Roman"/>
                <w:noProof/>
                <w:sz w:val="18"/>
                <w:szCs w:val="18"/>
              </w:rPr>
              <w:t>(nomenclature set out in the EMFF Regulation)</w:t>
            </w:r>
          </w:p>
        </w:tc>
        <w:tc>
          <w:tcPr>
            <w:tcW w:w="719" w:type="pct"/>
            <w:tcBorders>
              <w:top w:val="single" w:sz="4" w:space="0" w:color="auto"/>
              <w:left w:val="single" w:sz="4" w:space="0" w:color="auto"/>
              <w:bottom w:val="single" w:sz="4" w:space="0" w:color="auto"/>
              <w:right w:val="single" w:sz="4" w:space="0" w:color="auto"/>
            </w:tcBorders>
            <w:hideMark/>
          </w:tcPr>
          <w:p w14:paraId="2AC5F659" w14:textId="77777777" w:rsidR="00653571" w:rsidRPr="008C5F1C" w:rsidRDefault="00653571" w:rsidP="00534127">
            <w:pPr>
              <w:spacing w:before="120" w:after="120"/>
              <w:jc w:val="center"/>
              <w:rPr>
                <w:rFonts w:ascii="Times New Roman" w:hAnsi="Times New Roman" w:cs="Times New Roman"/>
                <w:b/>
                <w:noProof/>
                <w:sz w:val="18"/>
                <w:szCs w:val="18"/>
              </w:rPr>
            </w:pPr>
            <w:r w:rsidRPr="008C5F1C">
              <w:rPr>
                <w:rFonts w:ascii="Times New Roman" w:hAnsi="Times New Roman" w:cs="Times New Roman"/>
                <w:b/>
                <w:noProof/>
                <w:sz w:val="18"/>
                <w:szCs w:val="18"/>
              </w:rPr>
              <w:t>Basis for calculation</w:t>
            </w:r>
          </w:p>
          <w:p w14:paraId="07887CCB" w14:textId="77777777" w:rsidR="00653571" w:rsidRPr="008C5F1C" w:rsidRDefault="00653571" w:rsidP="00534127">
            <w:pPr>
              <w:spacing w:before="120" w:after="120"/>
              <w:jc w:val="center"/>
              <w:rPr>
                <w:rFonts w:ascii="Times New Roman" w:hAnsi="Times New Roman" w:cs="Times New Roman"/>
                <w:b/>
                <w:noProof/>
                <w:sz w:val="18"/>
                <w:szCs w:val="18"/>
              </w:rPr>
            </w:pPr>
            <w:r w:rsidRPr="008C5F1C">
              <w:rPr>
                <w:rFonts w:ascii="Times New Roman" w:hAnsi="Times New Roman" w:cs="Times New Roman"/>
                <w:b/>
                <w:noProof/>
                <w:sz w:val="18"/>
                <w:szCs w:val="18"/>
              </w:rPr>
              <w:t>of EU support</w:t>
            </w:r>
          </w:p>
        </w:tc>
        <w:tc>
          <w:tcPr>
            <w:tcW w:w="843" w:type="pct"/>
            <w:tcBorders>
              <w:top w:val="single" w:sz="4" w:space="0" w:color="auto"/>
              <w:left w:val="single" w:sz="4" w:space="0" w:color="auto"/>
              <w:bottom w:val="single" w:sz="4" w:space="0" w:color="auto"/>
              <w:right w:val="single" w:sz="4" w:space="0" w:color="auto"/>
            </w:tcBorders>
            <w:hideMark/>
          </w:tcPr>
          <w:p w14:paraId="1A281DAA" w14:textId="77777777" w:rsidR="00653571" w:rsidRPr="008C5F1C" w:rsidRDefault="00653571" w:rsidP="00534127">
            <w:pPr>
              <w:spacing w:before="120" w:after="120"/>
              <w:jc w:val="center"/>
              <w:rPr>
                <w:rFonts w:ascii="Times New Roman" w:hAnsi="Times New Roman" w:cs="Times New Roman"/>
                <w:b/>
                <w:noProof/>
                <w:sz w:val="18"/>
                <w:szCs w:val="18"/>
              </w:rPr>
            </w:pPr>
            <w:r w:rsidRPr="008C5F1C">
              <w:rPr>
                <w:rFonts w:ascii="Times New Roman" w:hAnsi="Times New Roman" w:cs="Times New Roman"/>
                <w:b/>
                <w:noProof/>
                <w:sz w:val="18"/>
                <w:szCs w:val="18"/>
              </w:rPr>
              <w:t>EU contribution</w:t>
            </w:r>
          </w:p>
        </w:tc>
        <w:tc>
          <w:tcPr>
            <w:tcW w:w="601" w:type="pct"/>
            <w:tcBorders>
              <w:top w:val="single" w:sz="4" w:space="0" w:color="auto"/>
              <w:left w:val="single" w:sz="4" w:space="0" w:color="auto"/>
              <w:bottom w:val="single" w:sz="4" w:space="0" w:color="auto"/>
              <w:right w:val="single" w:sz="4" w:space="0" w:color="auto"/>
            </w:tcBorders>
            <w:hideMark/>
          </w:tcPr>
          <w:p w14:paraId="1006B2CA" w14:textId="77777777" w:rsidR="00653571" w:rsidRPr="008C5F1C" w:rsidRDefault="00653571" w:rsidP="00534127">
            <w:pPr>
              <w:spacing w:before="120" w:after="120"/>
              <w:jc w:val="center"/>
              <w:rPr>
                <w:rFonts w:ascii="Times New Roman" w:hAnsi="Times New Roman" w:cs="Times New Roman"/>
                <w:b/>
                <w:noProof/>
                <w:sz w:val="18"/>
                <w:szCs w:val="18"/>
              </w:rPr>
            </w:pPr>
            <w:r w:rsidRPr="008C5F1C">
              <w:rPr>
                <w:rFonts w:ascii="Times New Roman" w:hAnsi="Times New Roman" w:cs="Times New Roman"/>
                <w:b/>
                <w:noProof/>
                <w:sz w:val="18"/>
                <w:szCs w:val="18"/>
              </w:rPr>
              <w:t>National public</w:t>
            </w:r>
          </w:p>
        </w:tc>
        <w:tc>
          <w:tcPr>
            <w:tcW w:w="515" w:type="pct"/>
            <w:tcBorders>
              <w:top w:val="single" w:sz="4" w:space="0" w:color="auto"/>
              <w:left w:val="single" w:sz="4" w:space="0" w:color="auto"/>
              <w:bottom w:val="single" w:sz="4" w:space="0" w:color="auto"/>
              <w:right w:val="single" w:sz="4" w:space="0" w:color="auto"/>
            </w:tcBorders>
            <w:hideMark/>
          </w:tcPr>
          <w:p w14:paraId="6C05B36A" w14:textId="77777777" w:rsidR="00653571" w:rsidRPr="008C5F1C" w:rsidRDefault="00653571" w:rsidP="00534127">
            <w:pPr>
              <w:spacing w:before="120" w:after="120"/>
              <w:jc w:val="center"/>
              <w:rPr>
                <w:rFonts w:ascii="Times New Roman" w:hAnsi="Times New Roman" w:cs="Times New Roman"/>
                <w:b/>
                <w:noProof/>
                <w:sz w:val="18"/>
                <w:szCs w:val="18"/>
              </w:rPr>
            </w:pPr>
            <w:r w:rsidRPr="008C5F1C">
              <w:rPr>
                <w:rFonts w:ascii="Times New Roman" w:hAnsi="Times New Roman" w:cs="Times New Roman"/>
                <w:b/>
                <w:noProof/>
                <w:sz w:val="18"/>
                <w:szCs w:val="18"/>
              </w:rPr>
              <w:t>Total</w:t>
            </w:r>
          </w:p>
        </w:tc>
        <w:tc>
          <w:tcPr>
            <w:tcW w:w="849" w:type="pct"/>
            <w:tcBorders>
              <w:top w:val="single" w:sz="4" w:space="0" w:color="auto"/>
              <w:left w:val="single" w:sz="4" w:space="0" w:color="auto"/>
              <w:bottom w:val="single" w:sz="4" w:space="0" w:color="auto"/>
              <w:right w:val="single" w:sz="4" w:space="0" w:color="auto"/>
            </w:tcBorders>
            <w:hideMark/>
          </w:tcPr>
          <w:p w14:paraId="31C0E704" w14:textId="77777777" w:rsidR="00653571" w:rsidRPr="008C5F1C" w:rsidRDefault="00653571" w:rsidP="00534127">
            <w:pPr>
              <w:spacing w:before="120" w:after="120"/>
              <w:jc w:val="center"/>
              <w:rPr>
                <w:rFonts w:ascii="Times New Roman" w:hAnsi="Times New Roman" w:cs="Times New Roman"/>
                <w:b/>
                <w:noProof/>
                <w:sz w:val="18"/>
                <w:szCs w:val="18"/>
              </w:rPr>
            </w:pPr>
            <w:r w:rsidRPr="008C5F1C">
              <w:rPr>
                <w:rFonts w:ascii="Times New Roman" w:hAnsi="Times New Roman" w:cs="Times New Roman"/>
                <w:b/>
                <w:noProof/>
                <w:sz w:val="18"/>
                <w:szCs w:val="18"/>
              </w:rPr>
              <w:t>Co-financing rate</w:t>
            </w:r>
          </w:p>
        </w:tc>
      </w:tr>
      <w:tr w:rsidR="00653571" w:rsidRPr="008C5F1C" w14:paraId="6C93E356" w14:textId="77777777" w:rsidTr="00534127">
        <w:trPr>
          <w:trHeight w:val="294"/>
        </w:trPr>
        <w:tc>
          <w:tcPr>
            <w:tcW w:w="655" w:type="pct"/>
            <w:vMerge w:val="restart"/>
            <w:tcBorders>
              <w:top w:val="single" w:sz="4" w:space="0" w:color="auto"/>
              <w:left w:val="single" w:sz="4" w:space="0" w:color="auto"/>
              <w:bottom w:val="single" w:sz="4" w:space="0" w:color="auto"/>
              <w:right w:val="single" w:sz="4" w:space="0" w:color="auto"/>
            </w:tcBorders>
            <w:hideMark/>
          </w:tcPr>
          <w:p w14:paraId="3DBD6694" w14:textId="77777777" w:rsidR="00653571" w:rsidRPr="008C5F1C" w:rsidRDefault="00653571" w:rsidP="00534127">
            <w:pPr>
              <w:spacing w:before="120" w:after="120"/>
              <w:jc w:val="center"/>
              <w:rPr>
                <w:rFonts w:ascii="Times New Roman" w:hAnsi="Times New Roman" w:cs="Times New Roman"/>
                <w:noProof/>
                <w:sz w:val="18"/>
                <w:szCs w:val="18"/>
              </w:rPr>
            </w:pPr>
            <w:r w:rsidRPr="008C5F1C">
              <w:rPr>
                <w:rFonts w:ascii="Times New Roman" w:hAnsi="Times New Roman" w:cs="Times New Roman"/>
                <w:noProof/>
                <w:sz w:val="18"/>
                <w:szCs w:val="18"/>
              </w:rPr>
              <w:t>Priority 1</w:t>
            </w:r>
          </w:p>
        </w:tc>
        <w:tc>
          <w:tcPr>
            <w:tcW w:w="819" w:type="pct"/>
            <w:tcBorders>
              <w:top w:val="single" w:sz="4" w:space="0" w:color="auto"/>
              <w:left w:val="single" w:sz="4" w:space="0" w:color="auto"/>
              <w:bottom w:val="single" w:sz="4" w:space="0" w:color="auto"/>
              <w:right w:val="single" w:sz="4" w:space="0" w:color="auto"/>
            </w:tcBorders>
            <w:hideMark/>
          </w:tcPr>
          <w:p w14:paraId="26151EBF" w14:textId="77777777" w:rsidR="00653571" w:rsidRPr="008C5F1C" w:rsidRDefault="00653571" w:rsidP="00534127">
            <w:pPr>
              <w:spacing w:before="120" w:after="120"/>
              <w:jc w:val="center"/>
              <w:rPr>
                <w:rFonts w:ascii="Times New Roman" w:hAnsi="Times New Roman" w:cs="Times New Roman"/>
                <w:noProof/>
                <w:sz w:val="18"/>
                <w:szCs w:val="18"/>
              </w:rPr>
            </w:pPr>
            <w:r w:rsidRPr="008C5F1C">
              <w:rPr>
                <w:rFonts w:ascii="Times New Roman" w:hAnsi="Times New Roman" w:cs="Times New Roman"/>
                <w:noProof/>
                <w:sz w:val="18"/>
                <w:szCs w:val="18"/>
              </w:rPr>
              <w:t>1.1</w:t>
            </w:r>
          </w:p>
        </w:tc>
        <w:tc>
          <w:tcPr>
            <w:tcW w:w="719" w:type="pct"/>
            <w:tcBorders>
              <w:top w:val="single" w:sz="4" w:space="0" w:color="auto"/>
              <w:left w:val="single" w:sz="4" w:space="0" w:color="auto"/>
              <w:bottom w:val="single" w:sz="4" w:space="0" w:color="auto"/>
              <w:right w:val="single" w:sz="4" w:space="0" w:color="auto"/>
            </w:tcBorders>
            <w:hideMark/>
          </w:tcPr>
          <w:p w14:paraId="13495D35" w14:textId="77777777" w:rsidR="00653571" w:rsidRPr="008C5F1C" w:rsidRDefault="00653571" w:rsidP="00534127">
            <w:pPr>
              <w:spacing w:before="120" w:after="120"/>
              <w:jc w:val="center"/>
              <w:rPr>
                <w:rFonts w:ascii="Times New Roman" w:hAnsi="Times New Roman" w:cs="Times New Roman"/>
                <w:noProof/>
                <w:sz w:val="18"/>
                <w:szCs w:val="18"/>
              </w:rPr>
            </w:pPr>
            <w:r w:rsidRPr="008C5F1C">
              <w:rPr>
                <w:rFonts w:ascii="Times New Roman" w:hAnsi="Times New Roman" w:cs="Times New Roman"/>
                <w:noProof/>
                <w:sz w:val="18"/>
                <w:szCs w:val="18"/>
              </w:rPr>
              <w:t>Public</w:t>
            </w:r>
          </w:p>
        </w:tc>
        <w:tc>
          <w:tcPr>
            <w:tcW w:w="843" w:type="pct"/>
            <w:tcBorders>
              <w:top w:val="single" w:sz="4" w:space="0" w:color="auto"/>
              <w:left w:val="single" w:sz="4" w:space="0" w:color="auto"/>
              <w:bottom w:val="single" w:sz="4" w:space="0" w:color="auto"/>
              <w:right w:val="single" w:sz="4" w:space="0" w:color="auto"/>
            </w:tcBorders>
          </w:tcPr>
          <w:p w14:paraId="0089693D" w14:textId="77777777" w:rsidR="00653571" w:rsidRPr="008C5F1C" w:rsidRDefault="00653571" w:rsidP="00534127">
            <w:pPr>
              <w:spacing w:before="120" w:after="120"/>
              <w:jc w:val="center"/>
              <w:rPr>
                <w:rFonts w:ascii="Times New Roman" w:hAnsi="Times New Roman" w:cs="Times New Roman"/>
                <w:noProof/>
                <w:sz w:val="18"/>
                <w:szCs w:val="18"/>
              </w:rPr>
            </w:pPr>
          </w:p>
        </w:tc>
        <w:tc>
          <w:tcPr>
            <w:tcW w:w="601" w:type="pct"/>
            <w:tcBorders>
              <w:top w:val="single" w:sz="4" w:space="0" w:color="auto"/>
              <w:left w:val="single" w:sz="4" w:space="0" w:color="auto"/>
              <w:bottom w:val="single" w:sz="4" w:space="0" w:color="auto"/>
              <w:right w:val="single" w:sz="4" w:space="0" w:color="auto"/>
            </w:tcBorders>
          </w:tcPr>
          <w:p w14:paraId="3296F85E" w14:textId="77777777" w:rsidR="00653571" w:rsidRPr="008C5F1C" w:rsidRDefault="00653571" w:rsidP="00534127">
            <w:pPr>
              <w:spacing w:before="120" w:after="120"/>
              <w:jc w:val="center"/>
              <w:rPr>
                <w:rFonts w:ascii="Times New Roman" w:hAnsi="Times New Roman" w:cs="Times New Roman"/>
                <w:noProof/>
                <w:sz w:val="18"/>
                <w:szCs w:val="18"/>
              </w:rPr>
            </w:pPr>
          </w:p>
        </w:tc>
        <w:tc>
          <w:tcPr>
            <w:tcW w:w="515" w:type="pct"/>
            <w:tcBorders>
              <w:top w:val="single" w:sz="4" w:space="0" w:color="auto"/>
              <w:left w:val="single" w:sz="4" w:space="0" w:color="auto"/>
              <w:bottom w:val="single" w:sz="4" w:space="0" w:color="auto"/>
              <w:right w:val="single" w:sz="4" w:space="0" w:color="auto"/>
            </w:tcBorders>
          </w:tcPr>
          <w:p w14:paraId="64C2F242" w14:textId="77777777" w:rsidR="00653571" w:rsidRPr="008C5F1C" w:rsidRDefault="00653571" w:rsidP="00534127">
            <w:pPr>
              <w:spacing w:before="120" w:after="120"/>
              <w:jc w:val="center"/>
              <w:rPr>
                <w:rFonts w:ascii="Times New Roman" w:hAnsi="Times New Roman" w:cs="Times New Roman"/>
                <w:noProof/>
                <w:sz w:val="18"/>
                <w:szCs w:val="18"/>
              </w:rPr>
            </w:pPr>
          </w:p>
        </w:tc>
        <w:tc>
          <w:tcPr>
            <w:tcW w:w="849" w:type="pct"/>
            <w:tcBorders>
              <w:top w:val="single" w:sz="4" w:space="0" w:color="auto"/>
              <w:left w:val="single" w:sz="4" w:space="0" w:color="auto"/>
              <w:bottom w:val="single" w:sz="4" w:space="0" w:color="auto"/>
              <w:right w:val="single" w:sz="4" w:space="0" w:color="auto"/>
            </w:tcBorders>
          </w:tcPr>
          <w:p w14:paraId="25D4B797" w14:textId="77777777" w:rsidR="00653571" w:rsidRPr="008C5F1C" w:rsidRDefault="00653571" w:rsidP="00534127">
            <w:pPr>
              <w:spacing w:before="120" w:after="120"/>
              <w:jc w:val="center"/>
              <w:rPr>
                <w:rFonts w:ascii="Times New Roman" w:hAnsi="Times New Roman" w:cs="Times New Roman"/>
                <w:noProof/>
                <w:sz w:val="18"/>
                <w:szCs w:val="18"/>
              </w:rPr>
            </w:pPr>
          </w:p>
        </w:tc>
      </w:tr>
      <w:tr w:rsidR="00653571" w:rsidRPr="008C5F1C" w14:paraId="6C8F782B" w14:textId="77777777" w:rsidTr="00534127">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853F06" w14:textId="77777777" w:rsidR="00653571" w:rsidRPr="008C5F1C" w:rsidRDefault="00653571" w:rsidP="00534127">
            <w:pPr>
              <w:spacing w:after="0"/>
              <w:rPr>
                <w:rFonts w:ascii="Times New Roman" w:hAnsi="Times New Roman" w:cs="Times New Roman"/>
                <w:noProof/>
                <w:sz w:val="18"/>
                <w:szCs w:val="18"/>
              </w:rPr>
            </w:pPr>
          </w:p>
        </w:tc>
        <w:tc>
          <w:tcPr>
            <w:tcW w:w="819" w:type="pct"/>
            <w:tcBorders>
              <w:top w:val="single" w:sz="4" w:space="0" w:color="auto"/>
              <w:left w:val="single" w:sz="4" w:space="0" w:color="auto"/>
              <w:bottom w:val="single" w:sz="4" w:space="0" w:color="auto"/>
              <w:right w:val="single" w:sz="4" w:space="0" w:color="auto"/>
            </w:tcBorders>
            <w:hideMark/>
          </w:tcPr>
          <w:p w14:paraId="12CF887F" w14:textId="77777777" w:rsidR="00653571" w:rsidRPr="008C5F1C" w:rsidRDefault="00653571" w:rsidP="00534127">
            <w:pPr>
              <w:spacing w:before="120" w:after="120"/>
              <w:jc w:val="center"/>
              <w:rPr>
                <w:rFonts w:ascii="Times New Roman" w:hAnsi="Times New Roman" w:cs="Times New Roman"/>
                <w:noProof/>
                <w:sz w:val="18"/>
                <w:szCs w:val="18"/>
              </w:rPr>
            </w:pPr>
            <w:r w:rsidRPr="008C5F1C">
              <w:rPr>
                <w:rFonts w:ascii="Times New Roman" w:hAnsi="Times New Roman" w:cs="Times New Roman"/>
                <w:noProof/>
                <w:sz w:val="18"/>
                <w:szCs w:val="18"/>
              </w:rPr>
              <w:t>1.2</w:t>
            </w:r>
          </w:p>
        </w:tc>
        <w:tc>
          <w:tcPr>
            <w:tcW w:w="719" w:type="pct"/>
            <w:tcBorders>
              <w:top w:val="single" w:sz="4" w:space="0" w:color="auto"/>
              <w:left w:val="single" w:sz="4" w:space="0" w:color="auto"/>
              <w:bottom w:val="single" w:sz="4" w:space="0" w:color="auto"/>
              <w:right w:val="single" w:sz="4" w:space="0" w:color="auto"/>
            </w:tcBorders>
            <w:hideMark/>
          </w:tcPr>
          <w:p w14:paraId="3EB43645" w14:textId="77777777" w:rsidR="00653571" w:rsidRPr="008C5F1C" w:rsidRDefault="00653571" w:rsidP="00534127">
            <w:pPr>
              <w:spacing w:before="120" w:after="120"/>
              <w:jc w:val="center"/>
              <w:rPr>
                <w:rFonts w:ascii="Times New Roman" w:hAnsi="Times New Roman" w:cs="Times New Roman"/>
                <w:noProof/>
                <w:sz w:val="18"/>
                <w:szCs w:val="18"/>
              </w:rPr>
            </w:pPr>
            <w:r w:rsidRPr="008C5F1C">
              <w:rPr>
                <w:rFonts w:ascii="Times New Roman" w:hAnsi="Times New Roman" w:cs="Times New Roman"/>
                <w:noProof/>
                <w:sz w:val="18"/>
                <w:szCs w:val="18"/>
              </w:rPr>
              <w:t>Public</w:t>
            </w:r>
          </w:p>
        </w:tc>
        <w:tc>
          <w:tcPr>
            <w:tcW w:w="843" w:type="pct"/>
            <w:tcBorders>
              <w:top w:val="single" w:sz="4" w:space="0" w:color="auto"/>
              <w:left w:val="single" w:sz="4" w:space="0" w:color="auto"/>
              <w:bottom w:val="single" w:sz="4" w:space="0" w:color="auto"/>
              <w:right w:val="single" w:sz="4" w:space="0" w:color="auto"/>
            </w:tcBorders>
          </w:tcPr>
          <w:p w14:paraId="2292DB02" w14:textId="77777777" w:rsidR="00653571" w:rsidRPr="008C5F1C" w:rsidRDefault="00653571" w:rsidP="00534127">
            <w:pPr>
              <w:spacing w:before="120" w:after="120"/>
              <w:jc w:val="center"/>
              <w:rPr>
                <w:rFonts w:ascii="Times New Roman" w:hAnsi="Times New Roman" w:cs="Times New Roman"/>
                <w:noProof/>
                <w:sz w:val="18"/>
                <w:szCs w:val="18"/>
              </w:rPr>
            </w:pPr>
          </w:p>
        </w:tc>
        <w:tc>
          <w:tcPr>
            <w:tcW w:w="601" w:type="pct"/>
            <w:tcBorders>
              <w:top w:val="single" w:sz="4" w:space="0" w:color="auto"/>
              <w:left w:val="single" w:sz="4" w:space="0" w:color="auto"/>
              <w:bottom w:val="single" w:sz="4" w:space="0" w:color="auto"/>
              <w:right w:val="single" w:sz="4" w:space="0" w:color="auto"/>
            </w:tcBorders>
          </w:tcPr>
          <w:p w14:paraId="76E8A71A" w14:textId="77777777" w:rsidR="00653571" w:rsidRPr="008C5F1C" w:rsidRDefault="00653571" w:rsidP="00534127">
            <w:pPr>
              <w:spacing w:before="120" w:after="120"/>
              <w:jc w:val="center"/>
              <w:rPr>
                <w:rFonts w:ascii="Times New Roman" w:hAnsi="Times New Roman" w:cs="Times New Roman"/>
                <w:noProof/>
                <w:sz w:val="18"/>
                <w:szCs w:val="18"/>
              </w:rPr>
            </w:pPr>
          </w:p>
        </w:tc>
        <w:tc>
          <w:tcPr>
            <w:tcW w:w="515" w:type="pct"/>
            <w:tcBorders>
              <w:top w:val="single" w:sz="4" w:space="0" w:color="auto"/>
              <w:left w:val="single" w:sz="4" w:space="0" w:color="auto"/>
              <w:bottom w:val="single" w:sz="4" w:space="0" w:color="auto"/>
              <w:right w:val="single" w:sz="4" w:space="0" w:color="auto"/>
            </w:tcBorders>
          </w:tcPr>
          <w:p w14:paraId="565F864E" w14:textId="77777777" w:rsidR="00653571" w:rsidRPr="008C5F1C" w:rsidRDefault="00653571" w:rsidP="00534127">
            <w:pPr>
              <w:spacing w:before="120" w:after="120"/>
              <w:jc w:val="center"/>
              <w:rPr>
                <w:rFonts w:ascii="Times New Roman" w:hAnsi="Times New Roman" w:cs="Times New Roman"/>
                <w:noProof/>
                <w:sz w:val="18"/>
                <w:szCs w:val="18"/>
              </w:rPr>
            </w:pPr>
          </w:p>
        </w:tc>
        <w:tc>
          <w:tcPr>
            <w:tcW w:w="849" w:type="pct"/>
            <w:tcBorders>
              <w:top w:val="single" w:sz="4" w:space="0" w:color="auto"/>
              <w:left w:val="single" w:sz="4" w:space="0" w:color="auto"/>
              <w:bottom w:val="single" w:sz="4" w:space="0" w:color="auto"/>
              <w:right w:val="single" w:sz="4" w:space="0" w:color="auto"/>
            </w:tcBorders>
          </w:tcPr>
          <w:p w14:paraId="29B053E6" w14:textId="77777777" w:rsidR="00653571" w:rsidRPr="008C5F1C" w:rsidRDefault="00653571" w:rsidP="00534127">
            <w:pPr>
              <w:spacing w:before="120" w:after="120"/>
              <w:jc w:val="center"/>
              <w:rPr>
                <w:rFonts w:ascii="Times New Roman" w:hAnsi="Times New Roman" w:cs="Times New Roman"/>
                <w:noProof/>
                <w:sz w:val="18"/>
                <w:szCs w:val="18"/>
              </w:rPr>
            </w:pPr>
          </w:p>
        </w:tc>
      </w:tr>
      <w:tr w:rsidR="00653571" w:rsidRPr="008C5F1C" w14:paraId="1A83C1A6" w14:textId="77777777" w:rsidTr="00534127">
        <w:trPr>
          <w:trHeight w:val="2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01ECC0" w14:textId="77777777" w:rsidR="00653571" w:rsidRPr="008C5F1C" w:rsidRDefault="00653571" w:rsidP="00534127">
            <w:pPr>
              <w:spacing w:after="0"/>
              <w:rPr>
                <w:rFonts w:ascii="Times New Roman" w:hAnsi="Times New Roman" w:cs="Times New Roman"/>
                <w:noProof/>
                <w:sz w:val="18"/>
                <w:szCs w:val="18"/>
              </w:rPr>
            </w:pPr>
          </w:p>
        </w:tc>
        <w:tc>
          <w:tcPr>
            <w:tcW w:w="819" w:type="pct"/>
            <w:tcBorders>
              <w:top w:val="single" w:sz="4" w:space="0" w:color="auto"/>
              <w:left w:val="single" w:sz="4" w:space="0" w:color="auto"/>
              <w:bottom w:val="single" w:sz="4" w:space="0" w:color="auto"/>
              <w:right w:val="single" w:sz="4" w:space="0" w:color="auto"/>
            </w:tcBorders>
            <w:hideMark/>
          </w:tcPr>
          <w:p w14:paraId="7FE46793" w14:textId="77777777" w:rsidR="00653571" w:rsidRPr="008C5F1C" w:rsidRDefault="00653571" w:rsidP="00534127">
            <w:pPr>
              <w:spacing w:before="120" w:after="120"/>
              <w:jc w:val="center"/>
              <w:rPr>
                <w:rFonts w:ascii="Times New Roman" w:hAnsi="Times New Roman" w:cs="Times New Roman"/>
                <w:noProof/>
                <w:sz w:val="18"/>
                <w:szCs w:val="18"/>
              </w:rPr>
            </w:pPr>
            <w:r w:rsidRPr="008C5F1C">
              <w:rPr>
                <w:rFonts w:ascii="Times New Roman" w:hAnsi="Times New Roman" w:cs="Times New Roman"/>
                <w:noProof/>
                <w:sz w:val="18"/>
                <w:szCs w:val="18"/>
              </w:rPr>
              <w:t>1.3</w:t>
            </w:r>
          </w:p>
        </w:tc>
        <w:tc>
          <w:tcPr>
            <w:tcW w:w="719" w:type="pct"/>
            <w:tcBorders>
              <w:top w:val="single" w:sz="4" w:space="0" w:color="auto"/>
              <w:left w:val="single" w:sz="4" w:space="0" w:color="auto"/>
              <w:bottom w:val="single" w:sz="4" w:space="0" w:color="auto"/>
              <w:right w:val="single" w:sz="4" w:space="0" w:color="auto"/>
            </w:tcBorders>
            <w:hideMark/>
          </w:tcPr>
          <w:p w14:paraId="78666CD5" w14:textId="77777777" w:rsidR="00653571" w:rsidRPr="008C5F1C" w:rsidRDefault="00653571" w:rsidP="00534127">
            <w:pPr>
              <w:spacing w:before="120" w:after="120"/>
              <w:jc w:val="center"/>
              <w:rPr>
                <w:rFonts w:ascii="Times New Roman" w:hAnsi="Times New Roman" w:cs="Times New Roman"/>
                <w:noProof/>
                <w:sz w:val="18"/>
                <w:szCs w:val="18"/>
              </w:rPr>
            </w:pPr>
            <w:r w:rsidRPr="008C5F1C">
              <w:rPr>
                <w:rFonts w:ascii="Times New Roman" w:hAnsi="Times New Roman" w:cs="Times New Roman"/>
                <w:noProof/>
                <w:sz w:val="18"/>
                <w:szCs w:val="18"/>
              </w:rPr>
              <w:t>Public</w:t>
            </w:r>
          </w:p>
        </w:tc>
        <w:tc>
          <w:tcPr>
            <w:tcW w:w="843" w:type="pct"/>
            <w:tcBorders>
              <w:top w:val="single" w:sz="4" w:space="0" w:color="auto"/>
              <w:left w:val="single" w:sz="4" w:space="0" w:color="auto"/>
              <w:bottom w:val="single" w:sz="4" w:space="0" w:color="auto"/>
              <w:right w:val="single" w:sz="4" w:space="0" w:color="auto"/>
            </w:tcBorders>
          </w:tcPr>
          <w:p w14:paraId="0C6A2018" w14:textId="77777777" w:rsidR="00653571" w:rsidRPr="008C5F1C" w:rsidRDefault="00653571" w:rsidP="00534127">
            <w:pPr>
              <w:spacing w:before="120" w:after="120"/>
              <w:jc w:val="center"/>
              <w:rPr>
                <w:rFonts w:ascii="Times New Roman" w:hAnsi="Times New Roman" w:cs="Times New Roman"/>
                <w:noProof/>
                <w:sz w:val="18"/>
                <w:szCs w:val="18"/>
              </w:rPr>
            </w:pPr>
          </w:p>
        </w:tc>
        <w:tc>
          <w:tcPr>
            <w:tcW w:w="601" w:type="pct"/>
            <w:tcBorders>
              <w:top w:val="single" w:sz="4" w:space="0" w:color="auto"/>
              <w:left w:val="single" w:sz="4" w:space="0" w:color="auto"/>
              <w:bottom w:val="single" w:sz="4" w:space="0" w:color="auto"/>
              <w:right w:val="single" w:sz="4" w:space="0" w:color="auto"/>
            </w:tcBorders>
          </w:tcPr>
          <w:p w14:paraId="5E5DDDCF" w14:textId="77777777" w:rsidR="00653571" w:rsidRPr="008C5F1C" w:rsidRDefault="00653571" w:rsidP="00534127">
            <w:pPr>
              <w:spacing w:before="120" w:after="120"/>
              <w:jc w:val="center"/>
              <w:rPr>
                <w:rFonts w:ascii="Times New Roman" w:hAnsi="Times New Roman" w:cs="Times New Roman"/>
                <w:noProof/>
                <w:sz w:val="18"/>
                <w:szCs w:val="18"/>
              </w:rPr>
            </w:pPr>
          </w:p>
        </w:tc>
        <w:tc>
          <w:tcPr>
            <w:tcW w:w="515" w:type="pct"/>
            <w:tcBorders>
              <w:top w:val="single" w:sz="4" w:space="0" w:color="auto"/>
              <w:left w:val="single" w:sz="4" w:space="0" w:color="auto"/>
              <w:bottom w:val="single" w:sz="4" w:space="0" w:color="auto"/>
              <w:right w:val="single" w:sz="4" w:space="0" w:color="auto"/>
            </w:tcBorders>
          </w:tcPr>
          <w:p w14:paraId="521324AA" w14:textId="77777777" w:rsidR="00653571" w:rsidRPr="008C5F1C" w:rsidRDefault="00653571" w:rsidP="00534127">
            <w:pPr>
              <w:spacing w:before="120" w:after="120"/>
              <w:jc w:val="center"/>
              <w:rPr>
                <w:rFonts w:ascii="Times New Roman" w:hAnsi="Times New Roman" w:cs="Times New Roman"/>
                <w:noProof/>
                <w:sz w:val="18"/>
                <w:szCs w:val="18"/>
              </w:rPr>
            </w:pPr>
          </w:p>
        </w:tc>
        <w:tc>
          <w:tcPr>
            <w:tcW w:w="849" w:type="pct"/>
            <w:tcBorders>
              <w:top w:val="single" w:sz="4" w:space="0" w:color="auto"/>
              <w:left w:val="single" w:sz="4" w:space="0" w:color="auto"/>
              <w:bottom w:val="single" w:sz="4" w:space="0" w:color="auto"/>
              <w:right w:val="single" w:sz="4" w:space="0" w:color="auto"/>
            </w:tcBorders>
          </w:tcPr>
          <w:p w14:paraId="43727F20" w14:textId="77777777" w:rsidR="00653571" w:rsidRPr="008C5F1C" w:rsidRDefault="00653571" w:rsidP="00534127">
            <w:pPr>
              <w:spacing w:before="120" w:after="120"/>
              <w:jc w:val="center"/>
              <w:rPr>
                <w:rFonts w:ascii="Times New Roman" w:hAnsi="Times New Roman" w:cs="Times New Roman"/>
                <w:noProof/>
                <w:sz w:val="18"/>
                <w:szCs w:val="18"/>
              </w:rPr>
            </w:pPr>
          </w:p>
        </w:tc>
      </w:tr>
      <w:tr w:rsidR="00653571" w:rsidRPr="008C5F1C" w14:paraId="3D6F4F67" w14:textId="77777777" w:rsidTr="00534127">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A8BAAC" w14:textId="77777777" w:rsidR="00653571" w:rsidRPr="008C5F1C" w:rsidRDefault="00653571" w:rsidP="00534127">
            <w:pPr>
              <w:spacing w:after="0"/>
              <w:rPr>
                <w:rFonts w:ascii="Times New Roman" w:hAnsi="Times New Roman" w:cs="Times New Roman"/>
                <w:noProof/>
                <w:sz w:val="18"/>
                <w:szCs w:val="18"/>
              </w:rPr>
            </w:pPr>
          </w:p>
        </w:tc>
        <w:tc>
          <w:tcPr>
            <w:tcW w:w="819" w:type="pct"/>
            <w:tcBorders>
              <w:top w:val="single" w:sz="4" w:space="0" w:color="auto"/>
              <w:left w:val="single" w:sz="4" w:space="0" w:color="auto"/>
              <w:bottom w:val="single" w:sz="4" w:space="0" w:color="auto"/>
              <w:right w:val="single" w:sz="4" w:space="0" w:color="auto"/>
            </w:tcBorders>
            <w:hideMark/>
          </w:tcPr>
          <w:p w14:paraId="230E2942" w14:textId="77777777" w:rsidR="00653571" w:rsidRPr="008C5F1C" w:rsidRDefault="00653571" w:rsidP="00534127">
            <w:pPr>
              <w:spacing w:before="120" w:after="120"/>
              <w:jc w:val="center"/>
              <w:rPr>
                <w:rFonts w:ascii="Times New Roman" w:hAnsi="Times New Roman" w:cs="Times New Roman"/>
                <w:noProof/>
                <w:sz w:val="18"/>
                <w:szCs w:val="18"/>
              </w:rPr>
            </w:pPr>
            <w:r w:rsidRPr="008C5F1C">
              <w:rPr>
                <w:rFonts w:ascii="Times New Roman" w:hAnsi="Times New Roman" w:cs="Times New Roman"/>
                <w:noProof/>
                <w:sz w:val="18"/>
                <w:szCs w:val="18"/>
              </w:rPr>
              <w:t>1.4</w:t>
            </w:r>
          </w:p>
        </w:tc>
        <w:tc>
          <w:tcPr>
            <w:tcW w:w="719" w:type="pct"/>
            <w:tcBorders>
              <w:top w:val="single" w:sz="4" w:space="0" w:color="auto"/>
              <w:left w:val="single" w:sz="4" w:space="0" w:color="auto"/>
              <w:bottom w:val="single" w:sz="4" w:space="0" w:color="auto"/>
              <w:right w:val="single" w:sz="4" w:space="0" w:color="auto"/>
            </w:tcBorders>
            <w:hideMark/>
          </w:tcPr>
          <w:p w14:paraId="71519B78" w14:textId="77777777" w:rsidR="00653571" w:rsidRPr="008C5F1C" w:rsidRDefault="00653571" w:rsidP="00534127">
            <w:pPr>
              <w:spacing w:before="120" w:after="120"/>
              <w:jc w:val="center"/>
              <w:rPr>
                <w:rFonts w:ascii="Times New Roman" w:hAnsi="Times New Roman" w:cs="Times New Roman"/>
                <w:noProof/>
                <w:sz w:val="18"/>
                <w:szCs w:val="18"/>
              </w:rPr>
            </w:pPr>
            <w:r w:rsidRPr="008C5F1C">
              <w:rPr>
                <w:rFonts w:ascii="Times New Roman" w:hAnsi="Times New Roman" w:cs="Times New Roman"/>
                <w:noProof/>
                <w:sz w:val="18"/>
                <w:szCs w:val="18"/>
              </w:rPr>
              <w:t>Public</w:t>
            </w:r>
          </w:p>
        </w:tc>
        <w:tc>
          <w:tcPr>
            <w:tcW w:w="843" w:type="pct"/>
            <w:tcBorders>
              <w:top w:val="single" w:sz="4" w:space="0" w:color="auto"/>
              <w:left w:val="single" w:sz="4" w:space="0" w:color="auto"/>
              <w:bottom w:val="single" w:sz="4" w:space="0" w:color="auto"/>
              <w:right w:val="single" w:sz="4" w:space="0" w:color="auto"/>
            </w:tcBorders>
          </w:tcPr>
          <w:p w14:paraId="62C64A45" w14:textId="77777777" w:rsidR="00653571" w:rsidRPr="008C5F1C" w:rsidRDefault="00653571" w:rsidP="00534127">
            <w:pPr>
              <w:spacing w:before="120" w:after="120"/>
              <w:jc w:val="center"/>
              <w:rPr>
                <w:rFonts w:ascii="Times New Roman" w:hAnsi="Times New Roman" w:cs="Times New Roman"/>
                <w:noProof/>
                <w:sz w:val="18"/>
                <w:szCs w:val="18"/>
              </w:rPr>
            </w:pPr>
          </w:p>
        </w:tc>
        <w:tc>
          <w:tcPr>
            <w:tcW w:w="601" w:type="pct"/>
            <w:tcBorders>
              <w:top w:val="single" w:sz="4" w:space="0" w:color="auto"/>
              <w:left w:val="single" w:sz="4" w:space="0" w:color="auto"/>
              <w:bottom w:val="single" w:sz="4" w:space="0" w:color="auto"/>
              <w:right w:val="single" w:sz="4" w:space="0" w:color="auto"/>
            </w:tcBorders>
          </w:tcPr>
          <w:p w14:paraId="6C1C26AF" w14:textId="77777777" w:rsidR="00653571" w:rsidRPr="008C5F1C" w:rsidRDefault="00653571" w:rsidP="00534127">
            <w:pPr>
              <w:spacing w:before="120" w:after="120"/>
              <w:jc w:val="center"/>
              <w:rPr>
                <w:rFonts w:ascii="Times New Roman" w:hAnsi="Times New Roman" w:cs="Times New Roman"/>
                <w:noProof/>
                <w:sz w:val="18"/>
                <w:szCs w:val="18"/>
              </w:rPr>
            </w:pPr>
          </w:p>
        </w:tc>
        <w:tc>
          <w:tcPr>
            <w:tcW w:w="515" w:type="pct"/>
            <w:tcBorders>
              <w:top w:val="single" w:sz="4" w:space="0" w:color="auto"/>
              <w:left w:val="single" w:sz="4" w:space="0" w:color="auto"/>
              <w:bottom w:val="single" w:sz="4" w:space="0" w:color="auto"/>
              <w:right w:val="single" w:sz="4" w:space="0" w:color="auto"/>
            </w:tcBorders>
          </w:tcPr>
          <w:p w14:paraId="0F04FDD0" w14:textId="77777777" w:rsidR="00653571" w:rsidRPr="008C5F1C" w:rsidRDefault="00653571" w:rsidP="00534127">
            <w:pPr>
              <w:spacing w:before="120" w:after="120"/>
              <w:jc w:val="center"/>
              <w:rPr>
                <w:rFonts w:ascii="Times New Roman" w:hAnsi="Times New Roman" w:cs="Times New Roman"/>
                <w:noProof/>
                <w:sz w:val="18"/>
                <w:szCs w:val="18"/>
              </w:rPr>
            </w:pPr>
          </w:p>
        </w:tc>
        <w:tc>
          <w:tcPr>
            <w:tcW w:w="849" w:type="pct"/>
            <w:tcBorders>
              <w:top w:val="single" w:sz="4" w:space="0" w:color="auto"/>
              <w:left w:val="single" w:sz="4" w:space="0" w:color="auto"/>
              <w:bottom w:val="single" w:sz="4" w:space="0" w:color="auto"/>
              <w:right w:val="single" w:sz="4" w:space="0" w:color="auto"/>
            </w:tcBorders>
          </w:tcPr>
          <w:p w14:paraId="4D89E051" w14:textId="77777777" w:rsidR="00653571" w:rsidRPr="008C5F1C" w:rsidRDefault="00653571" w:rsidP="00534127">
            <w:pPr>
              <w:spacing w:before="120" w:after="120"/>
              <w:jc w:val="center"/>
              <w:rPr>
                <w:rFonts w:ascii="Times New Roman" w:hAnsi="Times New Roman" w:cs="Times New Roman"/>
                <w:noProof/>
                <w:sz w:val="18"/>
                <w:szCs w:val="18"/>
              </w:rPr>
            </w:pPr>
          </w:p>
        </w:tc>
      </w:tr>
      <w:tr w:rsidR="00653571" w:rsidRPr="008C5F1C" w14:paraId="09CBE9D8" w14:textId="77777777" w:rsidTr="00534127">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46034C" w14:textId="77777777" w:rsidR="00653571" w:rsidRPr="008C5F1C" w:rsidRDefault="00653571" w:rsidP="00534127">
            <w:pPr>
              <w:spacing w:after="0"/>
              <w:rPr>
                <w:rFonts w:ascii="Times New Roman" w:hAnsi="Times New Roman" w:cs="Times New Roman"/>
                <w:noProof/>
                <w:sz w:val="18"/>
                <w:szCs w:val="18"/>
              </w:rPr>
            </w:pPr>
          </w:p>
        </w:tc>
        <w:tc>
          <w:tcPr>
            <w:tcW w:w="819" w:type="pct"/>
            <w:tcBorders>
              <w:top w:val="single" w:sz="4" w:space="0" w:color="auto"/>
              <w:left w:val="single" w:sz="4" w:space="0" w:color="auto"/>
              <w:bottom w:val="single" w:sz="4" w:space="0" w:color="auto"/>
              <w:right w:val="single" w:sz="4" w:space="0" w:color="auto"/>
            </w:tcBorders>
            <w:hideMark/>
          </w:tcPr>
          <w:p w14:paraId="02F9757F" w14:textId="77777777" w:rsidR="00653571" w:rsidRPr="008C5F1C" w:rsidRDefault="00653571" w:rsidP="00534127">
            <w:pPr>
              <w:spacing w:before="120" w:after="120"/>
              <w:jc w:val="center"/>
              <w:rPr>
                <w:rFonts w:ascii="Times New Roman" w:hAnsi="Times New Roman" w:cs="Times New Roman"/>
                <w:noProof/>
                <w:sz w:val="18"/>
                <w:szCs w:val="18"/>
              </w:rPr>
            </w:pPr>
            <w:r w:rsidRPr="008C5F1C">
              <w:rPr>
                <w:rFonts w:ascii="Times New Roman" w:hAnsi="Times New Roman" w:cs="Times New Roman"/>
                <w:noProof/>
                <w:sz w:val="18"/>
                <w:szCs w:val="18"/>
              </w:rPr>
              <w:t>1.5</w:t>
            </w:r>
          </w:p>
        </w:tc>
        <w:tc>
          <w:tcPr>
            <w:tcW w:w="719" w:type="pct"/>
            <w:tcBorders>
              <w:top w:val="single" w:sz="4" w:space="0" w:color="auto"/>
              <w:left w:val="single" w:sz="4" w:space="0" w:color="auto"/>
              <w:bottom w:val="single" w:sz="4" w:space="0" w:color="auto"/>
              <w:right w:val="single" w:sz="4" w:space="0" w:color="auto"/>
            </w:tcBorders>
            <w:hideMark/>
          </w:tcPr>
          <w:p w14:paraId="371D386B" w14:textId="77777777" w:rsidR="00653571" w:rsidRPr="008C5F1C" w:rsidRDefault="00653571" w:rsidP="00534127">
            <w:pPr>
              <w:spacing w:before="120" w:after="120"/>
              <w:jc w:val="center"/>
              <w:rPr>
                <w:rFonts w:ascii="Times New Roman" w:hAnsi="Times New Roman" w:cs="Times New Roman"/>
                <w:noProof/>
                <w:sz w:val="18"/>
                <w:szCs w:val="18"/>
              </w:rPr>
            </w:pPr>
            <w:r w:rsidRPr="008C5F1C">
              <w:rPr>
                <w:rFonts w:ascii="Times New Roman" w:hAnsi="Times New Roman" w:cs="Times New Roman"/>
                <w:noProof/>
                <w:sz w:val="18"/>
                <w:szCs w:val="18"/>
              </w:rPr>
              <w:t>Public</w:t>
            </w:r>
          </w:p>
        </w:tc>
        <w:tc>
          <w:tcPr>
            <w:tcW w:w="843" w:type="pct"/>
            <w:tcBorders>
              <w:top w:val="single" w:sz="4" w:space="0" w:color="auto"/>
              <w:left w:val="single" w:sz="4" w:space="0" w:color="auto"/>
              <w:bottom w:val="single" w:sz="4" w:space="0" w:color="auto"/>
              <w:right w:val="single" w:sz="4" w:space="0" w:color="auto"/>
            </w:tcBorders>
          </w:tcPr>
          <w:p w14:paraId="770A2BF3" w14:textId="77777777" w:rsidR="00653571" w:rsidRPr="008C5F1C" w:rsidRDefault="00653571" w:rsidP="00534127">
            <w:pPr>
              <w:spacing w:before="120" w:after="120"/>
              <w:jc w:val="center"/>
              <w:rPr>
                <w:rFonts w:ascii="Times New Roman" w:hAnsi="Times New Roman" w:cs="Times New Roman"/>
                <w:noProof/>
                <w:sz w:val="18"/>
                <w:szCs w:val="18"/>
              </w:rPr>
            </w:pPr>
          </w:p>
        </w:tc>
        <w:tc>
          <w:tcPr>
            <w:tcW w:w="601" w:type="pct"/>
            <w:tcBorders>
              <w:top w:val="single" w:sz="4" w:space="0" w:color="auto"/>
              <w:left w:val="single" w:sz="4" w:space="0" w:color="auto"/>
              <w:bottom w:val="single" w:sz="4" w:space="0" w:color="auto"/>
              <w:right w:val="single" w:sz="4" w:space="0" w:color="auto"/>
            </w:tcBorders>
          </w:tcPr>
          <w:p w14:paraId="5C44FA45" w14:textId="77777777" w:rsidR="00653571" w:rsidRPr="008C5F1C" w:rsidRDefault="00653571" w:rsidP="00534127">
            <w:pPr>
              <w:spacing w:before="120" w:after="120"/>
              <w:jc w:val="center"/>
              <w:rPr>
                <w:rFonts w:ascii="Times New Roman" w:hAnsi="Times New Roman" w:cs="Times New Roman"/>
                <w:noProof/>
                <w:sz w:val="18"/>
                <w:szCs w:val="18"/>
              </w:rPr>
            </w:pPr>
          </w:p>
        </w:tc>
        <w:tc>
          <w:tcPr>
            <w:tcW w:w="515" w:type="pct"/>
            <w:tcBorders>
              <w:top w:val="single" w:sz="4" w:space="0" w:color="auto"/>
              <w:left w:val="single" w:sz="4" w:space="0" w:color="auto"/>
              <w:bottom w:val="single" w:sz="4" w:space="0" w:color="auto"/>
              <w:right w:val="single" w:sz="4" w:space="0" w:color="auto"/>
            </w:tcBorders>
          </w:tcPr>
          <w:p w14:paraId="5D41FF9B" w14:textId="77777777" w:rsidR="00653571" w:rsidRPr="008C5F1C" w:rsidRDefault="00653571" w:rsidP="00534127">
            <w:pPr>
              <w:spacing w:before="120" w:after="120"/>
              <w:jc w:val="center"/>
              <w:rPr>
                <w:rFonts w:ascii="Times New Roman" w:hAnsi="Times New Roman" w:cs="Times New Roman"/>
                <w:noProof/>
                <w:sz w:val="18"/>
                <w:szCs w:val="18"/>
              </w:rPr>
            </w:pPr>
          </w:p>
        </w:tc>
        <w:tc>
          <w:tcPr>
            <w:tcW w:w="849" w:type="pct"/>
            <w:tcBorders>
              <w:top w:val="single" w:sz="4" w:space="0" w:color="auto"/>
              <w:left w:val="single" w:sz="4" w:space="0" w:color="auto"/>
              <w:bottom w:val="single" w:sz="4" w:space="0" w:color="auto"/>
              <w:right w:val="single" w:sz="4" w:space="0" w:color="auto"/>
            </w:tcBorders>
          </w:tcPr>
          <w:p w14:paraId="47F7D5A5" w14:textId="77777777" w:rsidR="00653571" w:rsidRPr="008C5F1C" w:rsidRDefault="00653571" w:rsidP="00534127">
            <w:pPr>
              <w:spacing w:before="120" w:after="120"/>
              <w:jc w:val="center"/>
              <w:rPr>
                <w:rFonts w:ascii="Times New Roman" w:hAnsi="Times New Roman" w:cs="Times New Roman"/>
                <w:noProof/>
                <w:sz w:val="18"/>
                <w:szCs w:val="18"/>
              </w:rPr>
            </w:pPr>
          </w:p>
        </w:tc>
      </w:tr>
      <w:tr w:rsidR="00653571" w:rsidRPr="008C5F1C" w14:paraId="62CBC1A1" w14:textId="77777777" w:rsidTr="00534127">
        <w:trPr>
          <w:trHeight w:val="290"/>
        </w:trPr>
        <w:tc>
          <w:tcPr>
            <w:tcW w:w="655" w:type="pct"/>
            <w:tcBorders>
              <w:top w:val="single" w:sz="4" w:space="0" w:color="auto"/>
              <w:left w:val="single" w:sz="4" w:space="0" w:color="auto"/>
              <w:bottom w:val="single" w:sz="4" w:space="0" w:color="auto"/>
              <w:right w:val="single" w:sz="4" w:space="0" w:color="auto"/>
            </w:tcBorders>
            <w:hideMark/>
          </w:tcPr>
          <w:p w14:paraId="6ED6C135" w14:textId="77777777" w:rsidR="00653571" w:rsidRPr="008C5F1C" w:rsidRDefault="00653571" w:rsidP="00534127">
            <w:pPr>
              <w:spacing w:before="120" w:after="120"/>
              <w:jc w:val="center"/>
              <w:rPr>
                <w:rFonts w:ascii="Times New Roman" w:hAnsi="Times New Roman" w:cs="Times New Roman"/>
                <w:noProof/>
                <w:sz w:val="18"/>
                <w:szCs w:val="18"/>
              </w:rPr>
            </w:pPr>
            <w:r w:rsidRPr="008C5F1C">
              <w:rPr>
                <w:rFonts w:ascii="Times New Roman" w:hAnsi="Times New Roman" w:cs="Times New Roman"/>
                <w:noProof/>
                <w:sz w:val="18"/>
                <w:szCs w:val="18"/>
              </w:rPr>
              <w:t>Priority 2</w:t>
            </w:r>
          </w:p>
        </w:tc>
        <w:tc>
          <w:tcPr>
            <w:tcW w:w="819" w:type="pct"/>
            <w:tcBorders>
              <w:top w:val="single" w:sz="4" w:space="0" w:color="auto"/>
              <w:left w:val="single" w:sz="4" w:space="0" w:color="auto"/>
              <w:bottom w:val="single" w:sz="4" w:space="0" w:color="auto"/>
              <w:right w:val="single" w:sz="4" w:space="0" w:color="auto"/>
            </w:tcBorders>
            <w:hideMark/>
          </w:tcPr>
          <w:p w14:paraId="3FBF01DE" w14:textId="77777777" w:rsidR="00653571" w:rsidRPr="008C5F1C" w:rsidRDefault="00653571" w:rsidP="00534127">
            <w:pPr>
              <w:spacing w:before="120" w:after="120"/>
              <w:jc w:val="center"/>
              <w:rPr>
                <w:rFonts w:ascii="Times New Roman" w:hAnsi="Times New Roman" w:cs="Times New Roman"/>
                <w:noProof/>
                <w:sz w:val="18"/>
                <w:szCs w:val="18"/>
              </w:rPr>
            </w:pPr>
            <w:r w:rsidRPr="008C5F1C">
              <w:rPr>
                <w:rFonts w:ascii="Times New Roman" w:hAnsi="Times New Roman" w:cs="Times New Roman"/>
                <w:noProof/>
                <w:sz w:val="18"/>
                <w:szCs w:val="18"/>
              </w:rPr>
              <w:t>2.1</w:t>
            </w:r>
          </w:p>
        </w:tc>
        <w:tc>
          <w:tcPr>
            <w:tcW w:w="719" w:type="pct"/>
            <w:tcBorders>
              <w:top w:val="single" w:sz="4" w:space="0" w:color="auto"/>
              <w:left w:val="single" w:sz="4" w:space="0" w:color="auto"/>
              <w:bottom w:val="single" w:sz="4" w:space="0" w:color="auto"/>
              <w:right w:val="single" w:sz="4" w:space="0" w:color="auto"/>
            </w:tcBorders>
            <w:hideMark/>
          </w:tcPr>
          <w:p w14:paraId="1DB785FB" w14:textId="77777777" w:rsidR="00653571" w:rsidRPr="008C5F1C" w:rsidRDefault="00653571" w:rsidP="00534127">
            <w:pPr>
              <w:spacing w:before="120" w:after="120"/>
              <w:jc w:val="center"/>
              <w:rPr>
                <w:rFonts w:ascii="Times New Roman" w:hAnsi="Times New Roman" w:cs="Times New Roman"/>
                <w:noProof/>
                <w:sz w:val="18"/>
                <w:szCs w:val="18"/>
              </w:rPr>
            </w:pPr>
            <w:r w:rsidRPr="008C5F1C">
              <w:rPr>
                <w:rFonts w:ascii="Times New Roman" w:hAnsi="Times New Roman" w:cs="Times New Roman"/>
                <w:noProof/>
                <w:sz w:val="18"/>
                <w:szCs w:val="18"/>
              </w:rPr>
              <w:t>Public</w:t>
            </w:r>
          </w:p>
        </w:tc>
        <w:tc>
          <w:tcPr>
            <w:tcW w:w="843" w:type="pct"/>
            <w:tcBorders>
              <w:top w:val="single" w:sz="4" w:space="0" w:color="auto"/>
              <w:left w:val="single" w:sz="4" w:space="0" w:color="auto"/>
              <w:bottom w:val="single" w:sz="4" w:space="0" w:color="auto"/>
              <w:right w:val="single" w:sz="4" w:space="0" w:color="auto"/>
            </w:tcBorders>
          </w:tcPr>
          <w:p w14:paraId="249BA9FA" w14:textId="77777777" w:rsidR="00653571" w:rsidRPr="008C5F1C" w:rsidRDefault="00653571" w:rsidP="00534127">
            <w:pPr>
              <w:spacing w:before="120" w:after="120"/>
              <w:jc w:val="center"/>
              <w:rPr>
                <w:rFonts w:ascii="Times New Roman" w:hAnsi="Times New Roman" w:cs="Times New Roman"/>
                <w:noProof/>
                <w:sz w:val="18"/>
                <w:szCs w:val="18"/>
              </w:rPr>
            </w:pPr>
          </w:p>
        </w:tc>
        <w:tc>
          <w:tcPr>
            <w:tcW w:w="601" w:type="pct"/>
            <w:tcBorders>
              <w:top w:val="single" w:sz="4" w:space="0" w:color="auto"/>
              <w:left w:val="single" w:sz="4" w:space="0" w:color="auto"/>
              <w:bottom w:val="single" w:sz="4" w:space="0" w:color="auto"/>
              <w:right w:val="single" w:sz="4" w:space="0" w:color="auto"/>
            </w:tcBorders>
          </w:tcPr>
          <w:p w14:paraId="02D4B3B7" w14:textId="77777777" w:rsidR="00653571" w:rsidRPr="008C5F1C" w:rsidRDefault="00653571" w:rsidP="00534127">
            <w:pPr>
              <w:spacing w:before="120" w:after="120"/>
              <w:jc w:val="center"/>
              <w:rPr>
                <w:rFonts w:ascii="Times New Roman" w:hAnsi="Times New Roman" w:cs="Times New Roman"/>
                <w:noProof/>
                <w:sz w:val="18"/>
                <w:szCs w:val="18"/>
              </w:rPr>
            </w:pPr>
          </w:p>
        </w:tc>
        <w:tc>
          <w:tcPr>
            <w:tcW w:w="515" w:type="pct"/>
            <w:tcBorders>
              <w:top w:val="single" w:sz="4" w:space="0" w:color="auto"/>
              <w:left w:val="single" w:sz="4" w:space="0" w:color="auto"/>
              <w:bottom w:val="single" w:sz="4" w:space="0" w:color="auto"/>
              <w:right w:val="single" w:sz="4" w:space="0" w:color="auto"/>
            </w:tcBorders>
          </w:tcPr>
          <w:p w14:paraId="34FF296E" w14:textId="77777777" w:rsidR="00653571" w:rsidRPr="008C5F1C" w:rsidRDefault="00653571" w:rsidP="00534127">
            <w:pPr>
              <w:spacing w:before="120" w:after="120"/>
              <w:jc w:val="center"/>
              <w:rPr>
                <w:rFonts w:ascii="Times New Roman" w:hAnsi="Times New Roman" w:cs="Times New Roman"/>
                <w:noProof/>
                <w:sz w:val="18"/>
                <w:szCs w:val="18"/>
              </w:rPr>
            </w:pPr>
          </w:p>
        </w:tc>
        <w:tc>
          <w:tcPr>
            <w:tcW w:w="849" w:type="pct"/>
            <w:tcBorders>
              <w:top w:val="single" w:sz="4" w:space="0" w:color="auto"/>
              <w:left w:val="single" w:sz="4" w:space="0" w:color="auto"/>
              <w:bottom w:val="single" w:sz="4" w:space="0" w:color="auto"/>
              <w:right w:val="single" w:sz="4" w:space="0" w:color="auto"/>
            </w:tcBorders>
          </w:tcPr>
          <w:p w14:paraId="3BE53269" w14:textId="77777777" w:rsidR="00653571" w:rsidRPr="008C5F1C" w:rsidRDefault="00653571" w:rsidP="00534127">
            <w:pPr>
              <w:spacing w:before="120" w:after="120"/>
              <w:jc w:val="center"/>
              <w:rPr>
                <w:rFonts w:ascii="Times New Roman" w:hAnsi="Times New Roman" w:cs="Times New Roman"/>
                <w:noProof/>
                <w:sz w:val="18"/>
                <w:szCs w:val="18"/>
              </w:rPr>
            </w:pPr>
          </w:p>
        </w:tc>
      </w:tr>
      <w:tr w:rsidR="00653571" w:rsidRPr="008C5F1C" w14:paraId="3E9163FB" w14:textId="77777777" w:rsidTr="00534127">
        <w:trPr>
          <w:trHeight w:val="293"/>
        </w:trPr>
        <w:tc>
          <w:tcPr>
            <w:tcW w:w="655" w:type="pct"/>
            <w:tcBorders>
              <w:top w:val="single" w:sz="4" w:space="0" w:color="auto"/>
              <w:left w:val="single" w:sz="4" w:space="0" w:color="auto"/>
              <w:bottom w:val="single" w:sz="4" w:space="0" w:color="auto"/>
              <w:right w:val="single" w:sz="4" w:space="0" w:color="auto"/>
            </w:tcBorders>
            <w:hideMark/>
          </w:tcPr>
          <w:p w14:paraId="3DD03560" w14:textId="77777777" w:rsidR="00653571" w:rsidRPr="008C5F1C" w:rsidRDefault="00653571" w:rsidP="00534127">
            <w:pPr>
              <w:spacing w:before="120" w:after="120"/>
              <w:jc w:val="center"/>
              <w:rPr>
                <w:rFonts w:ascii="Times New Roman" w:hAnsi="Times New Roman" w:cs="Times New Roman"/>
                <w:noProof/>
                <w:sz w:val="18"/>
                <w:szCs w:val="18"/>
              </w:rPr>
            </w:pPr>
            <w:r w:rsidRPr="008C5F1C">
              <w:rPr>
                <w:rFonts w:ascii="Times New Roman" w:hAnsi="Times New Roman" w:cs="Times New Roman"/>
                <w:noProof/>
                <w:sz w:val="18"/>
                <w:szCs w:val="18"/>
              </w:rPr>
              <w:t>Priority 3</w:t>
            </w:r>
          </w:p>
        </w:tc>
        <w:tc>
          <w:tcPr>
            <w:tcW w:w="819" w:type="pct"/>
            <w:tcBorders>
              <w:top w:val="single" w:sz="4" w:space="0" w:color="auto"/>
              <w:left w:val="single" w:sz="4" w:space="0" w:color="auto"/>
              <w:bottom w:val="single" w:sz="4" w:space="0" w:color="auto"/>
              <w:right w:val="single" w:sz="4" w:space="0" w:color="auto"/>
            </w:tcBorders>
            <w:hideMark/>
          </w:tcPr>
          <w:p w14:paraId="779C6F53" w14:textId="77777777" w:rsidR="00653571" w:rsidRPr="008C5F1C" w:rsidRDefault="00653571" w:rsidP="00534127">
            <w:pPr>
              <w:spacing w:before="120" w:after="120"/>
              <w:jc w:val="center"/>
              <w:rPr>
                <w:rFonts w:ascii="Times New Roman" w:hAnsi="Times New Roman" w:cs="Times New Roman"/>
                <w:noProof/>
                <w:sz w:val="18"/>
                <w:szCs w:val="18"/>
              </w:rPr>
            </w:pPr>
            <w:r w:rsidRPr="008C5F1C">
              <w:rPr>
                <w:rFonts w:ascii="Times New Roman" w:hAnsi="Times New Roman" w:cs="Times New Roman"/>
                <w:noProof/>
                <w:sz w:val="18"/>
                <w:szCs w:val="18"/>
              </w:rPr>
              <w:t>3.1</w:t>
            </w:r>
          </w:p>
        </w:tc>
        <w:tc>
          <w:tcPr>
            <w:tcW w:w="719" w:type="pct"/>
            <w:tcBorders>
              <w:top w:val="single" w:sz="4" w:space="0" w:color="auto"/>
              <w:left w:val="single" w:sz="4" w:space="0" w:color="auto"/>
              <w:bottom w:val="single" w:sz="4" w:space="0" w:color="auto"/>
              <w:right w:val="single" w:sz="4" w:space="0" w:color="auto"/>
            </w:tcBorders>
            <w:hideMark/>
          </w:tcPr>
          <w:p w14:paraId="4767BFFC" w14:textId="77777777" w:rsidR="00653571" w:rsidRPr="008C5F1C" w:rsidRDefault="00653571" w:rsidP="00534127">
            <w:pPr>
              <w:spacing w:before="120" w:after="120"/>
              <w:jc w:val="center"/>
              <w:rPr>
                <w:rFonts w:ascii="Times New Roman" w:hAnsi="Times New Roman" w:cs="Times New Roman"/>
                <w:noProof/>
                <w:sz w:val="18"/>
                <w:szCs w:val="18"/>
              </w:rPr>
            </w:pPr>
            <w:r w:rsidRPr="008C5F1C">
              <w:rPr>
                <w:rFonts w:ascii="Times New Roman" w:hAnsi="Times New Roman" w:cs="Times New Roman"/>
                <w:noProof/>
                <w:sz w:val="18"/>
                <w:szCs w:val="18"/>
              </w:rPr>
              <w:t>Public</w:t>
            </w:r>
          </w:p>
        </w:tc>
        <w:tc>
          <w:tcPr>
            <w:tcW w:w="843" w:type="pct"/>
            <w:tcBorders>
              <w:top w:val="single" w:sz="4" w:space="0" w:color="auto"/>
              <w:left w:val="single" w:sz="4" w:space="0" w:color="auto"/>
              <w:bottom w:val="single" w:sz="4" w:space="0" w:color="auto"/>
              <w:right w:val="single" w:sz="4" w:space="0" w:color="auto"/>
            </w:tcBorders>
          </w:tcPr>
          <w:p w14:paraId="723CF1B2" w14:textId="77777777" w:rsidR="00653571" w:rsidRPr="008C5F1C" w:rsidRDefault="00653571" w:rsidP="00534127">
            <w:pPr>
              <w:spacing w:before="120" w:after="120"/>
              <w:jc w:val="center"/>
              <w:rPr>
                <w:rFonts w:ascii="Times New Roman" w:hAnsi="Times New Roman" w:cs="Times New Roman"/>
                <w:noProof/>
                <w:sz w:val="18"/>
                <w:szCs w:val="18"/>
              </w:rPr>
            </w:pPr>
          </w:p>
        </w:tc>
        <w:tc>
          <w:tcPr>
            <w:tcW w:w="601" w:type="pct"/>
            <w:tcBorders>
              <w:top w:val="single" w:sz="4" w:space="0" w:color="auto"/>
              <w:left w:val="single" w:sz="4" w:space="0" w:color="auto"/>
              <w:bottom w:val="single" w:sz="4" w:space="0" w:color="auto"/>
              <w:right w:val="single" w:sz="4" w:space="0" w:color="auto"/>
            </w:tcBorders>
          </w:tcPr>
          <w:p w14:paraId="271140FD" w14:textId="77777777" w:rsidR="00653571" w:rsidRPr="008C5F1C" w:rsidRDefault="00653571" w:rsidP="00534127">
            <w:pPr>
              <w:spacing w:before="120" w:after="120"/>
              <w:jc w:val="center"/>
              <w:rPr>
                <w:rFonts w:ascii="Times New Roman" w:hAnsi="Times New Roman" w:cs="Times New Roman"/>
                <w:noProof/>
                <w:sz w:val="18"/>
                <w:szCs w:val="18"/>
              </w:rPr>
            </w:pPr>
          </w:p>
        </w:tc>
        <w:tc>
          <w:tcPr>
            <w:tcW w:w="515" w:type="pct"/>
            <w:tcBorders>
              <w:top w:val="single" w:sz="4" w:space="0" w:color="auto"/>
              <w:left w:val="single" w:sz="4" w:space="0" w:color="auto"/>
              <w:bottom w:val="single" w:sz="4" w:space="0" w:color="auto"/>
              <w:right w:val="single" w:sz="4" w:space="0" w:color="auto"/>
            </w:tcBorders>
          </w:tcPr>
          <w:p w14:paraId="5BF6DF2F" w14:textId="77777777" w:rsidR="00653571" w:rsidRPr="008C5F1C" w:rsidRDefault="00653571" w:rsidP="00534127">
            <w:pPr>
              <w:spacing w:before="120" w:after="120"/>
              <w:jc w:val="center"/>
              <w:rPr>
                <w:rFonts w:ascii="Times New Roman" w:hAnsi="Times New Roman" w:cs="Times New Roman"/>
                <w:noProof/>
                <w:sz w:val="18"/>
                <w:szCs w:val="18"/>
              </w:rPr>
            </w:pPr>
          </w:p>
        </w:tc>
        <w:tc>
          <w:tcPr>
            <w:tcW w:w="849" w:type="pct"/>
            <w:tcBorders>
              <w:top w:val="single" w:sz="4" w:space="0" w:color="auto"/>
              <w:left w:val="single" w:sz="4" w:space="0" w:color="auto"/>
              <w:bottom w:val="single" w:sz="4" w:space="0" w:color="auto"/>
              <w:right w:val="single" w:sz="4" w:space="0" w:color="auto"/>
            </w:tcBorders>
          </w:tcPr>
          <w:p w14:paraId="28DCED89" w14:textId="77777777" w:rsidR="00653571" w:rsidRPr="008C5F1C" w:rsidRDefault="00653571" w:rsidP="00534127">
            <w:pPr>
              <w:spacing w:before="120" w:after="120"/>
              <w:jc w:val="center"/>
              <w:rPr>
                <w:rFonts w:ascii="Times New Roman" w:hAnsi="Times New Roman" w:cs="Times New Roman"/>
                <w:noProof/>
                <w:sz w:val="18"/>
                <w:szCs w:val="18"/>
              </w:rPr>
            </w:pPr>
          </w:p>
        </w:tc>
      </w:tr>
      <w:tr w:rsidR="00653571" w:rsidRPr="008C5F1C" w14:paraId="4DA16997" w14:textId="77777777" w:rsidTr="00534127">
        <w:trPr>
          <w:trHeight w:val="270"/>
        </w:trPr>
        <w:tc>
          <w:tcPr>
            <w:tcW w:w="655" w:type="pct"/>
            <w:tcBorders>
              <w:top w:val="single" w:sz="4" w:space="0" w:color="auto"/>
              <w:left w:val="single" w:sz="4" w:space="0" w:color="auto"/>
              <w:bottom w:val="single" w:sz="4" w:space="0" w:color="auto"/>
              <w:right w:val="single" w:sz="4" w:space="0" w:color="auto"/>
            </w:tcBorders>
            <w:hideMark/>
          </w:tcPr>
          <w:p w14:paraId="6AB56B66" w14:textId="77777777" w:rsidR="00653571" w:rsidRPr="008C5F1C" w:rsidRDefault="00653571" w:rsidP="00534127">
            <w:pPr>
              <w:spacing w:before="120" w:after="120"/>
              <w:jc w:val="center"/>
              <w:rPr>
                <w:rFonts w:ascii="Times New Roman" w:hAnsi="Times New Roman" w:cs="Times New Roman"/>
                <w:noProof/>
                <w:sz w:val="18"/>
                <w:szCs w:val="18"/>
              </w:rPr>
            </w:pPr>
            <w:r w:rsidRPr="008C5F1C">
              <w:rPr>
                <w:rFonts w:ascii="Times New Roman" w:hAnsi="Times New Roman" w:cs="Times New Roman"/>
                <w:noProof/>
                <w:sz w:val="18"/>
                <w:szCs w:val="18"/>
              </w:rPr>
              <w:t>Priority 4</w:t>
            </w:r>
          </w:p>
        </w:tc>
        <w:tc>
          <w:tcPr>
            <w:tcW w:w="819" w:type="pct"/>
            <w:tcBorders>
              <w:top w:val="single" w:sz="4" w:space="0" w:color="auto"/>
              <w:left w:val="single" w:sz="4" w:space="0" w:color="auto"/>
              <w:bottom w:val="single" w:sz="4" w:space="0" w:color="auto"/>
              <w:right w:val="single" w:sz="4" w:space="0" w:color="auto"/>
            </w:tcBorders>
            <w:hideMark/>
          </w:tcPr>
          <w:p w14:paraId="4CE61261" w14:textId="77777777" w:rsidR="00653571" w:rsidRPr="008C5F1C" w:rsidRDefault="00653571" w:rsidP="00534127">
            <w:pPr>
              <w:spacing w:before="120" w:after="120"/>
              <w:jc w:val="center"/>
              <w:rPr>
                <w:rFonts w:ascii="Times New Roman" w:hAnsi="Times New Roman" w:cs="Times New Roman"/>
                <w:noProof/>
                <w:sz w:val="18"/>
                <w:szCs w:val="18"/>
              </w:rPr>
            </w:pPr>
            <w:r w:rsidRPr="008C5F1C">
              <w:rPr>
                <w:rFonts w:ascii="Times New Roman" w:hAnsi="Times New Roman" w:cs="Times New Roman"/>
                <w:noProof/>
                <w:sz w:val="18"/>
                <w:szCs w:val="18"/>
              </w:rPr>
              <w:t>4.1</w:t>
            </w:r>
          </w:p>
        </w:tc>
        <w:tc>
          <w:tcPr>
            <w:tcW w:w="719" w:type="pct"/>
            <w:tcBorders>
              <w:top w:val="single" w:sz="4" w:space="0" w:color="auto"/>
              <w:left w:val="single" w:sz="4" w:space="0" w:color="auto"/>
              <w:bottom w:val="single" w:sz="4" w:space="0" w:color="auto"/>
              <w:right w:val="single" w:sz="4" w:space="0" w:color="auto"/>
            </w:tcBorders>
            <w:hideMark/>
          </w:tcPr>
          <w:p w14:paraId="315BE36A" w14:textId="77777777" w:rsidR="00653571" w:rsidRPr="008C5F1C" w:rsidRDefault="00653571" w:rsidP="00534127">
            <w:pPr>
              <w:spacing w:before="120" w:after="120"/>
              <w:jc w:val="center"/>
              <w:rPr>
                <w:rFonts w:ascii="Times New Roman" w:hAnsi="Times New Roman" w:cs="Times New Roman"/>
                <w:noProof/>
                <w:sz w:val="18"/>
                <w:szCs w:val="18"/>
              </w:rPr>
            </w:pPr>
            <w:r w:rsidRPr="008C5F1C">
              <w:rPr>
                <w:rFonts w:ascii="Times New Roman" w:hAnsi="Times New Roman" w:cs="Times New Roman"/>
                <w:noProof/>
                <w:sz w:val="18"/>
                <w:szCs w:val="18"/>
              </w:rPr>
              <w:t>Public</w:t>
            </w:r>
          </w:p>
        </w:tc>
        <w:tc>
          <w:tcPr>
            <w:tcW w:w="843" w:type="pct"/>
            <w:tcBorders>
              <w:top w:val="single" w:sz="4" w:space="0" w:color="auto"/>
              <w:left w:val="single" w:sz="4" w:space="0" w:color="auto"/>
              <w:bottom w:val="single" w:sz="4" w:space="0" w:color="auto"/>
              <w:right w:val="single" w:sz="4" w:space="0" w:color="auto"/>
            </w:tcBorders>
          </w:tcPr>
          <w:p w14:paraId="2D301A9F" w14:textId="77777777" w:rsidR="00653571" w:rsidRPr="008C5F1C" w:rsidRDefault="00653571" w:rsidP="00534127">
            <w:pPr>
              <w:spacing w:before="120" w:after="120"/>
              <w:jc w:val="center"/>
              <w:rPr>
                <w:rFonts w:ascii="Times New Roman" w:hAnsi="Times New Roman" w:cs="Times New Roman"/>
                <w:noProof/>
                <w:sz w:val="18"/>
                <w:szCs w:val="18"/>
              </w:rPr>
            </w:pPr>
          </w:p>
        </w:tc>
        <w:tc>
          <w:tcPr>
            <w:tcW w:w="601" w:type="pct"/>
            <w:tcBorders>
              <w:top w:val="single" w:sz="4" w:space="0" w:color="auto"/>
              <w:left w:val="single" w:sz="4" w:space="0" w:color="auto"/>
              <w:bottom w:val="single" w:sz="4" w:space="0" w:color="auto"/>
              <w:right w:val="single" w:sz="4" w:space="0" w:color="auto"/>
            </w:tcBorders>
          </w:tcPr>
          <w:p w14:paraId="297A19AF" w14:textId="77777777" w:rsidR="00653571" w:rsidRPr="008C5F1C" w:rsidRDefault="00653571" w:rsidP="00534127">
            <w:pPr>
              <w:spacing w:before="120" w:after="120"/>
              <w:jc w:val="center"/>
              <w:rPr>
                <w:rFonts w:ascii="Times New Roman" w:hAnsi="Times New Roman" w:cs="Times New Roman"/>
                <w:noProof/>
                <w:sz w:val="18"/>
                <w:szCs w:val="18"/>
              </w:rPr>
            </w:pPr>
          </w:p>
        </w:tc>
        <w:tc>
          <w:tcPr>
            <w:tcW w:w="515" w:type="pct"/>
            <w:tcBorders>
              <w:top w:val="single" w:sz="4" w:space="0" w:color="auto"/>
              <w:left w:val="single" w:sz="4" w:space="0" w:color="auto"/>
              <w:bottom w:val="single" w:sz="4" w:space="0" w:color="auto"/>
              <w:right w:val="single" w:sz="4" w:space="0" w:color="auto"/>
            </w:tcBorders>
          </w:tcPr>
          <w:p w14:paraId="4C3812D5" w14:textId="77777777" w:rsidR="00653571" w:rsidRPr="008C5F1C" w:rsidRDefault="00653571" w:rsidP="00534127">
            <w:pPr>
              <w:spacing w:before="120" w:after="120"/>
              <w:jc w:val="center"/>
              <w:rPr>
                <w:rFonts w:ascii="Times New Roman" w:hAnsi="Times New Roman" w:cs="Times New Roman"/>
                <w:noProof/>
                <w:sz w:val="18"/>
                <w:szCs w:val="18"/>
              </w:rPr>
            </w:pPr>
          </w:p>
        </w:tc>
        <w:tc>
          <w:tcPr>
            <w:tcW w:w="849" w:type="pct"/>
            <w:tcBorders>
              <w:top w:val="single" w:sz="4" w:space="0" w:color="auto"/>
              <w:left w:val="single" w:sz="4" w:space="0" w:color="auto"/>
              <w:bottom w:val="single" w:sz="4" w:space="0" w:color="auto"/>
              <w:right w:val="single" w:sz="4" w:space="0" w:color="auto"/>
            </w:tcBorders>
          </w:tcPr>
          <w:p w14:paraId="1E37616E" w14:textId="77777777" w:rsidR="00653571" w:rsidRPr="008C5F1C" w:rsidRDefault="00653571" w:rsidP="00534127">
            <w:pPr>
              <w:spacing w:before="120" w:after="120"/>
              <w:jc w:val="center"/>
              <w:rPr>
                <w:rFonts w:ascii="Times New Roman" w:hAnsi="Times New Roman" w:cs="Times New Roman"/>
                <w:noProof/>
                <w:sz w:val="18"/>
                <w:szCs w:val="18"/>
              </w:rPr>
            </w:pPr>
          </w:p>
        </w:tc>
      </w:tr>
      <w:tr w:rsidR="00653571" w:rsidRPr="008C5F1C" w14:paraId="19345A8C" w14:textId="77777777" w:rsidTr="00534127">
        <w:tc>
          <w:tcPr>
            <w:tcW w:w="655" w:type="pct"/>
            <w:tcBorders>
              <w:top w:val="single" w:sz="4" w:space="0" w:color="auto"/>
              <w:left w:val="single" w:sz="4" w:space="0" w:color="auto"/>
              <w:bottom w:val="single" w:sz="4" w:space="0" w:color="auto"/>
              <w:right w:val="single" w:sz="4" w:space="0" w:color="auto"/>
            </w:tcBorders>
            <w:hideMark/>
          </w:tcPr>
          <w:p w14:paraId="445C9B46" w14:textId="77777777" w:rsidR="00653571" w:rsidRPr="008C5F1C" w:rsidRDefault="00653571" w:rsidP="00534127">
            <w:pPr>
              <w:spacing w:before="120" w:after="120"/>
              <w:jc w:val="center"/>
              <w:rPr>
                <w:rFonts w:ascii="Times New Roman" w:hAnsi="Times New Roman" w:cs="Times New Roman"/>
                <w:noProof/>
                <w:sz w:val="18"/>
                <w:szCs w:val="18"/>
              </w:rPr>
            </w:pPr>
            <w:r w:rsidRPr="008C5F1C">
              <w:rPr>
                <w:rFonts w:ascii="Times New Roman" w:hAnsi="Times New Roman" w:cs="Times New Roman"/>
                <w:noProof/>
                <w:sz w:val="18"/>
                <w:szCs w:val="18"/>
              </w:rPr>
              <w:t>Technical assistance (Article 30(4))</w:t>
            </w:r>
          </w:p>
        </w:tc>
        <w:tc>
          <w:tcPr>
            <w:tcW w:w="819" w:type="pct"/>
            <w:tcBorders>
              <w:top w:val="single" w:sz="4" w:space="0" w:color="auto"/>
              <w:left w:val="single" w:sz="4" w:space="0" w:color="auto"/>
              <w:bottom w:val="single" w:sz="4" w:space="0" w:color="auto"/>
              <w:right w:val="single" w:sz="4" w:space="0" w:color="auto"/>
            </w:tcBorders>
            <w:hideMark/>
          </w:tcPr>
          <w:p w14:paraId="2FBDA8F8" w14:textId="77777777" w:rsidR="00653571" w:rsidRPr="008C5F1C" w:rsidRDefault="00653571" w:rsidP="00534127">
            <w:pPr>
              <w:spacing w:before="120" w:after="120"/>
              <w:jc w:val="center"/>
              <w:rPr>
                <w:rFonts w:ascii="Times New Roman" w:hAnsi="Times New Roman" w:cs="Times New Roman"/>
                <w:noProof/>
                <w:sz w:val="18"/>
                <w:szCs w:val="18"/>
              </w:rPr>
            </w:pPr>
            <w:r w:rsidRPr="008C5F1C">
              <w:rPr>
                <w:rFonts w:ascii="Times New Roman" w:hAnsi="Times New Roman" w:cs="Times New Roman"/>
                <w:noProof/>
                <w:sz w:val="18"/>
                <w:szCs w:val="18"/>
              </w:rPr>
              <w:t>5.1</w:t>
            </w:r>
          </w:p>
        </w:tc>
        <w:tc>
          <w:tcPr>
            <w:tcW w:w="719" w:type="pct"/>
            <w:tcBorders>
              <w:top w:val="single" w:sz="4" w:space="0" w:color="auto"/>
              <w:left w:val="single" w:sz="4" w:space="0" w:color="auto"/>
              <w:bottom w:val="single" w:sz="4" w:space="0" w:color="auto"/>
              <w:right w:val="single" w:sz="4" w:space="0" w:color="auto"/>
            </w:tcBorders>
            <w:hideMark/>
          </w:tcPr>
          <w:p w14:paraId="1A07F216" w14:textId="77777777" w:rsidR="00653571" w:rsidRPr="008C5F1C" w:rsidRDefault="00653571" w:rsidP="00534127">
            <w:pPr>
              <w:spacing w:before="120" w:after="120"/>
              <w:jc w:val="center"/>
              <w:rPr>
                <w:rFonts w:ascii="Times New Roman" w:hAnsi="Times New Roman" w:cs="Times New Roman"/>
                <w:noProof/>
                <w:sz w:val="18"/>
                <w:szCs w:val="18"/>
              </w:rPr>
            </w:pPr>
            <w:r w:rsidRPr="008C5F1C">
              <w:rPr>
                <w:rFonts w:ascii="Times New Roman" w:hAnsi="Times New Roman" w:cs="Times New Roman"/>
                <w:noProof/>
                <w:sz w:val="18"/>
                <w:szCs w:val="18"/>
              </w:rPr>
              <w:t>Public</w:t>
            </w:r>
          </w:p>
        </w:tc>
        <w:tc>
          <w:tcPr>
            <w:tcW w:w="843" w:type="pct"/>
            <w:tcBorders>
              <w:top w:val="single" w:sz="4" w:space="0" w:color="auto"/>
              <w:left w:val="single" w:sz="4" w:space="0" w:color="auto"/>
              <w:bottom w:val="single" w:sz="4" w:space="0" w:color="auto"/>
              <w:right w:val="single" w:sz="4" w:space="0" w:color="auto"/>
            </w:tcBorders>
          </w:tcPr>
          <w:p w14:paraId="3DDEEE1D" w14:textId="77777777" w:rsidR="00653571" w:rsidRPr="008C5F1C" w:rsidRDefault="00653571" w:rsidP="00534127">
            <w:pPr>
              <w:spacing w:before="120" w:after="120"/>
              <w:jc w:val="center"/>
              <w:rPr>
                <w:rFonts w:ascii="Times New Roman" w:hAnsi="Times New Roman" w:cs="Times New Roman"/>
                <w:noProof/>
                <w:sz w:val="18"/>
                <w:szCs w:val="18"/>
              </w:rPr>
            </w:pPr>
          </w:p>
        </w:tc>
        <w:tc>
          <w:tcPr>
            <w:tcW w:w="601" w:type="pct"/>
            <w:tcBorders>
              <w:top w:val="single" w:sz="4" w:space="0" w:color="auto"/>
              <w:left w:val="single" w:sz="4" w:space="0" w:color="auto"/>
              <w:bottom w:val="single" w:sz="4" w:space="0" w:color="auto"/>
              <w:right w:val="single" w:sz="4" w:space="0" w:color="auto"/>
            </w:tcBorders>
          </w:tcPr>
          <w:p w14:paraId="2C61AA40" w14:textId="77777777" w:rsidR="00653571" w:rsidRPr="008C5F1C" w:rsidRDefault="00653571" w:rsidP="00534127">
            <w:pPr>
              <w:spacing w:before="120" w:after="120"/>
              <w:jc w:val="center"/>
              <w:rPr>
                <w:rFonts w:ascii="Times New Roman" w:hAnsi="Times New Roman" w:cs="Times New Roman"/>
                <w:noProof/>
                <w:sz w:val="18"/>
                <w:szCs w:val="18"/>
              </w:rPr>
            </w:pPr>
          </w:p>
        </w:tc>
        <w:tc>
          <w:tcPr>
            <w:tcW w:w="515" w:type="pct"/>
            <w:tcBorders>
              <w:top w:val="single" w:sz="4" w:space="0" w:color="auto"/>
              <w:left w:val="single" w:sz="4" w:space="0" w:color="auto"/>
              <w:bottom w:val="single" w:sz="4" w:space="0" w:color="auto"/>
              <w:right w:val="single" w:sz="4" w:space="0" w:color="auto"/>
            </w:tcBorders>
          </w:tcPr>
          <w:p w14:paraId="39CD1950" w14:textId="77777777" w:rsidR="00653571" w:rsidRPr="008C5F1C" w:rsidRDefault="00653571" w:rsidP="00534127">
            <w:pPr>
              <w:spacing w:before="120" w:after="120"/>
              <w:jc w:val="center"/>
              <w:rPr>
                <w:rFonts w:ascii="Times New Roman" w:hAnsi="Times New Roman" w:cs="Times New Roman"/>
                <w:noProof/>
                <w:sz w:val="18"/>
                <w:szCs w:val="18"/>
              </w:rPr>
            </w:pPr>
          </w:p>
        </w:tc>
        <w:tc>
          <w:tcPr>
            <w:tcW w:w="849" w:type="pct"/>
            <w:tcBorders>
              <w:top w:val="single" w:sz="4" w:space="0" w:color="auto"/>
              <w:left w:val="single" w:sz="4" w:space="0" w:color="auto"/>
              <w:bottom w:val="single" w:sz="4" w:space="0" w:color="auto"/>
              <w:right w:val="single" w:sz="4" w:space="0" w:color="auto"/>
            </w:tcBorders>
          </w:tcPr>
          <w:p w14:paraId="0C50F785" w14:textId="77777777" w:rsidR="00653571" w:rsidRPr="008C5F1C" w:rsidRDefault="00653571" w:rsidP="00534127">
            <w:pPr>
              <w:spacing w:before="120" w:after="120"/>
              <w:jc w:val="center"/>
              <w:rPr>
                <w:rFonts w:ascii="Times New Roman" w:hAnsi="Times New Roman" w:cs="Times New Roman"/>
                <w:noProof/>
                <w:sz w:val="18"/>
                <w:szCs w:val="18"/>
              </w:rPr>
            </w:pPr>
          </w:p>
        </w:tc>
      </w:tr>
      <w:tr w:rsidR="00653571" w:rsidRPr="008C5F1C" w14:paraId="72F47A28" w14:textId="77777777" w:rsidTr="00534127">
        <w:tc>
          <w:tcPr>
            <w:tcW w:w="655" w:type="pct"/>
            <w:tcBorders>
              <w:top w:val="single" w:sz="4" w:space="0" w:color="auto"/>
              <w:left w:val="single" w:sz="4" w:space="0" w:color="auto"/>
              <w:bottom w:val="single" w:sz="4" w:space="0" w:color="auto"/>
              <w:right w:val="single" w:sz="4" w:space="0" w:color="auto"/>
            </w:tcBorders>
            <w:hideMark/>
          </w:tcPr>
          <w:p w14:paraId="08826D4D" w14:textId="77777777" w:rsidR="00653571" w:rsidRPr="008C5F1C" w:rsidRDefault="00653571" w:rsidP="00534127">
            <w:pPr>
              <w:spacing w:before="120" w:after="120"/>
              <w:jc w:val="center"/>
              <w:rPr>
                <w:rFonts w:ascii="Times New Roman" w:hAnsi="Times New Roman" w:cs="Times New Roman"/>
                <w:noProof/>
                <w:sz w:val="18"/>
                <w:szCs w:val="18"/>
              </w:rPr>
            </w:pPr>
            <w:r w:rsidRPr="008C5F1C">
              <w:rPr>
                <w:rFonts w:ascii="Times New Roman" w:hAnsi="Times New Roman" w:cs="Times New Roman"/>
                <w:noProof/>
                <w:sz w:val="18"/>
                <w:szCs w:val="18"/>
              </w:rPr>
              <w:t>Technical assistance (Article 32)</w:t>
            </w:r>
          </w:p>
        </w:tc>
        <w:tc>
          <w:tcPr>
            <w:tcW w:w="819" w:type="pct"/>
            <w:tcBorders>
              <w:top w:val="single" w:sz="4" w:space="0" w:color="auto"/>
              <w:left w:val="single" w:sz="4" w:space="0" w:color="auto"/>
              <w:bottom w:val="single" w:sz="4" w:space="0" w:color="auto"/>
              <w:right w:val="single" w:sz="4" w:space="0" w:color="auto"/>
            </w:tcBorders>
            <w:hideMark/>
          </w:tcPr>
          <w:p w14:paraId="0EA7DE8B" w14:textId="77777777" w:rsidR="00653571" w:rsidRPr="008C5F1C" w:rsidRDefault="00653571" w:rsidP="00534127">
            <w:pPr>
              <w:spacing w:before="120" w:after="120"/>
              <w:jc w:val="center"/>
              <w:rPr>
                <w:rFonts w:ascii="Times New Roman" w:hAnsi="Times New Roman" w:cs="Times New Roman"/>
                <w:noProof/>
                <w:sz w:val="18"/>
                <w:szCs w:val="18"/>
              </w:rPr>
            </w:pPr>
            <w:r w:rsidRPr="008C5F1C">
              <w:rPr>
                <w:rFonts w:ascii="Times New Roman" w:hAnsi="Times New Roman" w:cs="Times New Roman"/>
                <w:noProof/>
                <w:sz w:val="18"/>
                <w:szCs w:val="18"/>
              </w:rPr>
              <w:t>5.2</w:t>
            </w:r>
          </w:p>
        </w:tc>
        <w:tc>
          <w:tcPr>
            <w:tcW w:w="719" w:type="pct"/>
            <w:tcBorders>
              <w:top w:val="single" w:sz="4" w:space="0" w:color="auto"/>
              <w:left w:val="single" w:sz="4" w:space="0" w:color="auto"/>
              <w:bottom w:val="single" w:sz="4" w:space="0" w:color="auto"/>
              <w:right w:val="single" w:sz="4" w:space="0" w:color="auto"/>
            </w:tcBorders>
            <w:hideMark/>
          </w:tcPr>
          <w:p w14:paraId="59113D7B" w14:textId="77777777" w:rsidR="00653571" w:rsidRPr="008C5F1C" w:rsidRDefault="00653571" w:rsidP="00534127">
            <w:pPr>
              <w:spacing w:before="120" w:after="120"/>
              <w:jc w:val="center"/>
              <w:rPr>
                <w:rFonts w:ascii="Times New Roman" w:hAnsi="Times New Roman" w:cs="Times New Roman"/>
                <w:noProof/>
                <w:sz w:val="18"/>
                <w:szCs w:val="18"/>
              </w:rPr>
            </w:pPr>
            <w:r w:rsidRPr="008C5F1C">
              <w:rPr>
                <w:rFonts w:ascii="Times New Roman" w:hAnsi="Times New Roman" w:cs="Times New Roman"/>
                <w:noProof/>
                <w:sz w:val="18"/>
                <w:szCs w:val="18"/>
              </w:rPr>
              <w:t>Public</w:t>
            </w:r>
          </w:p>
        </w:tc>
        <w:tc>
          <w:tcPr>
            <w:tcW w:w="843" w:type="pct"/>
            <w:tcBorders>
              <w:top w:val="single" w:sz="4" w:space="0" w:color="auto"/>
              <w:left w:val="single" w:sz="4" w:space="0" w:color="auto"/>
              <w:bottom w:val="single" w:sz="4" w:space="0" w:color="auto"/>
              <w:right w:val="single" w:sz="4" w:space="0" w:color="auto"/>
            </w:tcBorders>
          </w:tcPr>
          <w:p w14:paraId="0570805D" w14:textId="77777777" w:rsidR="00653571" w:rsidRPr="008C5F1C" w:rsidRDefault="00653571" w:rsidP="00534127">
            <w:pPr>
              <w:spacing w:before="120" w:after="120"/>
              <w:jc w:val="center"/>
              <w:rPr>
                <w:rFonts w:ascii="Times New Roman" w:hAnsi="Times New Roman" w:cs="Times New Roman"/>
                <w:noProof/>
                <w:sz w:val="18"/>
                <w:szCs w:val="18"/>
              </w:rPr>
            </w:pPr>
          </w:p>
        </w:tc>
        <w:tc>
          <w:tcPr>
            <w:tcW w:w="601" w:type="pct"/>
            <w:tcBorders>
              <w:top w:val="single" w:sz="4" w:space="0" w:color="auto"/>
              <w:left w:val="single" w:sz="4" w:space="0" w:color="auto"/>
              <w:bottom w:val="single" w:sz="4" w:space="0" w:color="auto"/>
              <w:right w:val="single" w:sz="4" w:space="0" w:color="auto"/>
            </w:tcBorders>
          </w:tcPr>
          <w:p w14:paraId="47F919BF" w14:textId="77777777" w:rsidR="00653571" w:rsidRPr="008C5F1C" w:rsidRDefault="00653571" w:rsidP="00534127">
            <w:pPr>
              <w:spacing w:before="120" w:after="120"/>
              <w:jc w:val="center"/>
              <w:rPr>
                <w:rFonts w:ascii="Times New Roman" w:hAnsi="Times New Roman" w:cs="Times New Roman"/>
                <w:noProof/>
                <w:sz w:val="18"/>
                <w:szCs w:val="18"/>
              </w:rPr>
            </w:pPr>
          </w:p>
        </w:tc>
        <w:tc>
          <w:tcPr>
            <w:tcW w:w="515" w:type="pct"/>
            <w:tcBorders>
              <w:top w:val="single" w:sz="4" w:space="0" w:color="auto"/>
              <w:left w:val="single" w:sz="4" w:space="0" w:color="auto"/>
              <w:bottom w:val="single" w:sz="4" w:space="0" w:color="auto"/>
              <w:right w:val="single" w:sz="4" w:space="0" w:color="auto"/>
            </w:tcBorders>
          </w:tcPr>
          <w:p w14:paraId="3A5D8370" w14:textId="77777777" w:rsidR="00653571" w:rsidRPr="008C5F1C" w:rsidRDefault="00653571" w:rsidP="00534127">
            <w:pPr>
              <w:spacing w:before="120" w:after="120"/>
              <w:jc w:val="center"/>
              <w:rPr>
                <w:rFonts w:ascii="Times New Roman" w:hAnsi="Times New Roman" w:cs="Times New Roman"/>
                <w:noProof/>
                <w:sz w:val="18"/>
                <w:szCs w:val="18"/>
              </w:rPr>
            </w:pPr>
          </w:p>
        </w:tc>
        <w:tc>
          <w:tcPr>
            <w:tcW w:w="849" w:type="pct"/>
            <w:tcBorders>
              <w:top w:val="single" w:sz="4" w:space="0" w:color="auto"/>
              <w:left w:val="single" w:sz="4" w:space="0" w:color="auto"/>
              <w:bottom w:val="single" w:sz="4" w:space="0" w:color="auto"/>
              <w:right w:val="single" w:sz="4" w:space="0" w:color="auto"/>
            </w:tcBorders>
          </w:tcPr>
          <w:p w14:paraId="30882B5E" w14:textId="77777777" w:rsidR="00653571" w:rsidRPr="008C5F1C" w:rsidRDefault="00653571" w:rsidP="00534127">
            <w:pPr>
              <w:spacing w:before="120" w:after="120"/>
              <w:jc w:val="center"/>
              <w:rPr>
                <w:rFonts w:ascii="Times New Roman" w:hAnsi="Times New Roman" w:cs="Times New Roman"/>
                <w:noProof/>
                <w:sz w:val="18"/>
                <w:szCs w:val="18"/>
              </w:rPr>
            </w:pPr>
          </w:p>
        </w:tc>
      </w:tr>
    </w:tbl>
    <w:p w14:paraId="27FF3589" w14:textId="77777777" w:rsidR="00653571" w:rsidRPr="008C5F1C" w:rsidRDefault="00653571" w:rsidP="00653571">
      <w:pPr>
        <w:spacing w:before="240" w:after="240" w:line="240" w:lineRule="auto"/>
        <w:rPr>
          <w:rFonts w:ascii="Times New Roman" w:eastAsia="Times New Roman" w:hAnsi="Times New Roman" w:cs="Times New Roman"/>
          <w:bCs/>
          <w:i/>
          <w:noProof/>
          <w:sz w:val="24"/>
          <w:szCs w:val="24"/>
        </w:rPr>
      </w:pPr>
      <w:r w:rsidRPr="008C5F1C">
        <w:rPr>
          <w:rFonts w:ascii="Times New Roman" w:eastAsia="Times New Roman" w:hAnsi="Times New Roman" w:cs="Times New Roman"/>
          <w:sz w:val="24"/>
          <w:szCs w:val="24"/>
        </w:rPr>
        <w:br w:type="page"/>
      </w:r>
      <w:r w:rsidRPr="008C5F1C">
        <w:rPr>
          <w:rFonts w:ascii="Times New Roman" w:eastAsia="Times New Roman" w:hAnsi="Times New Roman" w:cs="Times New Roman"/>
          <w:bCs/>
          <w:i/>
          <w:noProof/>
          <w:sz w:val="24"/>
          <w:szCs w:val="24"/>
        </w:rPr>
        <w:lastRenderedPageBreak/>
        <w:t>EMFF programmes using technical assistance according to Article 30(5)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6"/>
        <w:gridCol w:w="1494"/>
        <w:gridCol w:w="1231"/>
        <w:gridCol w:w="1443"/>
        <w:gridCol w:w="1070"/>
        <w:gridCol w:w="1027"/>
        <w:gridCol w:w="883"/>
        <w:gridCol w:w="1455"/>
      </w:tblGrid>
      <w:tr w:rsidR="00653571" w:rsidRPr="008C5F1C" w14:paraId="42FAF5AB" w14:textId="77777777" w:rsidTr="00534127">
        <w:tc>
          <w:tcPr>
            <w:tcW w:w="535" w:type="pct"/>
            <w:tcBorders>
              <w:top w:val="single" w:sz="4" w:space="0" w:color="auto"/>
              <w:left w:val="single" w:sz="4" w:space="0" w:color="auto"/>
              <w:bottom w:val="single" w:sz="4" w:space="0" w:color="auto"/>
              <w:right w:val="single" w:sz="4" w:space="0" w:color="auto"/>
            </w:tcBorders>
          </w:tcPr>
          <w:p w14:paraId="04B59CEB" w14:textId="77777777" w:rsidR="00653571" w:rsidRPr="008C5F1C" w:rsidRDefault="00653571" w:rsidP="00534127">
            <w:pPr>
              <w:spacing w:before="120" w:after="120"/>
              <w:rPr>
                <w:rFonts w:ascii="Times New Roman" w:hAnsi="Times New Roman" w:cs="Times New Roman"/>
                <w:b/>
                <w:noProof/>
                <w:sz w:val="18"/>
                <w:szCs w:val="18"/>
              </w:rPr>
            </w:pPr>
          </w:p>
        </w:tc>
        <w:tc>
          <w:tcPr>
            <w:tcW w:w="4465" w:type="pct"/>
            <w:gridSpan w:val="7"/>
            <w:tcBorders>
              <w:top w:val="single" w:sz="4" w:space="0" w:color="auto"/>
              <w:left w:val="single" w:sz="4" w:space="0" w:color="auto"/>
              <w:bottom w:val="single" w:sz="4" w:space="0" w:color="auto"/>
              <w:right w:val="single" w:sz="4" w:space="0" w:color="auto"/>
            </w:tcBorders>
            <w:hideMark/>
          </w:tcPr>
          <w:p w14:paraId="4651962C" w14:textId="77777777" w:rsidR="00653571" w:rsidRPr="008C5F1C" w:rsidRDefault="00653571" w:rsidP="00534127">
            <w:pPr>
              <w:spacing w:before="120" w:after="120"/>
              <w:rPr>
                <w:rFonts w:ascii="Times New Roman" w:hAnsi="Times New Roman" w:cs="Times New Roman"/>
                <w:b/>
                <w:noProof/>
                <w:sz w:val="18"/>
                <w:szCs w:val="18"/>
              </w:rPr>
            </w:pPr>
            <w:r w:rsidRPr="008C5F1C">
              <w:rPr>
                <w:rFonts w:ascii="Times New Roman" w:hAnsi="Times New Roman" w:cs="Times New Roman"/>
                <w:b/>
                <w:noProof/>
                <w:sz w:val="18"/>
                <w:szCs w:val="18"/>
              </w:rPr>
              <w:t>Table 11 A</w:t>
            </w:r>
          </w:p>
        </w:tc>
      </w:tr>
      <w:tr w:rsidR="00653571" w:rsidRPr="008C5F1C" w14:paraId="755403C8" w14:textId="77777777" w:rsidTr="00534127">
        <w:tc>
          <w:tcPr>
            <w:tcW w:w="535" w:type="pct"/>
            <w:vMerge w:val="restart"/>
            <w:tcBorders>
              <w:top w:val="single" w:sz="4" w:space="0" w:color="auto"/>
              <w:left w:val="single" w:sz="4" w:space="0" w:color="auto"/>
              <w:bottom w:val="single" w:sz="4" w:space="0" w:color="auto"/>
              <w:right w:val="single" w:sz="4" w:space="0" w:color="auto"/>
            </w:tcBorders>
            <w:hideMark/>
          </w:tcPr>
          <w:p w14:paraId="30AF793D" w14:textId="77777777" w:rsidR="00653571" w:rsidRPr="008C5F1C" w:rsidRDefault="00653571" w:rsidP="00534127">
            <w:pPr>
              <w:spacing w:before="120" w:after="120"/>
              <w:jc w:val="center"/>
              <w:rPr>
                <w:rFonts w:ascii="Times New Roman" w:hAnsi="Times New Roman" w:cs="Times New Roman"/>
                <w:b/>
                <w:noProof/>
                <w:sz w:val="18"/>
                <w:szCs w:val="18"/>
              </w:rPr>
            </w:pPr>
            <w:r w:rsidRPr="008C5F1C">
              <w:rPr>
                <w:rFonts w:ascii="Times New Roman" w:hAnsi="Times New Roman" w:cs="Times New Roman"/>
                <w:b/>
                <w:noProof/>
                <w:sz w:val="18"/>
                <w:szCs w:val="18"/>
              </w:rPr>
              <w:t>Priority</w:t>
            </w:r>
          </w:p>
        </w:tc>
        <w:tc>
          <w:tcPr>
            <w:tcW w:w="778" w:type="pct"/>
            <w:vMerge w:val="restart"/>
            <w:tcBorders>
              <w:top w:val="single" w:sz="4" w:space="0" w:color="auto"/>
              <w:left w:val="single" w:sz="4" w:space="0" w:color="auto"/>
              <w:bottom w:val="single" w:sz="4" w:space="0" w:color="auto"/>
              <w:right w:val="single" w:sz="4" w:space="0" w:color="auto"/>
            </w:tcBorders>
            <w:hideMark/>
          </w:tcPr>
          <w:p w14:paraId="56CAE403" w14:textId="77777777" w:rsidR="00653571" w:rsidRPr="008C5F1C" w:rsidRDefault="00653571" w:rsidP="00534127">
            <w:pPr>
              <w:spacing w:before="120" w:after="120"/>
              <w:jc w:val="center"/>
              <w:rPr>
                <w:rFonts w:ascii="Times New Roman" w:hAnsi="Times New Roman" w:cs="Times New Roman"/>
                <w:b/>
                <w:noProof/>
                <w:sz w:val="18"/>
                <w:szCs w:val="18"/>
              </w:rPr>
            </w:pPr>
            <w:r w:rsidRPr="008C5F1C">
              <w:rPr>
                <w:rFonts w:ascii="Times New Roman" w:hAnsi="Times New Roman" w:cs="Times New Roman"/>
                <w:b/>
                <w:noProof/>
                <w:sz w:val="18"/>
                <w:szCs w:val="18"/>
              </w:rPr>
              <w:t xml:space="preserve">Specific objective </w:t>
            </w:r>
            <w:r w:rsidRPr="008C5F1C">
              <w:rPr>
                <w:rFonts w:ascii="Times New Roman" w:hAnsi="Times New Roman" w:cs="Times New Roman"/>
                <w:noProof/>
                <w:sz w:val="18"/>
                <w:szCs w:val="18"/>
              </w:rPr>
              <w:t>(nomenclature set out in the EMFF Regulation)</w:t>
            </w:r>
          </w:p>
        </w:tc>
        <w:tc>
          <w:tcPr>
            <w:tcW w:w="641" w:type="pct"/>
            <w:vMerge w:val="restart"/>
            <w:tcBorders>
              <w:top w:val="single" w:sz="4" w:space="0" w:color="auto"/>
              <w:left w:val="single" w:sz="4" w:space="0" w:color="auto"/>
              <w:bottom w:val="single" w:sz="4" w:space="0" w:color="auto"/>
              <w:right w:val="single" w:sz="4" w:space="0" w:color="auto"/>
            </w:tcBorders>
            <w:hideMark/>
          </w:tcPr>
          <w:p w14:paraId="409A328A" w14:textId="77777777" w:rsidR="00653571" w:rsidRPr="008C5F1C" w:rsidRDefault="00653571" w:rsidP="00534127">
            <w:pPr>
              <w:spacing w:before="120" w:after="120"/>
              <w:jc w:val="center"/>
              <w:rPr>
                <w:rFonts w:ascii="Times New Roman" w:hAnsi="Times New Roman" w:cs="Times New Roman"/>
                <w:b/>
                <w:noProof/>
                <w:sz w:val="18"/>
                <w:szCs w:val="18"/>
              </w:rPr>
            </w:pPr>
            <w:r w:rsidRPr="008C5F1C">
              <w:rPr>
                <w:rFonts w:ascii="Times New Roman" w:hAnsi="Times New Roman" w:cs="Times New Roman"/>
                <w:b/>
                <w:noProof/>
                <w:sz w:val="18"/>
                <w:szCs w:val="18"/>
              </w:rPr>
              <w:t>Basis for calculation</w:t>
            </w:r>
          </w:p>
          <w:p w14:paraId="76919DBD" w14:textId="77777777" w:rsidR="00653571" w:rsidRPr="008C5F1C" w:rsidRDefault="00653571" w:rsidP="00534127">
            <w:pPr>
              <w:spacing w:before="120" w:after="120"/>
              <w:jc w:val="center"/>
              <w:rPr>
                <w:rFonts w:ascii="Times New Roman" w:hAnsi="Times New Roman" w:cs="Times New Roman"/>
                <w:b/>
                <w:noProof/>
                <w:sz w:val="18"/>
                <w:szCs w:val="18"/>
              </w:rPr>
            </w:pPr>
            <w:r w:rsidRPr="008C5F1C">
              <w:rPr>
                <w:rFonts w:ascii="Times New Roman" w:hAnsi="Times New Roman" w:cs="Times New Roman"/>
                <w:b/>
                <w:noProof/>
                <w:sz w:val="18"/>
                <w:szCs w:val="18"/>
              </w:rPr>
              <w:t>of EU support</w:t>
            </w:r>
          </w:p>
        </w:tc>
        <w:tc>
          <w:tcPr>
            <w:tcW w:w="1294" w:type="pct"/>
            <w:gridSpan w:val="2"/>
            <w:tcBorders>
              <w:top w:val="single" w:sz="4" w:space="0" w:color="auto"/>
              <w:left w:val="single" w:sz="4" w:space="0" w:color="auto"/>
              <w:bottom w:val="single" w:sz="4" w:space="0" w:color="auto"/>
              <w:right w:val="single" w:sz="4" w:space="0" w:color="auto"/>
            </w:tcBorders>
            <w:hideMark/>
          </w:tcPr>
          <w:p w14:paraId="4B5D520C" w14:textId="77777777" w:rsidR="00653571" w:rsidRPr="008C5F1C" w:rsidRDefault="00653571" w:rsidP="00534127">
            <w:pPr>
              <w:spacing w:before="120" w:after="120"/>
              <w:jc w:val="center"/>
              <w:rPr>
                <w:rFonts w:ascii="Times New Roman" w:hAnsi="Times New Roman" w:cs="Times New Roman"/>
                <w:b/>
                <w:noProof/>
                <w:sz w:val="18"/>
                <w:szCs w:val="18"/>
              </w:rPr>
            </w:pPr>
            <w:r w:rsidRPr="008C5F1C">
              <w:rPr>
                <w:rFonts w:ascii="Times New Roman" w:hAnsi="Times New Roman" w:cs="Times New Roman"/>
                <w:b/>
                <w:noProof/>
                <w:sz w:val="18"/>
                <w:szCs w:val="18"/>
              </w:rPr>
              <w:t>EU contribution</w:t>
            </w:r>
          </w:p>
        </w:tc>
        <w:tc>
          <w:tcPr>
            <w:tcW w:w="535" w:type="pct"/>
            <w:vMerge w:val="restart"/>
            <w:tcBorders>
              <w:top w:val="single" w:sz="4" w:space="0" w:color="auto"/>
              <w:left w:val="single" w:sz="4" w:space="0" w:color="auto"/>
              <w:bottom w:val="single" w:sz="4" w:space="0" w:color="auto"/>
              <w:right w:val="single" w:sz="4" w:space="0" w:color="auto"/>
            </w:tcBorders>
            <w:hideMark/>
          </w:tcPr>
          <w:p w14:paraId="56216FE6" w14:textId="77777777" w:rsidR="00653571" w:rsidRPr="008C5F1C" w:rsidRDefault="00653571" w:rsidP="00534127">
            <w:pPr>
              <w:spacing w:before="120" w:after="120"/>
              <w:jc w:val="center"/>
              <w:rPr>
                <w:rFonts w:ascii="Times New Roman" w:hAnsi="Times New Roman" w:cs="Times New Roman"/>
                <w:b/>
                <w:noProof/>
                <w:sz w:val="18"/>
                <w:szCs w:val="18"/>
              </w:rPr>
            </w:pPr>
            <w:r w:rsidRPr="008C5F1C">
              <w:rPr>
                <w:rFonts w:ascii="Times New Roman" w:hAnsi="Times New Roman" w:cs="Times New Roman"/>
                <w:b/>
                <w:noProof/>
                <w:sz w:val="18"/>
                <w:szCs w:val="18"/>
              </w:rPr>
              <w:t>National public</w:t>
            </w:r>
          </w:p>
        </w:tc>
        <w:tc>
          <w:tcPr>
            <w:tcW w:w="460" w:type="pct"/>
            <w:vMerge w:val="restart"/>
            <w:tcBorders>
              <w:top w:val="single" w:sz="4" w:space="0" w:color="auto"/>
              <w:left w:val="single" w:sz="4" w:space="0" w:color="auto"/>
              <w:bottom w:val="single" w:sz="4" w:space="0" w:color="auto"/>
              <w:right w:val="single" w:sz="4" w:space="0" w:color="auto"/>
            </w:tcBorders>
            <w:hideMark/>
          </w:tcPr>
          <w:p w14:paraId="5BCEA6B7" w14:textId="77777777" w:rsidR="00653571" w:rsidRPr="008C5F1C" w:rsidRDefault="00653571" w:rsidP="00534127">
            <w:pPr>
              <w:spacing w:before="120" w:after="120"/>
              <w:jc w:val="center"/>
              <w:rPr>
                <w:rFonts w:ascii="Times New Roman" w:hAnsi="Times New Roman" w:cs="Times New Roman"/>
                <w:b/>
                <w:noProof/>
                <w:sz w:val="18"/>
                <w:szCs w:val="18"/>
              </w:rPr>
            </w:pPr>
            <w:r w:rsidRPr="008C5F1C">
              <w:rPr>
                <w:rFonts w:ascii="Times New Roman" w:hAnsi="Times New Roman" w:cs="Times New Roman"/>
                <w:b/>
                <w:noProof/>
                <w:sz w:val="18"/>
                <w:szCs w:val="18"/>
              </w:rPr>
              <w:t>Total</w:t>
            </w:r>
          </w:p>
        </w:tc>
        <w:tc>
          <w:tcPr>
            <w:tcW w:w="757" w:type="pct"/>
            <w:vMerge w:val="restart"/>
            <w:tcBorders>
              <w:top w:val="single" w:sz="4" w:space="0" w:color="auto"/>
              <w:left w:val="single" w:sz="4" w:space="0" w:color="auto"/>
              <w:bottom w:val="single" w:sz="4" w:space="0" w:color="auto"/>
              <w:right w:val="single" w:sz="4" w:space="0" w:color="auto"/>
            </w:tcBorders>
            <w:hideMark/>
          </w:tcPr>
          <w:p w14:paraId="21DEA45B" w14:textId="77777777" w:rsidR="00653571" w:rsidRPr="008C5F1C" w:rsidRDefault="00653571" w:rsidP="00534127">
            <w:pPr>
              <w:spacing w:before="120" w:after="120"/>
              <w:jc w:val="center"/>
              <w:rPr>
                <w:rFonts w:ascii="Times New Roman" w:hAnsi="Times New Roman" w:cs="Times New Roman"/>
                <w:b/>
                <w:noProof/>
                <w:sz w:val="18"/>
                <w:szCs w:val="18"/>
              </w:rPr>
            </w:pPr>
            <w:r w:rsidRPr="008C5F1C">
              <w:rPr>
                <w:rFonts w:ascii="Times New Roman" w:hAnsi="Times New Roman" w:cs="Times New Roman"/>
                <w:b/>
                <w:noProof/>
                <w:sz w:val="18"/>
                <w:szCs w:val="18"/>
              </w:rPr>
              <w:t>Co-financing rate</w:t>
            </w:r>
            <w:r w:rsidRPr="008C5F1C">
              <w:rPr>
                <w:rFonts w:ascii="Times New Roman" w:eastAsia="Times New Roman" w:hAnsi="Times New Roman" w:cs="Times New Roman"/>
                <w:b/>
                <w:bCs/>
                <w:iCs/>
                <w:noProof/>
                <w:sz w:val="16"/>
                <w:szCs w:val="16"/>
              </w:rPr>
              <w:t>*</w:t>
            </w:r>
          </w:p>
        </w:tc>
      </w:tr>
      <w:tr w:rsidR="00653571" w:rsidRPr="008C5F1C" w14:paraId="46640AB5" w14:textId="77777777" w:rsidTr="00534127">
        <w:trPr>
          <w:trHeight w:val="29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220FDC" w14:textId="77777777" w:rsidR="00653571" w:rsidRPr="008C5F1C" w:rsidRDefault="00653571" w:rsidP="00534127">
            <w:pPr>
              <w:spacing w:after="0"/>
              <w:rPr>
                <w:rFonts w:ascii="Times New Roman" w:hAnsi="Times New Roman" w:cs="Times New Roman"/>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C73CAB" w14:textId="77777777" w:rsidR="00653571" w:rsidRPr="008C5F1C" w:rsidRDefault="00653571" w:rsidP="00534127">
            <w:pPr>
              <w:spacing w:after="0"/>
              <w:rPr>
                <w:rFonts w:ascii="Times New Roman" w:hAnsi="Times New Roman" w:cs="Times New Roman"/>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6F4C7B" w14:textId="77777777" w:rsidR="00653571" w:rsidRPr="008C5F1C" w:rsidRDefault="00653571" w:rsidP="00534127">
            <w:pPr>
              <w:spacing w:after="0"/>
              <w:rPr>
                <w:rFonts w:ascii="Times New Roman" w:hAnsi="Times New Roman" w:cs="Times New Roman"/>
                <w:b/>
                <w:noProof/>
                <w:sz w:val="18"/>
                <w:szCs w:val="18"/>
              </w:rPr>
            </w:pPr>
          </w:p>
        </w:tc>
        <w:tc>
          <w:tcPr>
            <w:tcW w:w="751" w:type="pct"/>
            <w:tcBorders>
              <w:top w:val="single" w:sz="4" w:space="0" w:color="auto"/>
              <w:left w:val="single" w:sz="4" w:space="0" w:color="auto"/>
              <w:bottom w:val="single" w:sz="4" w:space="0" w:color="auto"/>
              <w:right w:val="single" w:sz="4" w:space="0" w:color="auto"/>
            </w:tcBorders>
            <w:hideMark/>
          </w:tcPr>
          <w:p w14:paraId="42D5D4CA" w14:textId="77777777" w:rsidR="00653571" w:rsidRPr="008C5F1C" w:rsidRDefault="00653571" w:rsidP="00534127">
            <w:pPr>
              <w:spacing w:before="120" w:after="120"/>
              <w:jc w:val="center"/>
              <w:rPr>
                <w:rFonts w:ascii="Times New Roman" w:hAnsi="Times New Roman" w:cs="Times New Roman"/>
                <w:b/>
                <w:noProof/>
                <w:sz w:val="18"/>
                <w:szCs w:val="18"/>
              </w:rPr>
            </w:pPr>
            <w:r w:rsidRPr="008C5F1C">
              <w:rPr>
                <w:rFonts w:ascii="Times New Roman" w:hAnsi="Times New Roman" w:cs="Times New Roman"/>
                <w:b/>
                <w:noProof/>
                <w:sz w:val="16"/>
                <w:szCs w:val="16"/>
              </w:rPr>
              <w:t xml:space="preserve">EU contribution without flat rate TA </w:t>
            </w:r>
          </w:p>
        </w:tc>
        <w:tc>
          <w:tcPr>
            <w:tcW w:w="543" w:type="pct"/>
            <w:tcBorders>
              <w:top w:val="single" w:sz="4" w:space="0" w:color="auto"/>
              <w:left w:val="single" w:sz="4" w:space="0" w:color="auto"/>
              <w:bottom w:val="single" w:sz="4" w:space="0" w:color="auto"/>
              <w:right w:val="single" w:sz="4" w:space="0" w:color="auto"/>
            </w:tcBorders>
            <w:hideMark/>
          </w:tcPr>
          <w:p w14:paraId="20511583" w14:textId="77777777" w:rsidR="00653571" w:rsidRPr="008C5F1C" w:rsidRDefault="00653571" w:rsidP="00534127">
            <w:pPr>
              <w:spacing w:before="120" w:after="120"/>
              <w:jc w:val="center"/>
              <w:rPr>
                <w:rFonts w:ascii="Times New Roman" w:hAnsi="Times New Roman" w:cs="Times New Roman"/>
                <w:b/>
                <w:noProof/>
                <w:sz w:val="18"/>
                <w:szCs w:val="18"/>
              </w:rPr>
            </w:pPr>
            <w:r w:rsidRPr="008C5F1C">
              <w:rPr>
                <w:rFonts w:ascii="Times New Roman" w:hAnsi="Times New Roman" w:cs="Times New Roman"/>
                <w:b/>
                <w:noProof/>
                <w:sz w:val="16"/>
                <w:szCs w:val="16"/>
              </w:rPr>
              <w:t>EU contribution for flat rate TA*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B30B0B" w14:textId="77777777" w:rsidR="00653571" w:rsidRPr="008C5F1C" w:rsidRDefault="00653571" w:rsidP="00534127">
            <w:pPr>
              <w:spacing w:after="0"/>
              <w:rPr>
                <w:rFonts w:ascii="Times New Roman" w:hAnsi="Times New Roman" w:cs="Times New Roman"/>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BB97A3" w14:textId="77777777" w:rsidR="00653571" w:rsidRPr="008C5F1C" w:rsidRDefault="00653571" w:rsidP="00534127">
            <w:pPr>
              <w:spacing w:after="0"/>
              <w:rPr>
                <w:rFonts w:ascii="Times New Roman" w:hAnsi="Times New Roman" w:cs="Times New Roman"/>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B51E9C" w14:textId="77777777" w:rsidR="00653571" w:rsidRPr="008C5F1C" w:rsidRDefault="00653571" w:rsidP="00534127">
            <w:pPr>
              <w:spacing w:after="0"/>
              <w:rPr>
                <w:rFonts w:ascii="Times New Roman" w:hAnsi="Times New Roman" w:cs="Times New Roman"/>
                <w:b/>
                <w:noProof/>
                <w:sz w:val="18"/>
                <w:szCs w:val="18"/>
              </w:rPr>
            </w:pPr>
          </w:p>
        </w:tc>
      </w:tr>
      <w:tr w:rsidR="00653571" w:rsidRPr="008C5F1C" w14:paraId="78BDD146" w14:textId="77777777" w:rsidTr="00534127">
        <w:trPr>
          <w:trHeight w:val="294"/>
        </w:trPr>
        <w:tc>
          <w:tcPr>
            <w:tcW w:w="535" w:type="pct"/>
            <w:vMerge w:val="restart"/>
            <w:tcBorders>
              <w:top w:val="single" w:sz="4" w:space="0" w:color="auto"/>
              <w:left w:val="single" w:sz="4" w:space="0" w:color="auto"/>
              <w:bottom w:val="single" w:sz="4" w:space="0" w:color="auto"/>
              <w:right w:val="single" w:sz="4" w:space="0" w:color="auto"/>
            </w:tcBorders>
            <w:hideMark/>
          </w:tcPr>
          <w:p w14:paraId="06FB98E6" w14:textId="77777777" w:rsidR="00653571" w:rsidRPr="008C5F1C" w:rsidRDefault="00653571" w:rsidP="00534127">
            <w:pPr>
              <w:spacing w:before="120" w:after="120"/>
              <w:jc w:val="center"/>
              <w:rPr>
                <w:rFonts w:ascii="Times New Roman" w:hAnsi="Times New Roman" w:cs="Times New Roman"/>
                <w:bCs/>
                <w:noProof/>
                <w:sz w:val="18"/>
                <w:szCs w:val="18"/>
              </w:rPr>
            </w:pPr>
            <w:r w:rsidRPr="008C5F1C">
              <w:rPr>
                <w:rFonts w:ascii="Times New Roman" w:hAnsi="Times New Roman" w:cs="Times New Roman"/>
                <w:bCs/>
                <w:noProof/>
                <w:sz w:val="18"/>
                <w:szCs w:val="18"/>
              </w:rPr>
              <w:t>Priority 1</w:t>
            </w:r>
          </w:p>
        </w:tc>
        <w:tc>
          <w:tcPr>
            <w:tcW w:w="778" w:type="pct"/>
            <w:tcBorders>
              <w:top w:val="single" w:sz="4" w:space="0" w:color="auto"/>
              <w:left w:val="single" w:sz="4" w:space="0" w:color="auto"/>
              <w:bottom w:val="single" w:sz="4" w:space="0" w:color="auto"/>
              <w:right w:val="single" w:sz="4" w:space="0" w:color="auto"/>
            </w:tcBorders>
            <w:hideMark/>
          </w:tcPr>
          <w:p w14:paraId="7D256C8B" w14:textId="77777777" w:rsidR="00653571" w:rsidRPr="008C5F1C" w:rsidRDefault="00653571" w:rsidP="00534127">
            <w:pPr>
              <w:spacing w:before="120" w:after="120"/>
              <w:jc w:val="center"/>
              <w:rPr>
                <w:rFonts w:ascii="Times New Roman" w:hAnsi="Times New Roman" w:cs="Times New Roman"/>
                <w:bCs/>
                <w:noProof/>
                <w:sz w:val="18"/>
                <w:szCs w:val="18"/>
              </w:rPr>
            </w:pPr>
            <w:r w:rsidRPr="008C5F1C">
              <w:rPr>
                <w:rFonts w:ascii="Times New Roman" w:hAnsi="Times New Roman" w:cs="Times New Roman"/>
                <w:bCs/>
                <w:noProof/>
                <w:sz w:val="18"/>
                <w:szCs w:val="18"/>
              </w:rPr>
              <w:t>1.1</w:t>
            </w:r>
          </w:p>
        </w:tc>
        <w:tc>
          <w:tcPr>
            <w:tcW w:w="641" w:type="pct"/>
            <w:tcBorders>
              <w:top w:val="single" w:sz="4" w:space="0" w:color="auto"/>
              <w:left w:val="single" w:sz="4" w:space="0" w:color="auto"/>
              <w:bottom w:val="single" w:sz="4" w:space="0" w:color="auto"/>
              <w:right w:val="single" w:sz="4" w:space="0" w:color="auto"/>
            </w:tcBorders>
            <w:hideMark/>
          </w:tcPr>
          <w:p w14:paraId="1FC20B28" w14:textId="77777777" w:rsidR="00653571" w:rsidRPr="008C5F1C" w:rsidRDefault="00653571" w:rsidP="00534127">
            <w:pPr>
              <w:spacing w:before="120" w:after="120"/>
              <w:jc w:val="center"/>
              <w:rPr>
                <w:rFonts w:ascii="Times New Roman" w:hAnsi="Times New Roman" w:cs="Times New Roman"/>
                <w:bCs/>
                <w:noProof/>
                <w:sz w:val="18"/>
                <w:szCs w:val="18"/>
              </w:rPr>
            </w:pPr>
            <w:r w:rsidRPr="008C5F1C">
              <w:rPr>
                <w:rFonts w:ascii="Times New Roman" w:hAnsi="Times New Roman" w:cs="Times New Roman"/>
                <w:bCs/>
                <w:noProof/>
                <w:sz w:val="18"/>
                <w:szCs w:val="18"/>
              </w:rPr>
              <w:t>Public</w:t>
            </w:r>
          </w:p>
        </w:tc>
        <w:tc>
          <w:tcPr>
            <w:tcW w:w="751" w:type="pct"/>
            <w:tcBorders>
              <w:top w:val="single" w:sz="4" w:space="0" w:color="auto"/>
              <w:left w:val="single" w:sz="4" w:space="0" w:color="auto"/>
              <w:bottom w:val="single" w:sz="4" w:space="0" w:color="auto"/>
              <w:right w:val="single" w:sz="4" w:space="0" w:color="auto"/>
            </w:tcBorders>
          </w:tcPr>
          <w:p w14:paraId="7232BE57" w14:textId="77777777" w:rsidR="00653571" w:rsidRPr="008C5F1C" w:rsidRDefault="00653571" w:rsidP="00534127">
            <w:pPr>
              <w:spacing w:before="120" w:after="120"/>
              <w:jc w:val="center"/>
              <w:rPr>
                <w:rFonts w:ascii="Times New Roman" w:hAnsi="Times New Roman" w:cs="Times New Roman"/>
                <w:bCs/>
                <w:noProof/>
                <w:sz w:val="18"/>
                <w:szCs w:val="18"/>
              </w:rPr>
            </w:pPr>
          </w:p>
        </w:tc>
        <w:tc>
          <w:tcPr>
            <w:tcW w:w="543" w:type="pct"/>
            <w:tcBorders>
              <w:top w:val="single" w:sz="4" w:space="0" w:color="auto"/>
              <w:left w:val="single" w:sz="4" w:space="0" w:color="auto"/>
              <w:bottom w:val="single" w:sz="4" w:space="0" w:color="auto"/>
              <w:right w:val="single" w:sz="4" w:space="0" w:color="auto"/>
            </w:tcBorders>
          </w:tcPr>
          <w:p w14:paraId="1FBD1461" w14:textId="77777777" w:rsidR="00653571" w:rsidRPr="008C5F1C" w:rsidRDefault="00653571" w:rsidP="00534127">
            <w:pPr>
              <w:spacing w:before="120" w:after="120"/>
              <w:jc w:val="center"/>
              <w:rPr>
                <w:rFonts w:ascii="Times New Roman" w:hAnsi="Times New Roman" w:cs="Times New Roman"/>
                <w:bCs/>
                <w:noProof/>
                <w:sz w:val="18"/>
                <w:szCs w:val="18"/>
              </w:rPr>
            </w:pPr>
          </w:p>
        </w:tc>
        <w:tc>
          <w:tcPr>
            <w:tcW w:w="535" w:type="pct"/>
            <w:tcBorders>
              <w:top w:val="single" w:sz="4" w:space="0" w:color="auto"/>
              <w:left w:val="single" w:sz="4" w:space="0" w:color="auto"/>
              <w:bottom w:val="single" w:sz="4" w:space="0" w:color="auto"/>
              <w:right w:val="single" w:sz="4" w:space="0" w:color="auto"/>
            </w:tcBorders>
          </w:tcPr>
          <w:p w14:paraId="33C3A1FC" w14:textId="77777777" w:rsidR="00653571" w:rsidRPr="008C5F1C" w:rsidRDefault="00653571" w:rsidP="00534127">
            <w:pPr>
              <w:spacing w:before="120" w:after="120"/>
              <w:jc w:val="center"/>
              <w:rPr>
                <w:rFonts w:ascii="Times New Roman" w:hAnsi="Times New Roman" w:cs="Times New Roman"/>
                <w:bCs/>
                <w:noProof/>
                <w:sz w:val="18"/>
                <w:szCs w:val="18"/>
              </w:rPr>
            </w:pPr>
          </w:p>
        </w:tc>
        <w:tc>
          <w:tcPr>
            <w:tcW w:w="460" w:type="pct"/>
            <w:tcBorders>
              <w:top w:val="single" w:sz="4" w:space="0" w:color="auto"/>
              <w:left w:val="single" w:sz="4" w:space="0" w:color="auto"/>
              <w:bottom w:val="single" w:sz="4" w:space="0" w:color="auto"/>
              <w:right w:val="single" w:sz="4" w:space="0" w:color="auto"/>
            </w:tcBorders>
          </w:tcPr>
          <w:p w14:paraId="732A04BB" w14:textId="77777777" w:rsidR="00653571" w:rsidRPr="008C5F1C" w:rsidRDefault="00653571" w:rsidP="00534127">
            <w:pPr>
              <w:spacing w:before="120" w:after="120"/>
              <w:jc w:val="center"/>
              <w:rPr>
                <w:rFonts w:ascii="Times New Roman" w:hAnsi="Times New Roman" w:cs="Times New Roman"/>
                <w:bCs/>
                <w:noProof/>
                <w:sz w:val="18"/>
                <w:szCs w:val="18"/>
              </w:rPr>
            </w:pPr>
          </w:p>
        </w:tc>
        <w:tc>
          <w:tcPr>
            <w:tcW w:w="757" w:type="pct"/>
            <w:tcBorders>
              <w:top w:val="single" w:sz="4" w:space="0" w:color="auto"/>
              <w:left w:val="single" w:sz="4" w:space="0" w:color="auto"/>
              <w:bottom w:val="single" w:sz="4" w:space="0" w:color="auto"/>
              <w:right w:val="single" w:sz="4" w:space="0" w:color="auto"/>
            </w:tcBorders>
          </w:tcPr>
          <w:p w14:paraId="2E045F03" w14:textId="77777777" w:rsidR="00653571" w:rsidRPr="008C5F1C" w:rsidRDefault="00653571" w:rsidP="00534127">
            <w:pPr>
              <w:spacing w:before="120" w:after="120"/>
              <w:jc w:val="center"/>
              <w:rPr>
                <w:rFonts w:ascii="Times New Roman" w:hAnsi="Times New Roman" w:cs="Times New Roman"/>
                <w:bCs/>
                <w:noProof/>
                <w:sz w:val="18"/>
                <w:szCs w:val="18"/>
              </w:rPr>
            </w:pPr>
          </w:p>
        </w:tc>
      </w:tr>
      <w:tr w:rsidR="00653571" w:rsidRPr="008C5F1C" w14:paraId="3B708C72" w14:textId="77777777" w:rsidTr="00534127">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126CCF" w14:textId="77777777" w:rsidR="00653571" w:rsidRPr="008C5F1C" w:rsidRDefault="00653571" w:rsidP="00534127">
            <w:pPr>
              <w:spacing w:after="0"/>
              <w:rPr>
                <w:rFonts w:ascii="Times New Roman" w:hAnsi="Times New Roman" w:cs="Times New Roman"/>
                <w:bCs/>
                <w:noProof/>
                <w:sz w:val="18"/>
                <w:szCs w:val="18"/>
              </w:rPr>
            </w:pPr>
          </w:p>
        </w:tc>
        <w:tc>
          <w:tcPr>
            <w:tcW w:w="778" w:type="pct"/>
            <w:tcBorders>
              <w:top w:val="single" w:sz="4" w:space="0" w:color="auto"/>
              <w:left w:val="single" w:sz="4" w:space="0" w:color="auto"/>
              <w:bottom w:val="single" w:sz="4" w:space="0" w:color="auto"/>
              <w:right w:val="single" w:sz="4" w:space="0" w:color="auto"/>
            </w:tcBorders>
            <w:hideMark/>
          </w:tcPr>
          <w:p w14:paraId="4EE4F6C6" w14:textId="77777777" w:rsidR="00653571" w:rsidRPr="008C5F1C" w:rsidRDefault="00653571" w:rsidP="00534127">
            <w:pPr>
              <w:spacing w:before="120" w:after="120"/>
              <w:jc w:val="center"/>
              <w:rPr>
                <w:rFonts w:ascii="Times New Roman" w:hAnsi="Times New Roman" w:cs="Times New Roman"/>
                <w:bCs/>
                <w:noProof/>
                <w:sz w:val="18"/>
                <w:szCs w:val="18"/>
              </w:rPr>
            </w:pPr>
            <w:r w:rsidRPr="008C5F1C">
              <w:rPr>
                <w:rFonts w:ascii="Times New Roman" w:hAnsi="Times New Roman" w:cs="Times New Roman"/>
                <w:bCs/>
                <w:noProof/>
                <w:sz w:val="18"/>
                <w:szCs w:val="18"/>
              </w:rPr>
              <w:t>1.2</w:t>
            </w:r>
          </w:p>
        </w:tc>
        <w:tc>
          <w:tcPr>
            <w:tcW w:w="641" w:type="pct"/>
            <w:tcBorders>
              <w:top w:val="single" w:sz="4" w:space="0" w:color="auto"/>
              <w:left w:val="single" w:sz="4" w:space="0" w:color="auto"/>
              <w:bottom w:val="single" w:sz="4" w:space="0" w:color="auto"/>
              <w:right w:val="single" w:sz="4" w:space="0" w:color="auto"/>
            </w:tcBorders>
            <w:hideMark/>
          </w:tcPr>
          <w:p w14:paraId="40DBDEE6" w14:textId="77777777" w:rsidR="00653571" w:rsidRPr="008C5F1C" w:rsidRDefault="00653571" w:rsidP="00534127">
            <w:pPr>
              <w:spacing w:before="120" w:after="120"/>
              <w:jc w:val="center"/>
              <w:rPr>
                <w:rFonts w:ascii="Times New Roman" w:hAnsi="Times New Roman" w:cs="Times New Roman"/>
                <w:bCs/>
                <w:noProof/>
                <w:sz w:val="18"/>
                <w:szCs w:val="18"/>
              </w:rPr>
            </w:pPr>
            <w:r w:rsidRPr="008C5F1C">
              <w:rPr>
                <w:rFonts w:ascii="Times New Roman" w:hAnsi="Times New Roman" w:cs="Times New Roman"/>
                <w:bCs/>
                <w:noProof/>
                <w:sz w:val="18"/>
                <w:szCs w:val="18"/>
              </w:rPr>
              <w:t>Public</w:t>
            </w:r>
          </w:p>
        </w:tc>
        <w:tc>
          <w:tcPr>
            <w:tcW w:w="751" w:type="pct"/>
            <w:tcBorders>
              <w:top w:val="single" w:sz="4" w:space="0" w:color="auto"/>
              <w:left w:val="single" w:sz="4" w:space="0" w:color="auto"/>
              <w:bottom w:val="single" w:sz="4" w:space="0" w:color="auto"/>
              <w:right w:val="single" w:sz="4" w:space="0" w:color="auto"/>
            </w:tcBorders>
          </w:tcPr>
          <w:p w14:paraId="4E02F6A5" w14:textId="77777777" w:rsidR="00653571" w:rsidRPr="008C5F1C" w:rsidRDefault="00653571" w:rsidP="00534127">
            <w:pPr>
              <w:spacing w:before="120" w:after="120"/>
              <w:jc w:val="center"/>
              <w:rPr>
                <w:rFonts w:ascii="Times New Roman" w:hAnsi="Times New Roman" w:cs="Times New Roman"/>
                <w:bCs/>
                <w:noProof/>
                <w:sz w:val="18"/>
                <w:szCs w:val="18"/>
              </w:rPr>
            </w:pPr>
          </w:p>
        </w:tc>
        <w:tc>
          <w:tcPr>
            <w:tcW w:w="543" w:type="pct"/>
            <w:tcBorders>
              <w:top w:val="single" w:sz="4" w:space="0" w:color="auto"/>
              <w:left w:val="single" w:sz="4" w:space="0" w:color="auto"/>
              <w:bottom w:val="single" w:sz="4" w:space="0" w:color="auto"/>
              <w:right w:val="single" w:sz="4" w:space="0" w:color="auto"/>
            </w:tcBorders>
          </w:tcPr>
          <w:p w14:paraId="62BCF0A8" w14:textId="77777777" w:rsidR="00653571" w:rsidRPr="008C5F1C" w:rsidRDefault="00653571" w:rsidP="00534127">
            <w:pPr>
              <w:spacing w:before="120" w:after="120"/>
              <w:jc w:val="center"/>
              <w:rPr>
                <w:rFonts w:ascii="Times New Roman" w:hAnsi="Times New Roman" w:cs="Times New Roman"/>
                <w:bCs/>
                <w:noProof/>
                <w:sz w:val="18"/>
                <w:szCs w:val="18"/>
              </w:rPr>
            </w:pPr>
          </w:p>
        </w:tc>
        <w:tc>
          <w:tcPr>
            <w:tcW w:w="535" w:type="pct"/>
            <w:tcBorders>
              <w:top w:val="single" w:sz="4" w:space="0" w:color="auto"/>
              <w:left w:val="single" w:sz="4" w:space="0" w:color="auto"/>
              <w:bottom w:val="single" w:sz="4" w:space="0" w:color="auto"/>
              <w:right w:val="single" w:sz="4" w:space="0" w:color="auto"/>
            </w:tcBorders>
          </w:tcPr>
          <w:p w14:paraId="05693946" w14:textId="77777777" w:rsidR="00653571" w:rsidRPr="008C5F1C" w:rsidRDefault="00653571" w:rsidP="00534127">
            <w:pPr>
              <w:spacing w:before="120" w:after="120"/>
              <w:jc w:val="center"/>
              <w:rPr>
                <w:rFonts w:ascii="Times New Roman" w:hAnsi="Times New Roman" w:cs="Times New Roman"/>
                <w:bCs/>
                <w:noProof/>
                <w:sz w:val="18"/>
                <w:szCs w:val="18"/>
              </w:rPr>
            </w:pPr>
          </w:p>
        </w:tc>
        <w:tc>
          <w:tcPr>
            <w:tcW w:w="460" w:type="pct"/>
            <w:tcBorders>
              <w:top w:val="single" w:sz="4" w:space="0" w:color="auto"/>
              <w:left w:val="single" w:sz="4" w:space="0" w:color="auto"/>
              <w:bottom w:val="single" w:sz="4" w:space="0" w:color="auto"/>
              <w:right w:val="single" w:sz="4" w:space="0" w:color="auto"/>
            </w:tcBorders>
          </w:tcPr>
          <w:p w14:paraId="30C6D68C" w14:textId="77777777" w:rsidR="00653571" w:rsidRPr="008C5F1C" w:rsidRDefault="00653571" w:rsidP="00534127">
            <w:pPr>
              <w:spacing w:before="120" w:after="120"/>
              <w:jc w:val="center"/>
              <w:rPr>
                <w:rFonts w:ascii="Times New Roman" w:hAnsi="Times New Roman" w:cs="Times New Roman"/>
                <w:bCs/>
                <w:noProof/>
                <w:sz w:val="18"/>
                <w:szCs w:val="18"/>
              </w:rPr>
            </w:pPr>
          </w:p>
        </w:tc>
        <w:tc>
          <w:tcPr>
            <w:tcW w:w="757" w:type="pct"/>
            <w:tcBorders>
              <w:top w:val="single" w:sz="4" w:space="0" w:color="auto"/>
              <w:left w:val="single" w:sz="4" w:space="0" w:color="auto"/>
              <w:bottom w:val="single" w:sz="4" w:space="0" w:color="auto"/>
              <w:right w:val="single" w:sz="4" w:space="0" w:color="auto"/>
            </w:tcBorders>
          </w:tcPr>
          <w:p w14:paraId="57218177" w14:textId="77777777" w:rsidR="00653571" w:rsidRPr="008C5F1C" w:rsidRDefault="00653571" w:rsidP="00534127">
            <w:pPr>
              <w:spacing w:before="120" w:after="120"/>
              <w:jc w:val="center"/>
              <w:rPr>
                <w:rFonts w:ascii="Times New Roman" w:hAnsi="Times New Roman" w:cs="Times New Roman"/>
                <w:bCs/>
                <w:noProof/>
                <w:sz w:val="18"/>
                <w:szCs w:val="18"/>
              </w:rPr>
            </w:pPr>
          </w:p>
        </w:tc>
      </w:tr>
      <w:tr w:rsidR="00653571" w:rsidRPr="008C5F1C" w14:paraId="4ED147B6" w14:textId="77777777" w:rsidTr="00534127">
        <w:trPr>
          <w:trHeight w:val="2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C8BF90" w14:textId="77777777" w:rsidR="00653571" w:rsidRPr="008C5F1C" w:rsidRDefault="00653571" w:rsidP="00534127">
            <w:pPr>
              <w:spacing w:after="0"/>
              <w:rPr>
                <w:rFonts w:ascii="Times New Roman" w:hAnsi="Times New Roman" w:cs="Times New Roman"/>
                <w:bCs/>
                <w:noProof/>
                <w:sz w:val="18"/>
                <w:szCs w:val="18"/>
              </w:rPr>
            </w:pPr>
          </w:p>
        </w:tc>
        <w:tc>
          <w:tcPr>
            <w:tcW w:w="778" w:type="pct"/>
            <w:tcBorders>
              <w:top w:val="single" w:sz="4" w:space="0" w:color="auto"/>
              <w:left w:val="single" w:sz="4" w:space="0" w:color="auto"/>
              <w:bottom w:val="single" w:sz="4" w:space="0" w:color="auto"/>
              <w:right w:val="single" w:sz="4" w:space="0" w:color="auto"/>
            </w:tcBorders>
            <w:hideMark/>
          </w:tcPr>
          <w:p w14:paraId="1B69E276" w14:textId="77777777" w:rsidR="00653571" w:rsidRPr="008C5F1C" w:rsidRDefault="00653571" w:rsidP="00534127">
            <w:pPr>
              <w:spacing w:before="120" w:after="120"/>
              <w:jc w:val="center"/>
              <w:rPr>
                <w:rFonts w:ascii="Times New Roman" w:hAnsi="Times New Roman" w:cs="Times New Roman"/>
                <w:bCs/>
                <w:noProof/>
                <w:sz w:val="18"/>
                <w:szCs w:val="18"/>
              </w:rPr>
            </w:pPr>
            <w:r w:rsidRPr="008C5F1C">
              <w:rPr>
                <w:rFonts w:ascii="Times New Roman" w:hAnsi="Times New Roman" w:cs="Times New Roman"/>
                <w:bCs/>
                <w:noProof/>
                <w:sz w:val="18"/>
                <w:szCs w:val="18"/>
              </w:rPr>
              <w:t>1.3</w:t>
            </w:r>
          </w:p>
        </w:tc>
        <w:tc>
          <w:tcPr>
            <w:tcW w:w="641" w:type="pct"/>
            <w:tcBorders>
              <w:top w:val="single" w:sz="4" w:space="0" w:color="auto"/>
              <w:left w:val="single" w:sz="4" w:space="0" w:color="auto"/>
              <w:bottom w:val="single" w:sz="4" w:space="0" w:color="auto"/>
              <w:right w:val="single" w:sz="4" w:space="0" w:color="auto"/>
            </w:tcBorders>
            <w:hideMark/>
          </w:tcPr>
          <w:p w14:paraId="482198F7" w14:textId="77777777" w:rsidR="00653571" w:rsidRPr="008C5F1C" w:rsidRDefault="00653571" w:rsidP="00534127">
            <w:pPr>
              <w:spacing w:before="120" w:after="120"/>
              <w:jc w:val="center"/>
              <w:rPr>
                <w:rFonts w:ascii="Times New Roman" w:hAnsi="Times New Roman" w:cs="Times New Roman"/>
                <w:bCs/>
                <w:noProof/>
                <w:sz w:val="18"/>
                <w:szCs w:val="18"/>
              </w:rPr>
            </w:pPr>
            <w:r w:rsidRPr="008C5F1C">
              <w:rPr>
                <w:rFonts w:ascii="Times New Roman" w:hAnsi="Times New Roman" w:cs="Times New Roman"/>
                <w:bCs/>
                <w:noProof/>
                <w:sz w:val="18"/>
                <w:szCs w:val="18"/>
              </w:rPr>
              <w:t>Public</w:t>
            </w:r>
          </w:p>
        </w:tc>
        <w:tc>
          <w:tcPr>
            <w:tcW w:w="751" w:type="pct"/>
            <w:tcBorders>
              <w:top w:val="single" w:sz="4" w:space="0" w:color="auto"/>
              <w:left w:val="single" w:sz="4" w:space="0" w:color="auto"/>
              <w:bottom w:val="single" w:sz="4" w:space="0" w:color="auto"/>
              <w:right w:val="single" w:sz="4" w:space="0" w:color="auto"/>
            </w:tcBorders>
          </w:tcPr>
          <w:p w14:paraId="4BF61C3D" w14:textId="77777777" w:rsidR="00653571" w:rsidRPr="008C5F1C" w:rsidRDefault="00653571" w:rsidP="00534127">
            <w:pPr>
              <w:spacing w:before="120" w:after="120"/>
              <w:jc w:val="center"/>
              <w:rPr>
                <w:rFonts w:ascii="Times New Roman" w:hAnsi="Times New Roman" w:cs="Times New Roman"/>
                <w:bCs/>
                <w:noProof/>
                <w:sz w:val="18"/>
                <w:szCs w:val="18"/>
              </w:rPr>
            </w:pPr>
          </w:p>
        </w:tc>
        <w:tc>
          <w:tcPr>
            <w:tcW w:w="543" w:type="pct"/>
            <w:tcBorders>
              <w:top w:val="single" w:sz="4" w:space="0" w:color="auto"/>
              <w:left w:val="single" w:sz="4" w:space="0" w:color="auto"/>
              <w:bottom w:val="single" w:sz="4" w:space="0" w:color="auto"/>
              <w:right w:val="single" w:sz="4" w:space="0" w:color="auto"/>
            </w:tcBorders>
          </w:tcPr>
          <w:p w14:paraId="3BA62834" w14:textId="77777777" w:rsidR="00653571" w:rsidRPr="008C5F1C" w:rsidRDefault="00653571" w:rsidP="00534127">
            <w:pPr>
              <w:spacing w:before="120" w:after="120"/>
              <w:jc w:val="center"/>
              <w:rPr>
                <w:rFonts w:ascii="Times New Roman" w:hAnsi="Times New Roman" w:cs="Times New Roman"/>
                <w:bCs/>
                <w:noProof/>
                <w:sz w:val="18"/>
                <w:szCs w:val="18"/>
              </w:rPr>
            </w:pPr>
          </w:p>
        </w:tc>
        <w:tc>
          <w:tcPr>
            <w:tcW w:w="535" w:type="pct"/>
            <w:tcBorders>
              <w:top w:val="single" w:sz="4" w:space="0" w:color="auto"/>
              <w:left w:val="single" w:sz="4" w:space="0" w:color="auto"/>
              <w:bottom w:val="single" w:sz="4" w:space="0" w:color="auto"/>
              <w:right w:val="single" w:sz="4" w:space="0" w:color="auto"/>
            </w:tcBorders>
          </w:tcPr>
          <w:p w14:paraId="706116C6" w14:textId="77777777" w:rsidR="00653571" w:rsidRPr="008C5F1C" w:rsidRDefault="00653571" w:rsidP="00534127">
            <w:pPr>
              <w:spacing w:before="120" w:after="120"/>
              <w:jc w:val="center"/>
              <w:rPr>
                <w:rFonts w:ascii="Times New Roman" w:hAnsi="Times New Roman" w:cs="Times New Roman"/>
                <w:bCs/>
                <w:noProof/>
                <w:sz w:val="18"/>
                <w:szCs w:val="18"/>
              </w:rPr>
            </w:pPr>
          </w:p>
        </w:tc>
        <w:tc>
          <w:tcPr>
            <w:tcW w:w="460" w:type="pct"/>
            <w:tcBorders>
              <w:top w:val="single" w:sz="4" w:space="0" w:color="auto"/>
              <w:left w:val="single" w:sz="4" w:space="0" w:color="auto"/>
              <w:bottom w:val="single" w:sz="4" w:space="0" w:color="auto"/>
              <w:right w:val="single" w:sz="4" w:space="0" w:color="auto"/>
            </w:tcBorders>
          </w:tcPr>
          <w:p w14:paraId="57B3997F" w14:textId="77777777" w:rsidR="00653571" w:rsidRPr="008C5F1C" w:rsidRDefault="00653571" w:rsidP="00534127">
            <w:pPr>
              <w:spacing w:before="120" w:after="120"/>
              <w:jc w:val="center"/>
              <w:rPr>
                <w:rFonts w:ascii="Times New Roman" w:hAnsi="Times New Roman" w:cs="Times New Roman"/>
                <w:bCs/>
                <w:noProof/>
                <w:sz w:val="18"/>
                <w:szCs w:val="18"/>
              </w:rPr>
            </w:pPr>
          </w:p>
        </w:tc>
        <w:tc>
          <w:tcPr>
            <w:tcW w:w="757" w:type="pct"/>
            <w:tcBorders>
              <w:top w:val="single" w:sz="4" w:space="0" w:color="auto"/>
              <w:left w:val="single" w:sz="4" w:space="0" w:color="auto"/>
              <w:bottom w:val="single" w:sz="4" w:space="0" w:color="auto"/>
              <w:right w:val="single" w:sz="4" w:space="0" w:color="auto"/>
            </w:tcBorders>
          </w:tcPr>
          <w:p w14:paraId="201488D0" w14:textId="77777777" w:rsidR="00653571" w:rsidRPr="008C5F1C" w:rsidRDefault="00653571" w:rsidP="00534127">
            <w:pPr>
              <w:spacing w:before="120" w:after="120"/>
              <w:jc w:val="center"/>
              <w:rPr>
                <w:rFonts w:ascii="Times New Roman" w:hAnsi="Times New Roman" w:cs="Times New Roman"/>
                <w:bCs/>
                <w:noProof/>
                <w:sz w:val="18"/>
                <w:szCs w:val="18"/>
              </w:rPr>
            </w:pPr>
          </w:p>
        </w:tc>
      </w:tr>
      <w:tr w:rsidR="00653571" w:rsidRPr="008C5F1C" w14:paraId="32A85316" w14:textId="77777777" w:rsidTr="00534127">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B8FB24" w14:textId="77777777" w:rsidR="00653571" w:rsidRPr="008C5F1C" w:rsidRDefault="00653571" w:rsidP="00534127">
            <w:pPr>
              <w:spacing w:after="0"/>
              <w:rPr>
                <w:rFonts w:ascii="Times New Roman" w:hAnsi="Times New Roman" w:cs="Times New Roman"/>
                <w:bCs/>
                <w:noProof/>
                <w:sz w:val="18"/>
                <w:szCs w:val="18"/>
              </w:rPr>
            </w:pPr>
          </w:p>
        </w:tc>
        <w:tc>
          <w:tcPr>
            <w:tcW w:w="778" w:type="pct"/>
            <w:tcBorders>
              <w:top w:val="single" w:sz="4" w:space="0" w:color="auto"/>
              <w:left w:val="single" w:sz="4" w:space="0" w:color="auto"/>
              <w:bottom w:val="single" w:sz="4" w:space="0" w:color="auto"/>
              <w:right w:val="single" w:sz="4" w:space="0" w:color="auto"/>
            </w:tcBorders>
            <w:hideMark/>
          </w:tcPr>
          <w:p w14:paraId="4C876EBE" w14:textId="77777777" w:rsidR="00653571" w:rsidRPr="008C5F1C" w:rsidRDefault="00653571" w:rsidP="00534127">
            <w:pPr>
              <w:spacing w:before="120" w:after="120"/>
              <w:jc w:val="center"/>
              <w:rPr>
                <w:rFonts w:ascii="Times New Roman" w:hAnsi="Times New Roman" w:cs="Times New Roman"/>
                <w:bCs/>
                <w:noProof/>
                <w:sz w:val="18"/>
                <w:szCs w:val="18"/>
              </w:rPr>
            </w:pPr>
            <w:r w:rsidRPr="008C5F1C">
              <w:rPr>
                <w:rFonts w:ascii="Times New Roman" w:hAnsi="Times New Roman" w:cs="Times New Roman"/>
                <w:bCs/>
                <w:noProof/>
                <w:sz w:val="18"/>
                <w:szCs w:val="18"/>
              </w:rPr>
              <w:t>1.4</w:t>
            </w:r>
          </w:p>
        </w:tc>
        <w:tc>
          <w:tcPr>
            <w:tcW w:w="641" w:type="pct"/>
            <w:tcBorders>
              <w:top w:val="single" w:sz="4" w:space="0" w:color="auto"/>
              <w:left w:val="single" w:sz="4" w:space="0" w:color="auto"/>
              <w:bottom w:val="single" w:sz="4" w:space="0" w:color="auto"/>
              <w:right w:val="single" w:sz="4" w:space="0" w:color="auto"/>
            </w:tcBorders>
            <w:hideMark/>
          </w:tcPr>
          <w:p w14:paraId="02B040A0" w14:textId="77777777" w:rsidR="00653571" w:rsidRPr="008C5F1C" w:rsidRDefault="00653571" w:rsidP="00534127">
            <w:pPr>
              <w:spacing w:before="120" w:after="120"/>
              <w:jc w:val="center"/>
              <w:rPr>
                <w:rFonts w:ascii="Times New Roman" w:hAnsi="Times New Roman" w:cs="Times New Roman"/>
                <w:bCs/>
                <w:noProof/>
                <w:sz w:val="18"/>
                <w:szCs w:val="18"/>
              </w:rPr>
            </w:pPr>
            <w:r w:rsidRPr="008C5F1C">
              <w:rPr>
                <w:rFonts w:ascii="Times New Roman" w:hAnsi="Times New Roman" w:cs="Times New Roman"/>
                <w:bCs/>
                <w:noProof/>
                <w:sz w:val="18"/>
                <w:szCs w:val="18"/>
              </w:rPr>
              <w:t>Public</w:t>
            </w:r>
          </w:p>
        </w:tc>
        <w:tc>
          <w:tcPr>
            <w:tcW w:w="751" w:type="pct"/>
            <w:tcBorders>
              <w:top w:val="single" w:sz="4" w:space="0" w:color="auto"/>
              <w:left w:val="single" w:sz="4" w:space="0" w:color="auto"/>
              <w:bottom w:val="single" w:sz="4" w:space="0" w:color="auto"/>
              <w:right w:val="single" w:sz="4" w:space="0" w:color="auto"/>
            </w:tcBorders>
          </w:tcPr>
          <w:p w14:paraId="3EABE62F" w14:textId="77777777" w:rsidR="00653571" w:rsidRPr="008C5F1C" w:rsidRDefault="00653571" w:rsidP="00534127">
            <w:pPr>
              <w:spacing w:before="120" w:after="120"/>
              <w:jc w:val="center"/>
              <w:rPr>
                <w:rFonts w:ascii="Times New Roman" w:hAnsi="Times New Roman" w:cs="Times New Roman"/>
                <w:bCs/>
                <w:noProof/>
                <w:sz w:val="18"/>
                <w:szCs w:val="18"/>
              </w:rPr>
            </w:pPr>
          </w:p>
        </w:tc>
        <w:tc>
          <w:tcPr>
            <w:tcW w:w="543" w:type="pct"/>
            <w:tcBorders>
              <w:top w:val="single" w:sz="4" w:space="0" w:color="auto"/>
              <w:left w:val="single" w:sz="4" w:space="0" w:color="auto"/>
              <w:bottom w:val="single" w:sz="4" w:space="0" w:color="auto"/>
              <w:right w:val="single" w:sz="4" w:space="0" w:color="auto"/>
            </w:tcBorders>
          </w:tcPr>
          <w:p w14:paraId="63AA6B6C" w14:textId="77777777" w:rsidR="00653571" w:rsidRPr="008C5F1C" w:rsidRDefault="00653571" w:rsidP="00534127">
            <w:pPr>
              <w:spacing w:before="120" w:after="120"/>
              <w:jc w:val="center"/>
              <w:rPr>
                <w:rFonts w:ascii="Times New Roman" w:hAnsi="Times New Roman" w:cs="Times New Roman"/>
                <w:bCs/>
                <w:noProof/>
                <w:sz w:val="18"/>
                <w:szCs w:val="18"/>
              </w:rPr>
            </w:pPr>
          </w:p>
        </w:tc>
        <w:tc>
          <w:tcPr>
            <w:tcW w:w="535" w:type="pct"/>
            <w:tcBorders>
              <w:top w:val="single" w:sz="4" w:space="0" w:color="auto"/>
              <w:left w:val="single" w:sz="4" w:space="0" w:color="auto"/>
              <w:bottom w:val="single" w:sz="4" w:space="0" w:color="auto"/>
              <w:right w:val="single" w:sz="4" w:space="0" w:color="auto"/>
            </w:tcBorders>
          </w:tcPr>
          <w:p w14:paraId="1BE7F09E" w14:textId="77777777" w:rsidR="00653571" w:rsidRPr="008C5F1C" w:rsidRDefault="00653571" w:rsidP="00534127">
            <w:pPr>
              <w:spacing w:before="120" w:after="120"/>
              <w:jc w:val="center"/>
              <w:rPr>
                <w:rFonts w:ascii="Times New Roman" w:hAnsi="Times New Roman" w:cs="Times New Roman"/>
                <w:bCs/>
                <w:noProof/>
                <w:sz w:val="18"/>
                <w:szCs w:val="18"/>
              </w:rPr>
            </w:pPr>
          </w:p>
        </w:tc>
        <w:tc>
          <w:tcPr>
            <w:tcW w:w="460" w:type="pct"/>
            <w:tcBorders>
              <w:top w:val="single" w:sz="4" w:space="0" w:color="auto"/>
              <w:left w:val="single" w:sz="4" w:space="0" w:color="auto"/>
              <w:bottom w:val="single" w:sz="4" w:space="0" w:color="auto"/>
              <w:right w:val="single" w:sz="4" w:space="0" w:color="auto"/>
            </w:tcBorders>
          </w:tcPr>
          <w:p w14:paraId="2C06A3D5" w14:textId="77777777" w:rsidR="00653571" w:rsidRPr="008C5F1C" w:rsidRDefault="00653571" w:rsidP="00534127">
            <w:pPr>
              <w:spacing w:before="120" w:after="120"/>
              <w:jc w:val="center"/>
              <w:rPr>
                <w:rFonts w:ascii="Times New Roman" w:hAnsi="Times New Roman" w:cs="Times New Roman"/>
                <w:bCs/>
                <w:noProof/>
                <w:sz w:val="18"/>
                <w:szCs w:val="18"/>
              </w:rPr>
            </w:pPr>
          </w:p>
        </w:tc>
        <w:tc>
          <w:tcPr>
            <w:tcW w:w="757" w:type="pct"/>
            <w:tcBorders>
              <w:top w:val="single" w:sz="4" w:space="0" w:color="auto"/>
              <w:left w:val="single" w:sz="4" w:space="0" w:color="auto"/>
              <w:bottom w:val="single" w:sz="4" w:space="0" w:color="auto"/>
              <w:right w:val="single" w:sz="4" w:space="0" w:color="auto"/>
            </w:tcBorders>
          </w:tcPr>
          <w:p w14:paraId="15C7F255" w14:textId="77777777" w:rsidR="00653571" w:rsidRPr="008C5F1C" w:rsidRDefault="00653571" w:rsidP="00534127">
            <w:pPr>
              <w:spacing w:before="120" w:after="120"/>
              <w:jc w:val="center"/>
              <w:rPr>
                <w:rFonts w:ascii="Times New Roman" w:hAnsi="Times New Roman" w:cs="Times New Roman"/>
                <w:bCs/>
                <w:noProof/>
                <w:sz w:val="18"/>
                <w:szCs w:val="18"/>
              </w:rPr>
            </w:pPr>
          </w:p>
        </w:tc>
      </w:tr>
      <w:tr w:rsidR="00653571" w:rsidRPr="008C5F1C" w14:paraId="32D900FF" w14:textId="77777777" w:rsidTr="00534127">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885346" w14:textId="77777777" w:rsidR="00653571" w:rsidRPr="008C5F1C" w:rsidRDefault="00653571" w:rsidP="00534127">
            <w:pPr>
              <w:spacing w:after="0"/>
              <w:rPr>
                <w:rFonts w:ascii="Times New Roman" w:hAnsi="Times New Roman" w:cs="Times New Roman"/>
                <w:bCs/>
                <w:noProof/>
                <w:sz w:val="18"/>
                <w:szCs w:val="18"/>
              </w:rPr>
            </w:pPr>
          </w:p>
        </w:tc>
        <w:tc>
          <w:tcPr>
            <w:tcW w:w="778" w:type="pct"/>
            <w:tcBorders>
              <w:top w:val="single" w:sz="4" w:space="0" w:color="auto"/>
              <w:left w:val="single" w:sz="4" w:space="0" w:color="auto"/>
              <w:bottom w:val="single" w:sz="4" w:space="0" w:color="auto"/>
              <w:right w:val="single" w:sz="4" w:space="0" w:color="auto"/>
            </w:tcBorders>
            <w:hideMark/>
          </w:tcPr>
          <w:p w14:paraId="4EEF8DEE" w14:textId="77777777" w:rsidR="00653571" w:rsidRPr="008C5F1C" w:rsidRDefault="00653571" w:rsidP="00534127">
            <w:pPr>
              <w:spacing w:before="120" w:after="120"/>
              <w:jc w:val="center"/>
              <w:rPr>
                <w:rFonts w:ascii="Times New Roman" w:hAnsi="Times New Roman" w:cs="Times New Roman"/>
                <w:bCs/>
                <w:noProof/>
                <w:sz w:val="18"/>
                <w:szCs w:val="18"/>
              </w:rPr>
            </w:pPr>
            <w:r w:rsidRPr="008C5F1C">
              <w:rPr>
                <w:rFonts w:ascii="Times New Roman" w:hAnsi="Times New Roman" w:cs="Times New Roman"/>
                <w:bCs/>
                <w:noProof/>
                <w:sz w:val="18"/>
                <w:szCs w:val="18"/>
              </w:rPr>
              <w:t>1.5</w:t>
            </w:r>
          </w:p>
        </w:tc>
        <w:tc>
          <w:tcPr>
            <w:tcW w:w="641" w:type="pct"/>
            <w:tcBorders>
              <w:top w:val="single" w:sz="4" w:space="0" w:color="auto"/>
              <w:left w:val="single" w:sz="4" w:space="0" w:color="auto"/>
              <w:bottom w:val="single" w:sz="4" w:space="0" w:color="auto"/>
              <w:right w:val="single" w:sz="4" w:space="0" w:color="auto"/>
            </w:tcBorders>
            <w:hideMark/>
          </w:tcPr>
          <w:p w14:paraId="5724B3B5" w14:textId="77777777" w:rsidR="00653571" w:rsidRPr="008C5F1C" w:rsidRDefault="00653571" w:rsidP="00534127">
            <w:pPr>
              <w:spacing w:before="120" w:after="120"/>
              <w:jc w:val="center"/>
              <w:rPr>
                <w:rFonts w:ascii="Times New Roman" w:hAnsi="Times New Roman" w:cs="Times New Roman"/>
                <w:bCs/>
                <w:noProof/>
                <w:sz w:val="18"/>
                <w:szCs w:val="18"/>
              </w:rPr>
            </w:pPr>
            <w:r w:rsidRPr="008C5F1C">
              <w:rPr>
                <w:rFonts w:ascii="Times New Roman" w:hAnsi="Times New Roman" w:cs="Times New Roman"/>
                <w:bCs/>
                <w:noProof/>
                <w:sz w:val="18"/>
                <w:szCs w:val="18"/>
              </w:rPr>
              <w:t>Public</w:t>
            </w:r>
          </w:p>
        </w:tc>
        <w:tc>
          <w:tcPr>
            <w:tcW w:w="751" w:type="pct"/>
            <w:tcBorders>
              <w:top w:val="single" w:sz="4" w:space="0" w:color="auto"/>
              <w:left w:val="single" w:sz="4" w:space="0" w:color="auto"/>
              <w:bottom w:val="single" w:sz="4" w:space="0" w:color="auto"/>
              <w:right w:val="single" w:sz="4" w:space="0" w:color="auto"/>
            </w:tcBorders>
          </w:tcPr>
          <w:p w14:paraId="360F1533" w14:textId="77777777" w:rsidR="00653571" w:rsidRPr="008C5F1C" w:rsidRDefault="00653571" w:rsidP="00534127">
            <w:pPr>
              <w:spacing w:before="120" w:after="120"/>
              <w:jc w:val="center"/>
              <w:rPr>
                <w:rFonts w:ascii="Times New Roman" w:hAnsi="Times New Roman" w:cs="Times New Roman"/>
                <w:bCs/>
                <w:noProof/>
                <w:sz w:val="18"/>
                <w:szCs w:val="18"/>
              </w:rPr>
            </w:pPr>
          </w:p>
        </w:tc>
        <w:tc>
          <w:tcPr>
            <w:tcW w:w="543" w:type="pct"/>
            <w:tcBorders>
              <w:top w:val="single" w:sz="4" w:space="0" w:color="auto"/>
              <w:left w:val="single" w:sz="4" w:space="0" w:color="auto"/>
              <w:bottom w:val="single" w:sz="4" w:space="0" w:color="auto"/>
              <w:right w:val="single" w:sz="4" w:space="0" w:color="auto"/>
            </w:tcBorders>
          </w:tcPr>
          <w:p w14:paraId="7BAD1553" w14:textId="77777777" w:rsidR="00653571" w:rsidRPr="008C5F1C" w:rsidRDefault="00653571" w:rsidP="00534127">
            <w:pPr>
              <w:spacing w:before="120" w:after="120"/>
              <w:jc w:val="center"/>
              <w:rPr>
                <w:rFonts w:ascii="Times New Roman" w:hAnsi="Times New Roman" w:cs="Times New Roman"/>
                <w:bCs/>
                <w:noProof/>
                <w:sz w:val="18"/>
                <w:szCs w:val="18"/>
              </w:rPr>
            </w:pPr>
          </w:p>
        </w:tc>
        <w:tc>
          <w:tcPr>
            <w:tcW w:w="535" w:type="pct"/>
            <w:tcBorders>
              <w:top w:val="single" w:sz="4" w:space="0" w:color="auto"/>
              <w:left w:val="single" w:sz="4" w:space="0" w:color="auto"/>
              <w:bottom w:val="single" w:sz="4" w:space="0" w:color="auto"/>
              <w:right w:val="single" w:sz="4" w:space="0" w:color="auto"/>
            </w:tcBorders>
          </w:tcPr>
          <w:p w14:paraId="3A17FC27" w14:textId="77777777" w:rsidR="00653571" w:rsidRPr="008C5F1C" w:rsidRDefault="00653571" w:rsidP="00534127">
            <w:pPr>
              <w:spacing w:before="120" w:after="120"/>
              <w:jc w:val="center"/>
              <w:rPr>
                <w:rFonts w:ascii="Times New Roman" w:hAnsi="Times New Roman" w:cs="Times New Roman"/>
                <w:bCs/>
                <w:noProof/>
                <w:sz w:val="18"/>
                <w:szCs w:val="18"/>
              </w:rPr>
            </w:pPr>
          </w:p>
        </w:tc>
        <w:tc>
          <w:tcPr>
            <w:tcW w:w="460" w:type="pct"/>
            <w:tcBorders>
              <w:top w:val="single" w:sz="4" w:space="0" w:color="auto"/>
              <w:left w:val="single" w:sz="4" w:space="0" w:color="auto"/>
              <w:bottom w:val="single" w:sz="4" w:space="0" w:color="auto"/>
              <w:right w:val="single" w:sz="4" w:space="0" w:color="auto"/>
            </w:tcBorders>
          </w:tcPr>
          <w:p w14:paraId="45312654" w14:textId="77777777" w:rsidR="00653571" w:rsidRPr="008C5F1C" w:rsidRDefault="00653571" w:rsidP="00534127">
            <w:pPr>
              <w:spacing w:before="120" w:after="120"/>
              <w:jc w:val="center"/>
              <w:rPr>
                <w:rFonts w:ascii="Times New Roman" w:hAnsi="Times New Roman" w:cs="Times New Roman"/>
                <w:bCs/>
                <w:noProof/>
                <w:sz w:val="18"/>
                <w:szCs w:val="18"/>
              </w:rPr>
            </w:pPr>
          </w:p>
        </w:tc>
        <w:tc>
          <w:tcPr>
            <w:tcW w:w="757" w:type="pct"/>
            <w:tcBorders>
              <w:top w:val="single" w:sz="4" w:space="0" w:color="auto"/>
              <w:left w:val="single" w:sz="4" w:space="0" w:color="auto"/>
              <w:bottom w:val="single" w:sz="4" w:space="0" w:color="auto"/>
              <w:right w:val="single" w:sz="4" w:space="0" w:color="auto"/>
            </w:tcBorders>
          </w:tcPr>
          <w:p w14:paraId="09984D45" w14:textId="77777777" w:rsidR="00653571" w:rsidRPr="008C5F1C" w:rsidRDefault="00653571" w:rsidP="00534127">
            <w:pPr>
              <w:spacing w:before="120" w:after="120"/>
              <w:jc w:val="center"/>
              <w:rPr>
                <w:rFonts w:ascii="Times New Roman" w:hAnsi="Times New Roman" w:cs="Times New Roman"/>
                <w:bCs/>
                <w:noProof/>
                <w:sz w:val="18"/>
                <w:szCs w:val="18"/>
              </w:rPr>
            </w:pPr>
          </w:p>
        </w:tc>
      </w:tr>
      <w:tr w:rsidR="00653571" w:rsidRPr="008C5F1C" w14:paraId="5B376F62" w14:textId="77777777" w:rsidTr="00534127">
        <w:trPr>
          <w:trHeight w:val="290"/>
        </w:trPr>
        <w:tc>
          <w:tcPr>
            <w:tcW w:w="535" w:type="pct"/>
            <w:tcBorders>
              <w:top w:val="single" w:sz="4" w:space="0" w:color="auto"/>
              <w:left w:val="single" w:sz="4" w:space="0" w:color="auto"/>
              <w:bottom w:val="single" w:sz="4" w:space="0" w:color="auto"/>
              <w:right w:val="single" w:sz="4" w:space="0" w:color="auto"/>
            </w:tcBorders>
            <w:hideMark/>
          </w:tcPr>
          <w:p w14:paraId="4A080191" w14:textId="77777777" w:rsidR="00653571" w:rsidRPr="008C5F1C" w:rsidRDefault="00653571" w:rsidP="00534127">
            <w:pPr>
              <w:spacing w:before="120" w:after="120"/>
              <w:jc w:val="center"/>
              <w:rPr>
                <w:rFonts w:ascii="Times New Roman" w:hAnsi="Times New Roman" w:cs="Times New Roman"/>
                <w:bCs/>
                <w:noProof/>
                <w:sz w:val="18"/>
                <w:szCs w:val="18"/>
              </w:rPr>
            </w:pPr>
            <w:r w:rsidRPr="008C5F1C">
              <w:rPr>
                <w:rFonts w:ascii="Times New Roman" w:hAnsi="Times New Roman" w:cs="Times New Roman"/>
                <w:bCs/>
                <w:noProof/>
                <w:sz w:val="18"/>
                <w:szCs w:val="18"/>
              </w:rPr>
              <w:t>Priority 2</w:t>
            </w:r>
          </w:p>
        </w:tc>
        <w:tc>
          <w:tcPr>
            <w:tcW w:w="778" w:type="pct"/>
            <w:tcBorders>
              <w:top w:val="single" w:sz="4" w:space="0" w:color="auto"/>
              <w:left w:val="single" w:sz="4" w:space="0" w:color="auto"/>
              <w:bottom w:val="single" w:sz="4" w:space="0" w:color="auto"/>
              <w:right w:val="single" w:sz="4" w:space="0" w:color="auto"/>
            </w:tcBorders>
            <w:hideMark/>
          </w:tcPr>
          <w:p w14:paraId="3030E3BB" w14:textId="77777777" w:rsidR="00653571" w:rsidRPr="008C5F1C" w:rsidRDefault="00653571" w:rsidP="00534127">
            <w:pPr>
              <w:spacing w:before="120" w:after="120"/>
              <w:jc w:val="center"/>
              <w:rPr>
                <w:rFonts w:ascii="Times New Roman" w:hAnsi="Times New Roman" w:cs="Times New Roman"/>
                <w:bCs/>
                <w:noProof/>
                <w:sz w:val="18"/>
                <w:szCs w:val="18"/>
              </w:rPr>
            </w:pPr>
            <w:r w:rsidRPr="008C5F1C">
              <w:rPr>
                <w:rFonts w:ascii="Times New Roman" w:hAnsi="Times New Roman" w:cs="Times New Roman"/>
                <w:bCs/>
                <w:noProof/>
                <w:sz w:val="18"/>
                <w:szCs w:val="18"/>
              </w:rPr>
              <w:t>2.1</w:t>
            </w:r>
          </w:p>
        </w:tc>
        <w:tc>
          <w:tcPr>
            <w:tcW w:w="641" w:type="pct"/>
            <w:tcBorders>
              <w:top w:val="single" w:sz="4" w:space="0" w:color="auto"/>
              <w:left w:val="single" w:sz="4" w:space="0" w:color="auto"/>
              <w:bottom w:val="single" w:sz="4" w:space="0" w:color="auto"/>
              <w:right w:val="single" w:sz="4" w:space="0" w:color="auto"/>
            </w:tcBorders>
            <w:hideMark/>
          </w:tcPr>
          <w:p w14:paraId="5E9D3E6B" w14:textId="77777777" w:rsidR="00653571" w:rsidRPr="008C5F1C" w:rsidRDefault="00653571" w:rsidP="00534127">
            <w:pPr>
              <w:spacing w:before="120" w:after="120"/>
              <w:jc w:val="center"/>
              <w:rPr>
                <w:rFonts w:ascii="Times New Roman" w:hAnsi="Times New Roman" w:cs="Times New Roman"/>
                <w:bCs/>
                <w:noProof/>
                <w:sz w:val="18"/>
                <w:szCs w:val="18"/>
              </w:rPr>
            </w:pPr>
            <w:r w:rsidRPr="008C5F1C">
              <w:rPr>
                <w:rFonts w:ascii="Times New Roman" w:hAnsi="Times New Roman" w:cs="Times New Roman"/>
                <w:bCs/>
                <w:noProof/>
                <w:sz w:val="18"/>
                <w:szCs w:val="18"/>
              </w:rPr>
              <w:t>Public</w:t>
            </w:r>
          </w:p>
        </w:tc>
        <w:tc>
          <w:tcPr>
            <w:tcW w:w="751" w:type="pct"/>
            <w:tcBorders>
              <w:top w:val="single" w:sz="4" w:space="0" w:color="auto"/>
              <w:left w:val="single" w:sz="4" w:space="0" w:color="auto"/>
              <w:bottom w:val="single" w:sz="4" w:space="0" w:color="auto"/>
              <w:right w:val="single" w:sz="4" w:space="0" w:color="auto"/>
            </w:tcBorders>
          </w:tcPr>
          <w:p w14:paraId="517085A2" w14:textId="77777777" w:rsidR="00653571" w:rsidRPr="008C5F1C" w:rsidRDefault="00653571" w:rsidP="00534127">
            <w:pPr>
              <w:spacing w:before="120" w:after="120"/>
              <w:jc w:val="center"/>
              <w:rPr>
                <w:rFonts w:ascii="Times New Roman" w:hAnsi="Times New Roman" w:cs="Times New Roman"/>
                <w:bCs/>
                <w:noProof/>
                <w:sz w:val="18"/>
                <w:szCs w:val="18"/>
              </w:rPr>
            </w:pPr>
          </w:p>
        </w:tc>
        <w:tc>
          <w:tcPr>
            <w:tcW w:w="543" w:type="pct"/>
            <w:tcBorders>
              <w:top w:val="single" w:sz="4" w:space="0" w:color="auto"/>
              <w:left w:val="single" w:sz="4" w:space="0" w:color="auto"/>
              <w:bottom w:val="single" w:sz="4" w:space="0" w:color="auto"/>
              <w:right w:val="single" w:sz="4" w:space="0" w:color="auto"/>
            </w:tcBorders>
          </w:tcPr>
          <w:p w14:paraId="64C36DDE" w14:textId="77777777" w:rsidR="00653571" w:rsidRPr="008C5F1C" w:rsidRDefault="00653571" w:rsidP="00534127">
            <w:pPr>
              <w:spacing w:before="120" w:after="120"/>
              <w:jc w:val="center"/>
              <w:rPr>
                <w:rFonts w:ascii="Times New Roman" w:hAnsi="Times New Roman" w:cs="Times New Roman"/>
                <w:bCs/>
                <w:noProof/>
                <w:sz w:val="18"/>
                <w:szCs w:val="18"/>
              </w:rPr>
            </w:pPr>
          </w:p>
        </w:tc>
        <w:tc>
          <w:tcPr>
            <w:tcW w:w="535" w:type="pct"/>
            <w:tcBorders>
              <w:top w:val="single" w:sz="4" w:space="0" w:color="auto"/>
              <w:left w:val="single" w:sz="4" w:space="0" w:color="auto"/>
              <w:bottom w:val="single" w:sz="4" w:space="0" w:color="auto"/>
              <w:right w:val="single" w:sz="4" w:space="0" w:color="auto"/>
            </w:tcBorders>
          </w:tcPr>
          <w:p w14:paraId="385ACB92" w14:textId="77777777" w:rsidR="00653571" w:rsidRPr="008C5F1C" w:rsidRDefault="00653571" w:rsidP="00534127">
            <w:pPr>
              <w:spacing w:before="120" w:after="120"/>
              <w:jc w:val="center"/>
              <w:rPr>
                <w:rFonts w:ascii="Times New Roman" w:hAnsi="Times New Roman" w:cs="Times New Roman"/>
                <w:bCs/>
                <w:noProof/>
                <w:sz w:val="18"/>
                <w:szCs w:val="18"/>
              </w:rPr>
            </w:pPr>
          </w:p>
        </w:tc>
        <w:tc>
          <w:tcPr>
            <w:tcW w:w="460" w:type="pct"/>
            <w:tcBorders>
              <w:top w:val="single" w:sz="4" w:space="0" w:color="auto"/>
              <w:left w:val="single" w:sz="4" w:space="0" w:color="auto"/>
              <w:bottom w:val="single" w:sz="4" w:space="0" w:color="auto"/>
              <w:right w:val="single" w:sz="4" w:space="0" w:color="auto"/>
            </w:tcBorders>
          </w:tcPr>
          <w:p w14:paraId="0E40656D" w14:textId="77777777" w:rsidR="00653571" w:rsidRPr="008C5F1C" w:rsidRDefault="00653571" w:rsidP="00534127">
            <w:pPr>
              <w:spacing w:before="120" w:after="120"/>
              <w:jc w:val="center"/>
              <w:rPr>
                <w:rFonts w:ascii="Times New Roman" w:hAnsi="Times New Roman" w:cs="Times New Roman"/>
                <w:bCs/>
                <w:noProof/>
                <w:sz w:val="18"/>
                <w:szCs w:val="18"/>
              </w:rPr>
            </w:pPr>
          </w:p>
        </w:tc>
        <w:tc>
          <w:tcPr>
            <w:tcW w:w="757" w:type="pct"/>
            <w:tcBorders>
              <w:top w:val="single" w:sz="4" w:space="0" w:color="auto"/>
              <w:left w:val="single" w:sz="4" w:space="0" w:color="auto"/>
              <w:bottom w:val="single" w:sz="4" w:space="0" w:color="auto"/>
              <w:right w:val="single" w:sz="4" w:space="0" w:color="auto"/>
            </w:tcBorders>
          </w:tcPr>
          <w:p w14:paraId="577FC1B7" w14:textId="77777777" w:rsidR="00653571" w:rsidRPr="008C5F1C" w:rsidRDefault="00653571" w:rsidP="00534127">
            <w:pPr>
              <w:spacing w:before="120" w:after="120"/>
              <w:jc w:val="center"/>
              <w:rPr>
                <w:rFonts w:ascii="Times New Roman" w:hAnsi="Times New Roman" w:cs="Times New Roman"/>
                <w:bCs/>
                <w:noProof/>
                <w:sz w:val="18"/>
                <w:szCs w:val="18"/>
              </w:rPr>
            </w:pPr>
          </w:p>
        </w:tc>
      </w:tr>
      <w:tr w:rsidR="00653571" w:rsidRPr="008C5F1C" w14:paraId="22907C83" w14:textId="77777777" w:rsidTr="00534127">
        <w:trPr>
          <w:trHeight w:val="293"/>
        </w:trPr>
        <w:tc>
          <w:tcPr>
            <w:tcW w:w="535" w:type="pct"/>
            <w:tcBorders>
              <w:top w:val="single" w:sz="4" w:space="0" w:color="auto"/>
              <w:left w:val="single" w:sz="4" w:space="0" w:color="auto"/>
              <w:bottom w:val="single" w:sz="4" w:space="0" w:color="auto"/>
              <w:right w:val="single" w:sz="4" w:space="0" w:color="auto"/>
            </w:tcBorders>
            <w:hideMark/>
          </w:tcPr>
          <w:p w14:paraId="78B8DDA3" w14:textId="77777777" w:rsidR="00653571" w:rsidRPr="008C5F1C" w:rsidRDefault="00653571" w:rsidP="00534127">
            <w:pPr>
              <w:spacing w:before="120" w:after="120"/>
              <w:jc w:val="center"/>
              <w:rPr>
                <w:rFonts w:ascii="Times New Roman" w:hAnsi="Times New Roman" w:cs="Times New Roman"/>
                <w:bCs/>
                <w:noProof/>
                <w:sz w:val="18"/>
                <w:szCs w:val="18"/>
              </w:rPr>
            </w:pPr>
            <w:r w:rsidRPr="008C5F1C">
              <w:rPr>
                <w:rFonts w:ascii="Times New Roman" w:hAnsi="Times New Roman" w:cs="Times New Roman"/>
                <w:bCs/>
                <w:noProof/>
                <w:sz w:val="18"/>
                <w:szCs w:val="18"/>
              </w:rPr>
              <w:t>Priority 3</w:t>
            </w:r>
          </w:p>
        </w:tc>
        <w:tc>
          <w:tcPr>
            <w:tcW w:w="778" w:type="pct"/>
            <w:tcBorders>
              <w:top w:val="single" w:sz="4" w:space="0" w:color="auto"/>
              <w:left w:val="single" w:sz="4" w:space="0" w:color="auto"/>
              <w:bottom w:val="single" w:sz="4" w:space="0" w:color="auto"/>
              <w:right w:val="single" w:sz="4" w:space="0" w:color="auto"/>
            </w:tcBorders>
            <w:hideMark/>
          </w:tcPr>
          <w:p w14:paraId="671BAAA7" w14:textId="77777777" w:rsidR="00653571" w:rsidRPr="008C5F1C" w:rsidRDefault="00653571" w:rsidP="00534127">
            <w:pPr>
              <w:spacing w:before="120" w:after="120"/>
              <w:jc w:val="center"/>
              <w:rPr>
                <w:rFonts w:ascii="Times New Roman" w:hAnsi="Times New Roman" w:cs="Times New Roman"/>
                <w:bCs/>
                <w:noProof/>
                <w:sz w:val="18"/>
                <w:szCs w:val="18"/>
              </w:rPr>
            </w:pPr>
            <w:r w:rsidRPr="008C5F1C">
              <w:rPr>
                <w:rFonts w:ascii="Times New Roman" w:hAnsi="Times New Roman" w:cs="Times New Roman"/>
                <w:bCs/>
                <w:noProof/>
                <w:sz w:val="18"/>
                <w:szCs w:val="18"/>
              </w:rPr>
              <w:t>3.1</w:t>
            </w:r>
          </w:p>
        </w:tc>
        <w:tc>
          <w:tcPr>
            <w:tcW w:w="641" w:type="pct"/>
            <w:tcBorders>
              <w:top w:val="single" w:sz="4" w:space="0" w:color="auto"/>
              <w:left w:val="single" w:sz="4" w:space="0" w:color="auto"/>
              <w:bottom w:val="single" w:sz="4" w:space="0" w:color="auto"/>
              <w:right w:val="single" w:sz="4" w:space="0" w:color="auto"/>
            </w:tcBorders>
            <w:hideMark/>
          </w:tcPr>
          <w:p w14:paraId="2B6EAD00" w14:textId="77777777" w:rsidR="00653571" w:rsidRPr="008C5F1C" w:rsidRDefault="00653571" w:rsidP="00534127">
            <w:pPr>
              <w:spacing w:before="120" w:after="120"/>
              <w:jc w:val="center"/>
              <w:rPr>
                <w:rFonts w:ascii="Times New Roman" w:hAnsi="Times New Roman" w:cs="Times New Roman"/>
                <w:bCs/>
                <w:noProof/>
                <w:sz w:val="18"/>
                <w:szCs w:val="18"/>
              </w:rPr>
            </w:pPr>
            <w:r w:rsidRPr="008C5F1C">
              <w:rPr>
                <w:rFonts w:ascii="Times New Roman" w:hAnsi="Times New Roman" w:cs="Times New Roman"/>
                <w:bCs/>
                <w:noProof/>
                <w:sz w:val="18"/>
                <w:szCs w:val="18"/>
              </w:rPr>
              <w:t>Public</w:t>
            </w:r>
          </w:p>
        </w:tc>
        <w:tc>
          <w:tcPr>
            <w:tcW w:w="751" w:type="pct"/>
            <w:tcBorders>
              <w:top w:val="single" w:sz="4" w:space="0" w:color="auto"/>
              <w:left w:val="single" w:sz="4" w:space="0" w:color="auto"/>
              <w:bottom w:val="single" w:sz="4" w:space="0" w:color="auto"/>
              <w:right w:val="single" w:sz="4" w:space="0" w:color="auto"/>
            </w:tcBorders>
          </w:tcPr>
          <w:p w14:paraId="4FEF94CB" w14:textId="77777777" w:rsidR="00653571" w:rsidRPr="008C5F1C" w:rsidRDefault="00653571" w:rsidP="00534127">
            <w:pPr>
              <w:spacing w:before="120" w:after="120"/>
              <w:jc w:val="center"/>
              <w:rPr>
                <w:rFonts w:ascii="Times New Roman" w:hAnsi="Times New Roman" w:cs="Times New Roman"/>
                <w:bCs/>
                <w:noProof/>
                <w:sz w:val="18"/>
                <w:szCs w:val="18"/>
              </w:rPr>
            </w:pPr>
          </w:p>
        </w:tc>
        <w:tc>
          <w:tcPr>
            <w:tcW w:w="543" w:type="pct"/>
            <w:tcBorders>
              <w:top w:val="single" w:sz="4" w:space="0" w:color="auto"/>
              <w:left w:val="single" w:sz="4" w:space="0" w:color="auto"/>
              <w:bottom w:val="single" w:sz="4" w:space="0" w:color="auto"/>
              <w:right w:val="single" w:sz="4" w:space="0" w:color="auto"/>
            </w:tcBorders>
          </w:tcPr>
          <w:p w14:paraId="352C07A3" w14:textId="77777777" w:rsidR="00653571" w:rsidRPr="008C5F1C" w:rsidRDefault="00653571" w:rsidP="00534127">
            <w:pPr>
              <w:spacing w:before="120" w:after="120"/>
              <w:jc w:val="center"/>
              <w:rPr>
                <w:rFonts w:ascii="Times New Roman" w:hAnsi="Times New Roman" w:cs="Times New Roman"/>
                <w:bCs/>
                <w:noProof/>
                <w:sz w:val="18"/>
                <w:szCs w:val="18"/>
              </w:rPr>
            </w:pPr>
          </w:p>
        </w:tc>
        <w:tc>
          <w:tcPr>
            <w:tcW w:w="535" w:type="pct"/>
            <w:tcBorders>
              <w:top w:val="single" w:sz="4" w:space="0" w:color="auto"/>
              <w:left w:val="single" w:sz="4" w:space="0" w:color="auto"/>
              <w:bottom w:val="single" w:sz="4" w:space="0" w:color="auto"/>
              <w:right w:val="single" w:sz="4" w:space="0" w:color="auto"/>
            </w:tcBorders>
          </w:tcPr>
          <w:p w14:paraId="752DD486" w14:textId="77777777" w:rsidR="00653571" w:rsidRPr="008C5F1C" w:rsidRDefault="00653571" w:rsidP="00534127">
            <w:pPr>
              <w:spacing w:before="120" w:after="120"/>
              <w:jc w:val="center"/>
              <w:rPr>
                <w:rFonts w:ascii="Times New Roman" w:hAnsi="Times New Roman" w:cs="Times New Roman"/>
                <w:bCs/>
                <w:noProof/>
                <w:sz w:val="18"/>
                <w:szCs w:val="18"/>
              </w:rPr>
            </w:pPr>
          </w:p>
        </w:tc>
        <w:tc>
          <w:tcPr>
            <w:tcW w:w="460" w:type="pct"/>
            <w:tcBorders>
              <w:top w:val="single" w:sz="4" w:space="0" w:color="auto"/>
              <w:left w:val="single" w:sz="4" w:space="0" w:color="auto"/>
              <w:bottom w:val="single" w:sz="4" w:space="0" w:color="auto"/>
              <w:right w:val="single" w:sz="4" w:space="0" w:color="auto"/>
            </w:tcBorders>
          </w:tcPr>
          <w:p w14:paraId="7A3F107D" w14:textId="77777777" w:rsidR="00653571" w:rsidRPr="008C5F1C" w:rsidRDefault="00653571" w:rsidP="00534127">
            <w:pPr>
              <w:spacing w:before="120" w:after="120"/>
              <w:jc w:val="center"/>
              <w:rPr>
                <w:rFonts w:ascii="Times New Roman" w:hAnsi="Times New Roman" w:cs="Times New Roman"/>
                <w:bCs/>
                <w:noProof/>
                <w:sz w:val="18"/>
                <w:szCs w:val="18"/>
              </w:rPr>
            </w:pPr>
          </w:p>
        </w:tc>
        <w:tc>
          <w:tcPr>
            <w:tcW w:w="757" w:type="pct"/>
            <w:tcBorders>
              <w:top w:val="single" w:sz="4" w:space="0" w:color="auto"/>
              <w:left w:val="single" w:sz="4" w:space="0" w:color="auto"/>
              <w:bottom w:val="single" w:sz="4" w:space="0" w:color="auto"/>
              <w:right w:val="single" w:sz="4" w:space="0" w:color="auto"/>
            </w:tcBorders>
          </w:tcPr>
          <w:p w14:paraId="60687655" w14:textId="77777777" w:rsidR="00653571" w:rsidRPr="008C5F1C" w:rsidRDefault="00653571" w:rsidP="00534127">
            <w:pPr>
              <w:spacing w:before="120" w:after="120"/>
              <w:jc w:val="center"/>
              <w:rPr>
                <w:rFonts w:ascii="Times New Roman" w:hAnsi="Times New Roman" w:cs="Times New Roman"/>
                <w:bCs/>
                <w:noProof/>
                <w:sz w:val="18"/>
                <w:szCs w:val="18"/>
              </w:rPr>
            </w:pPr>
          </w:p>
        </w:tc>
      </w:tr>
      <w:tr w:rsidR="00653571" w:rsidRPr="008C5F1C" w14:paraId="6B27A3F6" w14:textId="77777777" w:rsidTr="00534127">
        <w:trPr>
          <w:trHeight w:val="270"/>
        </w:trPr>
        <w:tc>
          <w:tcPr>
            <w:tcW w:w="535" w:type="pct"/>
            <w:tcBorders>
              <w:top w:val="single" w:sz="4" w:space="0" w:color="auto"/>
              <w:left w:val="single" w:sz="4" w:space="0" w:color="auto"/>
              <w:bottom w:val="single" w:sz="4" w:space="0" w:color="auto"/>
              <w:right w:val="single" w:sz="4" w:space="0" w:color="auto"/>
            </w:tcBorders>
            <w:hideMark/>
          </w:tcPr>
          <w:p w14:paraId="1C057B11" w14:textId="77777777" w:rsidR="00653571" w:rsidRPr="008C5F1C" w:rsidRDefault="00653571" w:rsidP="00534127">
            <w:pPr>
              <w:spacing w:before="120" w:after="120"/>
              <w:jc w:val="center"/>
              <w:rPr>
                <w:rFonts w:ascii="Times New Roman" w:hAnsi="Times New Roman" w:cs="Times New Roman"/>
                <w:bCs/>
                <w:noProof/>
                <w:sz w:val="18"/>
                <w:szCs w:val="18"/>
              </w:rPr>
            </w:pPr>
            <w:r w:rsidRPr="008C5F1C">
              <w:rPr>
                <w:rFonts w:ascii="Times New Roman" w:hAnsi="Times New Roman" w:cs="Times New Roman"/>
                <w:bCs/>
                <w:noProof/>
                <w:sz w:val="18"/>
                <w:szCs w:val="18"/>
              </w:rPr>
              <w:t>Priority 4</w:t>
            </w:r>
          </w:p>
        </w:tc>
        <w:tc>
          <w:tcPr>
            <w:tcW w:w="778" w:type="pct"/>
            <w:tcBorders>
              <w:top w:val="single" w:sz="4" w:space="0" w:color="auto"/>
              <w:left w:val="single" w:sz="4" w:space="0" w:color="auto"/>
              <w:bottom w:val="single" w:sz="4" w:space="0" w:color="auto"/>
              <w:right w:val="single" w:sz="4" w:space="0" w:color="auto"/>
            </w:tcBorders>
            <w:hideMark/>
          </w:tcPr>
          <w:p w14:paraId="194F0DF9" w14:textId="77777777" w:rsidR="00653571" w:rsidRPr="008C5F1C" w:rsidRDefault="00653571" w:rsidP="00534127">
            <w:pPr>
              <w:spacing w:before="120" w:after="120"/>
              <w:jc w:val="center"/>
              <w:rPr>
                <w:rFonts w:ascii="Times New Roman" w:hAnsi="Times New Roman" w:cs="Times New Roman"/>
                <w:bCs/>
                <w:noProof/>
                <w:sz w:val="18"/>
                <w:szCs w:val="18"/>
              </w:rPr>
            </w:pPr>
            <w:r w:rsidRPr="008C5F1C">
              <w:rPr>
                <w:rFonts w:ascii="Times New Roman" w:hAnsi="Times New Roman" w:cs="Times New Roman"/>
                <w:bCs/>
                <w:noProof/>
                <w:sz w:val="18"/>
                <w:szCs w:val="18"/>
              </w:rPr>
              <w:t>4.1</w:t>
            </w:r>
          </w:p>
        </w:tc>
        <w:tc>
          <w:tcPr>
            <w:tcW w:w="641" w:type="pct"/>
            <w:tcBorders>
              <w:top w:val="single" w:sz="4" w:space="0" w:color="auto"/>
              <w:left w:val="single" w:sz="4" w:space="0" w:color="auto"/>
              <w:bottom w:val="single" w:sz="4" w:space="0" w:color="auto"/>
              <w:right w:val="single" w:sz="4" w:space="0" w:color="auto"/>
            </w:tcBorders>
            <w:hideMark/>
          </w:tcPr>
          <w:p w14:paraId="08D7D849" w14:textId="77777777" w:rsidR="00653571" w:rsidRPr="008C5F1C" w:rsidRDefault="00653571" w:rsidP="00534127">
            <w:pPr>
              <w:spacing w:before="120" w:after="120"/>
              <w:jc w:val="center"/>
              <w:rPr>
                <w:rFonts w:ascii="Times New Roman" w:hAnsi="Times New Roman" w:cs="Times New Roman"/>
                <w:bCs/>
                <w:noProof/>
                <w:sz w:val="18"/>
                <w:szCs w:val="18"/>
              </w:rPr>
            </w:pPr>
            <w:r w:rsidRPr="008C5F1C">
              <w:rPr>
                <w:rFonts w:ascii="Times New Roman" w:hAnsi="Times New Roman" w:cs="Times New Roman"/>
                <w:bCs/>
                <w:noProof/>
                <w:sz w:val="18"/>
                <w:szCs w:val="18"/>
              </w:rPr>
              <w:t>Public</w:t>
            </w:r>
          </w:p>
        </w:tc>
        <w:tc>
          <w:tcPr>
            <w:tcW w:w="751" w:type="pct"/>
            <w:tcBorders>
              <w:top w:val="single" w:sz="4" w:space="0" w:color="auto"/>
              <w:left w:val="single" w:sz="4" w:space="0" w:color="auto"/>
              <w:bottom w:val="single" w:sz="4" w:space="0" w:color="auto"/>
              <w:right w:val="single" w:sz="4" w:space="0" w:color="auto"/>
            </w:tcBorders>
          </w:tcPr>
          <w:p w14:paraId="5B911F4A" w14:textId="77777777" w:rsidR="00653571" w:rsidRPr="008C5F1C" w:rsidRDefault="00653571" w:rsidP="00534127">
            <w:pPr>
              <w:spacing w:before="120" w:after="120"/>
              <w:jc w:val="center"/>
              <w:rPr>
                <w:rFonts w:ascii="Times New Roman" w:hAnsi="Times New Roman" w:cs="Times New Roman"/>
                <w:bCs/>
                <w:noProof/>
                <w:sz w:val="18"/>
                <w:szCs w:val="18"/>
              </w:rPr>
            </w:pPr>
          </w:p>
        </w:tc>
        <w:tc>
          <w:tcPr>
            <w:tcW w:w="543" w:type="pct"/>
            <w:tcBorders>
              <w:top w:val="single" w:sz="4" w:space="0" w:color="auto"/>
              <w:left w:val="single" w:sz="4" w:space="0" w:color="auto"/>
              <w:bottom w:val="single" w:sz="4" w:space="0" w:color="auto"/>
              <w:right w:val="single" w:sz="4" w:space="0" w:color="auto"/>
            </w:tcBorders>
          </w:tcPr>
          <w:p w14:paraId="696A519E" w14:textId="77777777" w:rsidR="00653571" w:rsidRPr="008C5F1C" w:rsidRDefault="00653571" w:rsidP="00534127">
            <w:pPr>
              <w:spacing w:before="120" w:after="120"/>
              <w:jc w:val="center"/>
              <w:rPr>
                <w:rFonts w:ascii="Times New Roman" w:hAnsi="Times New Roman" w:cs="Times New Roman"/>
                <w:bCs/>
                <w:noProof/>
                <w:sz w:val="18"/>
                <w:szCs w:val="18"/>
              </w:rPr>
            </w:pPr>
          </w:p>
        </w:tc>
        <w:tc>
          <w:tcPr>
            <w:tcW w:w="535" w:type="pct"/>
            <w:tcBorders>
              <w:top w:val="single" w:sz="4" w:space="0" w:color="auto"/>
              <w:left w:val="single" w:sz="4" w:space="0" w:color="auto"/>
              <w:bottom w:val="single" w:sz="4" w:space="0" w:color="auto"/>
              <w:right w:val="single" w:sz="4" w:space="0" w:color="auto"/>
            </w:tcBorders>
          </w:tcPr>
          <w:p w14:paraId="2EC9FE47" w14:textId="77777777" w:rsidR="00653571" w:rsidRPr="008C5F1C" w:rsidRDefault="00653571" w:rsidP="00534127">
            <w:pPr>
              <w:spacing w:before="120" w:after="120"/>
              <w:jc w:val="center"/>
              <w:rPr>
                <w:rFonts w:ascii="Times New Roman" w:hAnsi="Times New Roman" w:cs="Times New Roman"/>
                <w:bCs/>
                <w:noProof/>
                <w:sz w:val="18"/>
                <w:szCs w:val="18"/>
              </w:rPr>
            </w:pPr>
          </w:p>
        </w:tc>
        <w:tc>
          <w:tcPr>
            <w:tcW w:w="460" w:type="pct"/>
            <w:tcBorders>
              <w:top w:val="single" w:sz="4" w:space="0" w:color="auto"/>
              <w:left w:val="single" w:sz="4" w:space="0" w:color="auto"/>
              <w:bottom w:val="single" w:sz="4" w:space="0" w:color="auto"/>
              <w:right w:val="single" w:sz="4" w:space="0" w:color="auto"/>
            </w:tcBorders>
          </w:tcPr>
          <w:p w14:paraId="162CC881" w14:textId="77777777" w:rsidR="00653571" w:rsidRPr="008C5F1C" w:rsidRDefault="00653571" w:rsidP="00534127">
            <w:pPr>
              <w:spacing w:before="120" w:after="120"/>
              <w:jc w:val="center"/>
              <w:rPr>
                <w:rFonts w:ascii="Times New Roman" w:hAnsi="Times New Roman" w:cs="Times New Roman"/>
                <w:bCs/>
                <w:noProof/>
                <w:sz w:val="18"/>
                <w:szCs w:val="18"/>
              </w:rPr>
            </w:pPr>
          </w:p>
        </w:tc>
        <w:tc>
          <w:tcPr>
            <w:tcW w:w="757" w:type="pct"/>
            <w:tcBorders>
              <w:top w:val="single" w:sz="4" w:space="0" w:color="auto"/>
              <w:left w:val="single" w:sz="4" w:space="0" w:color="auto"/>
              <w:bottom w:val="single" w:sz="4" w:space="0" w:color="auto"/>
              <w:right w:val="single" w:sz="4" w:space="0" w:color="auto"/>
            </w:tcBorders>
          </w:tcPr>
          <w:p w14:paraId="4F14C71E" w14:textId="77777777" w:rsidR="00653571" w:rsidRPr="008C5F1C" w:rsidRDefault="00653571" w:rsidP="00534127">
            <w:pPr>
              <w:spacing w:before="120" w:after="120"/>
              <w:jc w:val="center"/>
              <w:rPr>
                <w:rFonts w:ascii="Times New Roman" w:hAnsi="Times New Roman" w:cs="Times New Roman"/>
                <w:bCs/>
                <w:noProof/>
                <w:sz w:val="18"/>
                <w:szCs w:val="18"/>
              </w:rPr>
            </w:pPr>
          </w:p>
        </w:tc>
      </w:tr>
      <w:tr w:rsidR="00653571" w:rsidRPr="008C5F1C" w14:paraId="2748601B" w14:textId="77777777" w:rsidTr="00534127">
        <w:trPr>
          <w:trHeight w:val="270"/>
        </w:trPr>
        <w:tc>
          <w:tcPr>
            <w:tcW w:w="535" w:type="pct"/>
            <w:tcBorders>
              <w:top w:val="single" w:sz="4" w:space="0" w:color="auto"/>
              <w:left w:val="single" w:sz="4" w:space="0" w:color="auto"/>
              <w:bottom w:val="single" w:sz="4" w:space="0" w:color="auto"/>
              <w:right w:val="single" w:sz="4" w:space="0" w:color="auto"/>
            </w:tcBorders>
            <w:hideMark/>
          </w:tcPr>
          <w:p w14:paraId="6AC9FAF1" w14:textId="77777777" w:rsidR="00653571" w:rsidRPr="008C5F1C" w:rsidRDefault="00653571" w:rsidP="00534127">
            <w:pPr>
              <w:spacing w:before="120" w:after="120"/>
              <w:jc w:val="center"/>
              <w:rPr>
                <w:rFonts w:ascii="Times New Roman" w:hAnsi="Times New Roman" w:cs="Times New Roman"/>
                <w:bCs/>
                <w:noProof/>
                <w:sz w:val="18"/>
                <w:szCs w:val="18"/>
              </w:rPr>
            </w:pPr>
            <w:r w:rsidRPr="008C5F1C">
              <w:rPr>
                <w:rFonts w:ascii="Times New Roman" w:hAnsi="Times New Roman" w:cs="Times New Roman"/>
                <w:bCs/>
                <w:noProof/>
                <w:sz w:val="18"/>
                <w:szCs w:val="18"/>
              </w:rPr>
              <w:t>Technical assistance (Article 32)</w:t>
            </w:r>
          </w:p>
        </w:tc>
        <w:tc>
          <w:tcPr>
            <w:tcW w:w="778" w:type="pct"/>
            <w:tcBorders>
              <w:top w:val="single" w:sz="4" w:space="0" w:color="auto"/>
              <w:left w:val="single" w:sz="4" w:space="0" w:color="auto"/>
              <w:bottom w:val="single" w:sz="4" w:space="0" w:color="auto"/>
              <w:right w:val="single" w:sz="4" w:space="0" w:color="auto"/>
            </w:tcBorders>
            <w:hideMark/>
          </w:tcPr>
          <w:p w14:paraId="61ACE303" w14:textId="77777777" w:rsidR="00653571" w:rsidRPr="008C5F1C" w:rsidRDefault="00653571" w:rsidP="00534127">
            <w:pPr>
              <w:spacing w:before="120" w:after="120"/>
              <w:jc w:val="center"/>
              <w:rPr>
                <w:rFonts w:ascii="Times New Roman" w:hAnsi="Times New Roman" w:cs="Times New Roman"/>
                <w:bCs/>
                <w:noProof/>
                <w:sz w:val="18"/>
                <w:szCs w:val="18"/>
              </w:rPr>
            </w:pPr>
            <w:r w:rsidRPr="008C5F1C">
              <w:rPr>
                <w:rFonts w:ascii="Times New Roman" w:hAnsi="Times New Roman" w:cs="Times New Roman"/>
                <w:bCs/>
                <w:noProof/>
                <w:sz w:val="18"/>
                <w:szCs w:val="18"/>
              </w:rPr>
              <w:t>5.1</w:t>
            </w:r>
          </w:p>
        </w:tc>
        <w:tc>
          <w:tcPr>
            <w:tcW w:w="641" w:type="pct"/>
            <w:tcBorders>
              <w:top w:val="single" w:sz="4" w:space="0" w:color="auto"/>
              <w:left w:val="single" w:sz="4" w:space="0" w:color="auto"/>
              <w:bottom w:val="single" w:sz="4" w:space="0" w:color="auto"/>
              <w:right w:val="single" w:sz="4" w:space="0" w:color="auto"/>
            </w:tcBorders>
            <w:hideMark/>
          </w:tcPr>
          <w:p w14:paraId="408DE6D9" w14:textId="77777777" w:rsidR="00653571" w:rsidRPr="008C5F1C" w:rsidRDefault="00653571" w:rsidP="00534127">
            <w:pPr>
              <w:spacing w:before="120" w:after="120"/>
              <w:jc w:val="center"/>
              <w:rPr>
                <w:rFonts w:ascii="Times New Roman" w:hAnsi="Times New Roman" w:cs="Times New Roman"/>
                <w:bCs/>
                <w:noProof/>
                <w:sz w:val="18"/>
                <w:szCs w:val="18"/>
              </w:rPr>
            </w:pPr>
            <w:r w:rsidRPr="008C5F1C">
              <w:rPr>
                <w:rFonts w:ascii="Times New Roman" w:hAnsi="Times New Roman" w:cs="Times New Roman"/>
                <w:bCs/>
                <w:noProof/>
                <w:sz w:val="18"/>
                <w:szCs w:val="18"/>
              </w:rPr>
              <w:t>Public</w:t>
            </w:r>
          </w:p>
        </w:tc>
        <w:tc>
          <w:tcPr>
            <w:tcW w:w="751" w:type="pct"/>
            <w:tcBorders>
              <w:top w:val="single" w:sz="4" w:space="0" w:color="auto"/>
              <w:left w:val="single" w:sz="4" w:space="0" w:color="auto"/>
              <w:bottom w:val="single" w:sz="4" w:space="0" w:color="auto"/>
              <w:right w:val="single" w:sz="4" w:space="0" w:color="auto"/>
            </w:tcBorders>
          </w:tcPr>
          <w:p w14:paraId="1EDDD6DF" w14:textId="77777777" w:rsidR="00653571" w:rsidRPr="008C5F1C" w:rsidRDefault="00653571" w:rsidP="00534127">
            <w:pPr>
              <w:spacing w:before="120" w:after="120"/>
              <w:jc w:val="center"/>
              <w:rPr>
                <w:rFonts w:ascii="Times New Roman" w:hAnsi="Times New Roman" w:cs="Times New Roman"/>
                <w:bCs/>
                <w:noProof/>
                <w:sz w:val="18"/>
                <w:szCs w:val="18"/>
              </w:rPr>
            </w:pPr>
          </w:p>
        </w:tc>
        <w:tc>
          <w:tcPr>
            <w:tcW w:w="543" w:type="pct"/>
            <w:tcBorders>
              <w:top w:val="single" w:sz="4" w:space="0" w:color="auto"/>
              <w:left w:val="single" w:sz="4" w:space="0" w:color="auto"/>
              <w:bottom w:val="single" w:sz="4" w:space="0" w:color="auto"/>
              <w:right w:val="single" w:sz="4" w:space="0" w:color="auto"/>
            </w:tcBorders>
          </w:tcPr>
          <w:p w14:paraId="3F88D9CA" w14:textId="77777777" w:rsidR="00653571" w:rsidRPr="008C5F1C" w:rsidRDefault="00653571" w:rsidP="00534127">
            <w:pPr>
              <w:spacing w:before="120" w:after="120"/>
              <w:jc w:val="center"/>
              <w:rPr>
                <w:rFonts w:ascii="Times New Roman" w:hAnsi="Times New Roman" w:cs="Times New Roman"/>
                <w:bCs/>
                <w:noProof/>
                <w:sz w:val="18"/>
                <w:szCs w:val="18"/>
              </w:rPr>
            </w:pPr>
          </w:p>
        </w:tc>
        <w:tc>
          <w:tcPr>
            <w:tcW w:w="535" w:type="pct"/>
            <w:tcBorders>
              <w:top w:val="single" w:sz="4" w:space="0" w:color="auto"/>
              <w:left w:val="single" w:sz="4" w:space="0" w:color="auto"/>
              <w:bottom w:val="single" w:sz="4" w:space="0" w:color="auto"/>
              <w:right w:val="single" w:sz="4" w:space="0" w:color="auto"/>
            </w:tcBorders>
          </w:tcPr>
          <w:p w14:paraId="0017FDBE" w14:textId="77777777" w:rsidR="00653571" w:rsidRPr="008C5F1C" w:rsidRDefault="00653571" w:rsidP="00534127">
            <w:pPr>
              <w:spacing w:before="120" w:after="120"/>
              <w:jc w:val="center"/>
              <w:rPr>
                <w:rFonts w:ascii="Times New Roman" w:hAnsi="Times New Roman" w:cs="Times New Roman"/>
                <w:bCs/>
                <w:noProof/>
                <w:sz w:val="18"/>
                <w:szCs w:val="18"/>
              </w:rPr>
            </w:pPr>
          </w:p>
        </w:tc>
        <w:tc>
          <w:tcPr>
            <w:tcW w:w="460" w:type="pct"/>
            <w:tcBorders>
              <w:top w:val="single" w:sz="4" w:space="0" w:color="auto"/>
              <w:left w:val="single" w:sz="4" w:space="0" w:color="auto"/>
              <w:bottom w:val="single" w:sz="4" w:space="0" w:color="auto"/>
              <w:right w:val="single" w:sz="4" w:space="0" w:color="auto"/>
            </w:tcBorders>
          </w:tcPr>
          <w:p w14:paraId="336E0FF5" w14:textId="77777777" w:rsidR="00653571" w:rsidRPr="008C5F1C" w:rsidRDefault="00653571" w:rsidP="00534127">
            <w:pPr>
              <w:spacing w:before="120" w:after="120"/>
              <w:jc w:val="center"/>
              <w:rPr>
                <w:rFonts w:ascii="Times New Roman" w:hAnsi="Times New Roman" w:cs="Times New Roman"/>
                <w:bCs/>
                <w:noProof/>
                <w:sz w:val="18"/>
                <w:szCs w:val="18"/>
              </w:rPr>
            </w:pPr>
          </w:p>
        </w:tc>
        <w:tc>
          <w:tcPr>
            <w:tcW w:w="757" w:type="pct"/>
            <w:tcBorders>
              <w:top w:val="single" w:sz="4" w:space="0" w:color="auto"/>
              <w:left w:val="single" w:sz="4" w:space="0" w:color="auto"/>
              <w:bottom w:val="single" w:sz="4" w:space="0" w:color="auto"/>
              <w:right w:val="single" w:sz="4" w:space="0" w:color="auto"/>
            </w:tcBorders>
          </w:tcPr>
          <w:p w14:paraId="2066EABF" w14:textId="77777777" w:rsidR="00653571" w:rsidRPr="008C5F1C" w:rsidRDefault="00653571" w:rsidP="00534127">
            <w:pPr>
              <w:spacing w:before="120" w:after="120"/>
              <w:jc w:val="center"/>
              <w:rPr>
                <w:rFonts w:ascii="Times New Roman" w:hAnsi="Times New Roman" w:cs="Times New Roman"/>
                <w:bCs/>
                <w:noProof/>
                <w:sz w:val="18"/>
                <w:szCs w:val="18"/>
              </w:rPr>
            </w:pPr>
          </w:p>
        </w:tc>
      </w:tr>
    </w:tbl>
    <w:p w14:paraId="1E9BA08F" w14:textId="77777777" w:rsidR="00653571" w:rsidRPr="008C5F1C" w:rsidRDefault="00653571" w:rsidP="00653571">
      <w:pPr>
        <w:spacing w:before="120" w:after="120" w:line="360" w:lineRule="auto"/>
        <w:rPr>
          <w:rFonts w:ascii="Times New Roman" w:hAnsi="Times New Roman" w:cs="Times New Roman"/>
          <w:bCs/>
          <w:sz w:val="24"/>
        </w:rPr>
      </w:pPr>
      <w:r w:rsidRPr="008C5F1C">
        <w:rPr>
          <w:rFonts w:ascii="Times New Roman" w:eastAsia="Times New Roman" w:hAnsi="Times New Roman" w:cs="Times New Roman"/>
          <w:bCs/>
          <w:iCs/>
          <w:noProof/>
          <w:sz w:val="16"/>
          <w:szCs w:val="16"/>
        </w:rPr>
        <w:t>*** According the percentages set out in Article 30(5), CPR</w:t>
      </w:r>
    </w:p>
    <w:p w14:paraId="536B62FE" w14:textId="77777777" w:rsidR="00950445" w:rsidRPr="008C5F1C" w:rsidRDefault="00950445" w:rsidP="00653571">
      <w:pPr>
        <w:pStyle w:val="Heading1"/>
        <w:numPr>
          <w:ilvl w:val="0"/>
          <w:numId w:val="0"/>
        </w:numPr>
        <w:ind w:left="851" w:hanging="851"/>
        <w:rPr>
          <w:rFonts w:cs="Times New Roman"/>
          <w:noProof/>
          <w:lang w:val="ro-RO"/>
        </w:rPr>
        <w:sectPr w:rsidR="00950445" w:rsidRPr="008C5F1C" w:rsidSect="00534127">
          <w:pgSz w:w="11907" w:h="16839"/>
          <w:pgMar w:top="1134" w:right="1134" w:bottom="1134" w:left="1134" w:header="567" w:footer="567" w:gutter="0"/>
          <w:cols w:space="720"/>
          <w:docGrid w:linePitch="326"/>
        </w:sectPr>
      </w:pPr>
      <w:bookmarkStart w:id="137" w:name="_Toc39840954"/>
    </w:p>
    <w:p w14:paraId="59C18A55" w14:textId="77777777" w:rsidR="00653571" w:rsidRPr="008C5F1C" w:rsidRDefault="00950445" w:rsidP="00653571">
      <w:pPr>
        <w:pStyle w:val="Heading1"/>
        <w:numPr>
          <w:ilvl w:val="0"/>
          <w:numId w:val="0"/>
        </w:numPr>
        <w:ind w:left="851" w:hanging="851"/>
        <w:rPr>
          <w:rFonts w:cs="Times New Roman"/>
          <w:noProof/>
          <w:lang w:val="ro-RO"/>
        </w:rPr>
      </w:pPr>
      <w:r w:rsidRPr="008C5F1C">
        <w:rPr>
          <w:rFonts w:cs="Times New Roman"/>
          <w:noProof/>
          <w:lang w:val="ro-RO"/>
        </w:rPr>
        <w:lastRenderedPageBreak/>
        <w:t xml:space="preserve">4. </w:t>
      </w:r>
      <w:r w:rsidR="00653571" w:rsidRPr="008C5F1C">
        <w:rPr>
          <w:rFonts w:cs="Times New Roman"/>
          <w:noProof/>
          <w:lang w:val="ro-RO"/>
        </w:rPr>
        <w:t>Enabling conditions</w:t>
      </w:r>
      <w:bookmarkEnd w:id="137"/>
    </w:p>
    <w:p w14:paraId="70E4B378" w14:textId="77777777" w:rsidR="00653571" w:rsidRPr="008C5F1C" w:rsidRDefault="00653571" w:rsidP="00653571">
      <w:pPr>
        <w:spacing w:before="120" w:after="120" w:line="360" w:lineRule="auto"/>
        <w:rPr>
          <w:rFonts w:ascii="Times New Roman" w:eastAsia="Times New Roman" w:hAnsi="Times New Roman" w:cs="Times New Roman"/>
          <w:i/>
          <w:noProof/>
          <w:sz w:val="24"/>
          <w:szCs w:val="24"/>
        </w:rPr>
      </w:pPr>
      <w:r w:rsidRPr="008C5F1C">
        <w:rPr>
          <w:rFonts w:ascii="Times New Roman" w:eastAsia="Times New Roman" w:hAnsi="Times New Roman" w:cs="Times New Roman"/>
          <w:i/>
          <w:noProof/>
          <w:sz w:val="24"/>
          <w:szCs w:val="24"/>
        </w:rPr>
        <w:t>Reference: Article 17(3)(h)CPR</w:t>
      </w:r>
    </w:p>
    <w:tbl>
      <w:tblPr>
        <w:tblW w:w="1562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950"/>
        <w:gridCol w:w="2067"/>
        <w:gridCol w:w="972"/>
        <w:gridCol w:w="2812"/>
        <w:gridCol w:w="1167"/>
        <w:gridCol w:w="1661"/>
        <w:gridCol w:w="4543"/>
      </w:tblGrid>
      <w:tr w:rsidR="00950445" w:rsidRPr="008C5F1C" w14:paraId="3F4D9D0F" w14:textId="77777777" w:rsidTr="00D37390">
        <w:trPr>
          <w:tblHeader/>
        </w:trPr>
        <w:tc>
          <w:tcPr>
            <w:tcW w:w="1450" w:type="dxa"/>
            <w:tcBorders>
              <w:top w:val="single" w:sz="4" w:space="0" w:color="auto"/>
              <w:left w:val="single" w:sz="4" w:space="0" w:color="auto"/>
              <w:bottom w:val="single" w:sz="4" w:space="0" w:color="auto"/>
              <w:right w:val="single" w:sz="4" w:space="0" w:color="auto"/>
            </w:tcBorders>
            <w:hideMark/>
          </w:tcPr>
          <w:p w14:paraId="10C60592" w14:textId="77777777" w:rsidR="00950445" w:rsidRPr="008C5F1C" w:rsidRDefault="00950445" w:rsidP="00333C71">
            <w:pPr>
              <w:spacing w:after="0" w:line="240" w:lineRule="auto"/>
              <w:jc w:val="center"/>
              <w:rPr>
                <w:rFonts w:ascii="Times New Roman" w:eastAsia="Times New Roman" w:hAnsi="Times New Roman" w:cs="Times New Roman"/>
                <w:b/>
                <w:iCs/>
                <w:noProof/>
                <w:sz w:val="16"/>
                <w:szCs w:val="16"/>
              </w:rPr>
            </w:pPr>
            <w:r w:rsidRPr="008C5F1C">
              <w:rPr>
                <w:rFonts w:ascii="Times New Roman" w:eastAsia="Times New Roman" w:hAnsi="Times New Roman" w:cs="Times New Roman"/>
                <w:b/>
                <w:iCs/>
                <w:noProof/>
                <w:sz w:val="16"/>
                <w:szCs w:val="16"/>
              </w:rPr>
              <w:t>Enabling conditions</w:t>
            </w:r>
          </w:p>
        </w:tc>
        <w:tc>
          <w:tcPr>
            <w:tcW w:w="950" w:type="dxa"/>
            <w:tcBorders>
              <w:top w:val="single" w:sz="4" w:space="0" w:color="auto"/>
              <w:left w:val="single" w:sz="4" w:space="0" w:color="auto"/>
              <w:bottom w:val="single" w:sz="4" w:space="0" w:color="auto"/>
              <w:right w:val="single" w:sz="4" w:space="0" w:color="auto"/>
            </w:tcBorders>
            <w:hideMark/>
          </w:tcPr>
          <w:p w14:paraId="17D07900" w14:textId="77777777" w:rsidR="00950445" w:rsidRPr="008C5F1C" w:rsidRDefault="00950445" w:rsidP="00333C71">
            <w:pPr>
              <w:spacing w:after="0" w:line="240" w:lineRule="auto"/>
              <w:jc w:val="center"/>
              <w:rPr>
                <w:rFonts w:ascii="Times New Roman" w:eastAsia="Times New Roman" w:hAnsi="Times New Roman" w:cs="Times New Roman"/>
                <w:b/>
                <w:iCs/>
                <w:noProof/>
                <w:sz w:val="16"/>
                <w:szCs w:val="16"/>
              </w:rPr>
            </w:pPr>
            <w:r w:rsidRPr="008C5F1C">
              <w:rPr>
                <w:rFonts w:ascii="Times New Roman" w:eastAsia="Times New Roman" w:hAnsi="Times New Roman" w:cs="Times New Roman"/>
                <w:b/>
                <w:iCs/>
                <w:noProof/>
                <w:sz w:val="16"/>
                <w:szCs w:val="16"/>
              </w:rPr>
              <w:t>Fund</w:t>
            </w:r>
          </w:p>
        </w:tc>
        <w:tc>
          <w:tcPr>
            <w:tcW w:w="2067" w:type="dxa"/>
            <w:tcBorders>
              <w:top w:val="single" w:sz="4" w:space="0" w:color="auto"/>
              <w:left w:val="single" w:sz="4" w:space="0" w:color="auto"/>
              <w:bottom w:val="single" w:sz="4" w:space="0" w:color="auto"/>
              <w:right w:val="single" w:sz="4" w:space="0" w:color="auto"/>
            </w:tcBorders>
            <w:hideMark/>
          </w:tcPr>
          <w:p w14:paraId="33BEA900" w14:textId="77777777" w:rsidR="00950445" w:rsidRPr="008C5F1C" w:rsidRDefault="00950445" w:rsidP="00333C71">
            <w:pPr>
              <w:spacing w:after="0" w:line="240" w:lineRule="auto"/>
              <w:jc w:val="center"/>
              <w:rPr>
                <w:rFonts w:ascii="Times New Roman" w:eastAsia="Times New Roman" w:hAnsi="Times New Roman" w:cs="Times New Roman"/>
                <w:b/>
                <w:iCs/>
                <w:noProof/>
                <w:sz w:val="16"/>
                <w:szCs w:val="16"/>
              </w:rPr>
            </w:pPr>
            <w:r w:rsidRPr="008C5F1C">
              <w:rPr>
                <w:rFonts w:ascii="Times New Roman" w:eastAsia="Times New Roman" w:hAnsi="Times New Roman" w:cs="Times New Roman"/>
                <w:b/>
                <w:iCs/>
                <w:noProof/>
                <w:sz w:val="16"/>
                <w:szCs w:val="16"/>
              </w:rPr>
              <w:t>Selected specific objective</w:t>
            </w:r>
          </w:p>
        </w:tc>
        <w:tc>
          <w:tcPr>
            <w:tcW w:w="972" w:type="dxa"/>
            <w:tcBorders>
              <w:top w:val="single" w:sz="4" w:space="0" w:color="auto"/>
              <w:left w:val="single" w:sz="4" w:space="0" w:color="auto"/>
              <w:bottom w:val="single" w:sz="4" w:space="0" w:color="auto"/>
              <w:right w:val="single" w:sz="4" w:space="0" w:color="auto"/>
            </w:tcBorders>
            <w:hideMark/>
          </w:tcPr>
          <w:p w14:paraId="34664117" w14:textId="77777777" w:rsidR="00950445" w:rsidRPr="008C5F1C" w:rsidRDefault="00950445" w:rsidP="00333C71">
            <w:pPr>
              <w:spacing w:after="0" w:line="240" w:lineRule="auto"/>
              <w:jc w:val="center"/>
              <w:rPr>
                <w:rFonts w:ascii="Times New Roman" w:eastAsia="Times New Roman" w:hAnsi="Times New Roman" w:cs="Times New Roman"/>
                <w:b/>
                <w:iCs/>
                <w:noProof/>
                <w:sz w:val="16"/>
                <w:szCs w:val="16"/>
              </w:rPr>
            </w:pPr>
            <w:r w:rsidRPr="008C5F1C">
              <w:rPr>
                <w:rFonts w:ascii="Times New Roman" w:eastAsia="Times New Roman" w:hAnsi="Times New Roman" w:cs="Times New Roman"/>
                <w:b/>
                <w:iCs/>
                <w:noProof/>
                <w:sz w:val="16"/>
                <w:szCs w:val="16"/>
              </w:rPr>
              <w:t>Fulfilment EC (Y/N)</w:t>
            </w:r>
          </w:p>
        </w:tc>
        <w:tc>
          <w:tcPr>
            <w:tcW w:w="2812" w:type="dxa"/>
            <w:tcBorders>
              <w:top w:val="single" w:sz="4" w:space="0" w:color="auto"/>
              <w:left w:val="single" w:sz="4" w:space="0" w:color="auto"/>
              <w:bottom w:val="single" w:sz="4" w:space="0" w:color="auto"/>
              <w:right w:val="single" w:sz="4" w:space="0" w:color="auto"/>
            </w:tcBorders>
            <w:hideMark/>
          </w:tcPr>
          <w:p w14:paraId="51DBCBE6" w14:textId="77777777" w:rsidR="00950445" w:rsidRPr="008C5F1C" w:rsidRDefault="00950445" w:rsidP="00333C71">
            <w:pPr>
              <w:spacing w:after="0" w:line="240" w:lineRule="auto"/>
              <w:jc w:val="center"/>
              <w:rPr>
                <w:rFonts w:ascii="Times New Roman" w:eastAsia="Times New Roman" w:hAnsi="Times New Roman" w:cs="Times New Roman"/>
                <w:b/>
                <w:iCs/>
                <w:noProof/>
                <w:sz w:val="16"/>
                <w:szCs w:val="16"/>
              </w:rPr>
            </w:pPr>
            <w:r w:rsidRPr="008C5F1C">
              <w:rPr>
                <w:rFonts w:ascii="Times New Roman" w:eastAsia="Times New Roman" w:hAnsi="Times New Roman" w:cs="Times New Roman"/>
                <w:b/>
                <w:iCs/>
                <w:noProof/>
                <w:sz w:val="16"/>
                <w:szCs w:val="16"/>
              </w:rPr>
              <w:t>Criteria (C)</w:t>
            </w:r>
          </w:p>
        </w:tc>
        <w:tc>
          <w:tcPr>
            <w:tcW w:w="1167" w:type="dxa"/>
            <w:tcBorders>
              <w:top w:val="single" w:sz="4" w:space="0" w:color="auto"/>
              <w:left w:val="single" w:sz="4" w:space="0" w:color="auto"/>
              <w:bottom w:val="single" w:sz="4" w:space="0" w:color="auto"/>
              <w:right w:val="single" w:sz="4" w:space="0" w:color="auto"/>
            </w:tcBorders>
            <w:hideMark/>
          </w:tcPr>
          <w:p w14:paraId="782A0766" w14:textId="77777777" w:rsidR="00950445" w:rsidRPr="008C5F1C" w:rsidRDefault="00950445" w:rsidP="00333C71">
            <w:pPr>
              <w:spacing w:after="0" w:line="240" w:lineRule="auto"/>
              <w:jc w:val="center"/>
              <w:rPr>
                <w:rFonts w:ascii="Times New Roman" w:eastAsia="Times New Roman" w:hAnsi="Times New Roman" w:cs="Times New Roman"/>
                <w:b/>
                <w:iCs/>
                <w:noProof/>
                <w:sz w:val="16"/>
                <w:szCs w:val="16"/>
              </w:rPr>
            </w:pPr>
            <w:r w:rsidRPr="008C5F1C">
              <w:rPr>
                <w:rFonts w:ascii="Times New Roman" w:eastAsia="Times New Roman" w:hAnsi="Times New Roman" w:cs="Times New Roman"/>
                <w:b/>
                <w:iCs/>
                <w:noProof/>
                <w:sz w:val="16"/>
                <w:szCs w:val="16"/>
              </w:rPr>
              <w:t>Fulfilment of criteria (Y/N)</w:t>
            </w:r>
          </w:p>
        </w:tc>
        <w:tc>
          <w:tcPr>
            <w:tcW w:w="1661" w:type="dxa"/>
            <w:tcBorders>
              <w:top w:val="single" w:sz="4" w:space="0" w:color="auto"/>
              <w:left w:val="single" w:sz="4" w:space="0" w:color="auto"/>
              <w:bottom w:val="single" w:sz="4" w:space="0" w:color="auto"/>
              <w:right w:val="single" w:sz="4" w:space="0" w:color="auto"/>
            </w:tcBorders>
            <w:hideMark/>
          </w:tcPr>
          <w:p w14:paraId="7F6AD3E1" w14:textId="77777777" w:rsidR="00950445" w:rsidRPr="008C5F1C" w:rsidRDefault="00950445" w:rsidP="00333C71">
            <w:pPr>
              <w:spacing w:after="0" w:line="240" w:lineRule="auto"/>
              <w:jc w:val="center"/>
              <w:rPr>
                <w:rFonts w:ascii="Times New Roman" w:eastAsia="Times New Roman" w:hAnsi="Times New Roman" w:cs="Times New Roman"/>
                <w:b/>
                <w:iCs/>
                <w:noProof/>
                <w:sz w:val="16"/>
                <w:szCs w:val="16"/>
              </w:rPr>
            </w:pPr>
            <w:r w:rsidRPr="008C5F1C">
              <w:rPr>
                <w:rFonts w:ascii="Times New Roman" w:eastAsia="Times New Roman" w:hAnsi="Times New Roman" w:cs="Times New Roman"/>
                <w:b/>
                <w:i/>
                <w:iCs/>
                <w:noProof/>
                <w:sz w:val="16"/>
                <w:szCs w:val="16"/>
              </w:rPr>
              <w:t xml:space="preserve">Reference </w:t>
            </w:r>
            <w:r w:rsidRPr="008C5F1C">
              <w:rPr>
                <w:rFonts w:ascii="Times New Roman" w:eastAsia="Times New Roman" w:hAnsi="Times New Roman" w:cs="Times New Roman"/>
                <w:b/>
                <w:iCs/>
                <w:noProof/>
                <w:sz w:val="16"/>
                <w:szCs w:val="16"/>
              </w:rPr>
              <w:t>to relevant documents</w:t>
            </w:r>
          </w:p>
        </w:tc>
        <w:tc>
          <w:tcPr>
            <w:tcW w:w="4543" w:type="dxa"/>
            <w:tcBorders>
              <w:top w:val="single" w:sz="4" w:space="0" w:color="auto"/>
              <w:left w:val="single" w:sz="4" w:space="0" w:color="auto"/>
              <w:bottom w:val="single" w:sz="4" w:space="0" w:color="auto"/>
              <w:right w:val="single" w:sz="4" w:space="0" w:color="auto"/>
            </w:tcBorders>
            <w:hideMark/>
          </w:tcPr>
          <w:p w14:paraId="404F5A72" w14:textId="77777777" w:rsidR="00950445" w:rsidRPr="008C5F1C" w:rsidRDefault="00950445" w:rsidP="00333C71">
            <w:pPr>
              <w:spacing w:after="0" w:line="240" w:lineRule="auto"/>
              <w:jc w:val="center"/>
              <w:rPr>
                <w:rFonts w:ascii="Times New Roman" w:eastAsia="Times New Roman" w:hAnsi="Times New Roman" w:cs="Times New Roman"/>
                <w:b/>
                <w:iCs/>
                <w:noProof/>
                <w:sz w:val="16"/>
                <w:szCs w:val="16"/>
              </w:rPr>
            </w:pPr>
            <w:r w:rsidRPr="008C5F1C">
              <w:rPr>
                <w:rFonts w:ascii="Times New Roman" w:eastAsia="Times New Roman" w:hAnsi="Times New Roman" w:cs="Times New Roman"/>
                <w:b/>
                <w:iCs/>
                <w:noProof/>
                <w:sz w:val="16"/>
                <w:szCs w:val="16"/>
              </w:rPr>
              <w:t>Justification</w:t>
            </w:r>
          </w:p>
        </w:tc>
      </w:tr>
      <w:tr w:rsidR="00530033" w:rsidRPr="008C5F1C" w14:paraId="3DCB2444" w14:textId="77777777" w:rsidTr="00D37390">
        <w:tc>
          <w:tcPr>
            <w:tcW w:w="1450" w:type="dxa"/>
            <w:vMerge w:val="restart"/>
            <w:tcBorders>
              <w:top w:val="single" w:sz="4" w:space="0" w:color="auto"/>
              <w:left w:val="single" w:sz="4" w:space="0" w:color="auto"/>
              <w:right w:val="single" w:sz="4" w:space="0" w:color="auto"/>
            </w:tcBorders>
          </w:tcPr>
          <w:p w14:paraId="1F8F1388" w14:textId="77777777" w:rsidR="00530033" w:rsidRPr="008C5F1C" w:rsidRDefault="00530033" w:rsidP="00333C71">
            <w:pPr>
              <w:spacing w:before="120" w:after="120"/>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Buna guvernanță a strategiei naționale sau regionale de specializare inteligentă</w:t>
            </w:r>
          </w:p>
        </w:tc>
        <w:tc>
          <w:tcPr>
            <w:tcW w:w="950" w:type="dxa"/>
            <w:vMerge w:val="restart"/>
            <w:tcBorders>
              <w:top w:val="single" w:sz="4" w:space="0" w:color="auto"/>
              <w:left w:val="single" w:sz="4" w:space="0" w:color="auto"/>
              <w:right w:val="single" w:sz="4" w:space="0" w:color="auto"/>
            </w:tcBorders>
          </w:tcPr>
          <w:p w14:paraId="4EECFC08" w14:textId="77777777" w:rsidR="00530033" w:rsidRPr="008C5F1C" w:rsidRDefault="00530033" w:rsidP="00333C71">
            <w:pPr>
              <w:spacing w:before="120" w:after="120"/>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FEDR</w:t>
            </w:r>
          </w:p>
        </w:tc>
        <w:tc>
          <w:tcPr>
            <w:tcW w:w="2067" w:type="dxa"/>
            <w:vMerge w:val="restart"/>
            <w:tcBorders>
              <w:top w:val="single" w:sz="4" w:space="0" w:color="auto"/>
              <w:left w:val="single" w:sz="4" w:space="0" w:color="auto"/>
              <w:right w:val="single" w:sz="4" w:space="0" w:color="auto"/>
            </w:tcBorders>
          </w:tcPr>
          <w:p w14:paraId="748D9E83" w14:textId="77777777" w:rsidR="00530033" w:rsidRPr="008C5F1C" w:rsidRDefault="00530033" w:rsidP="00333C71">
            <w:pPr>
              <w:spacing w:after="0" w:line="240" w:lineRule="auto"/>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(i) Dezvoltarea capacităților de cercetare și inovare și adoptarea tehnologiilor avansate</w:t>
            </w:r>
          </w:p>
          <w:p w14:paraId="7806FF19" w14:textId="77777777" w:rsidR="00530033" w:rsidRPr="008C5F1C" w:rsidRDefault="00530033" w:rsidP="00333C71">
            <w:pPr>
              <w:spacing w:after="0" w:line="240" w:lineRule="auto"/>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(ii) Fructificarea avantajelor digitalizării, în beneficiul cetățenilor, al companiilor și al guvernelor</w:t>
            </w:r>
          </w:p>
          <w:p w14:paraId="3F75577F" w14:textId="77777777" w:rsidR="00530033" w:rsidRPr="008C5F1C" w:rsidRDefault="00530033" w:rsidP="00333C71">
            <w:pPr>
              <w:spacing w:after="0" w:line="240" w:lineRule="auto"/>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(iii) Impulsionarea creșterii și competitivității IMM-urilor</w:t>
            </w:r>
          </w:p>
          <w:p w14:paraId="13AA6EE4" w14:textId="77777777" w:rsidR="00530033" w:rsidRPr="008C5F1C" w:rsidRDefault="00530033" w:rsidP="00333C71">
            <w:pPr>
              <w:spacing w:after="0" w:line="240" w:lineRule="auto"/>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(iv) Dezvoltarea competențelor pentru specializare inteligentă, tranziție industrială și antreprenoriat</w:t>
            </w:r>
          </w:p>
        </w:tc>
        <w:tc>
          <w:tcPr>
            <w:tcW w:w="972" w:type="dxa"/>
            <w:vMerge w:val="restart"/>
            <w:tcBorders>
              <w:top w:val="single" w:sz="4" w:space="0" w:color="auto"/>
              <w:left w:val="single" w:sz="4" w:space="0" w:color="auto"/>
              <w:right w:val="single" w:sz="4" w:space="0" w:color="auto"/>
            </w:tcBorders>
            <w:hideMark/>
          </w:tcPr>
          <w:p w14:paraId="0C6CECCF" w14:textId="77777777" w:rsidR="00530033" w:rsidRPr="008C5F1C" w:rsidRDefault="00530033" w:rsidP="00333C71">
            <w:pPr>
              <w:spacing w:before="120" w:after="120"/>
              <w:rPr>
                <w:rFonts w:ascii="Times New Roman" w:eastAsia="Times New Roman" w:hAnsi="Times New Roman" w:cs="Times New Roman"/>
                <w:iCs/>
                <w:noProof/>
                <w:sz w:val="20"/>
              </w:rPr>
            </w:pPr>
          </w:p>
        </w:tc>
        <w:tc>
          <w:tcPr>
            <w:tcW w:w="2812" w:type="dxa"/>
            <w:vMerge w:val="restart"/>
            <w:tcBorders>
              <w:top w:val="single" w:sz="4" w:space="0" w:color="auto"/>
              <w:left w:val="single" w:sz="4" w:space="0" w:color="auto"/>
              <w:right w:val="single" w:sz="4" w:space="0" w:color="auto"/>
            </w:tcBorders>
            <w:hideMark/>
          </w:tcPr>
          <w:p w14:paraId="49C57BB8" w14:textId="77777777" w:rsidR="00530033" w:rsidRPr="008C5F1C" w:rsidRDefault="00530033" w:rsidP="00333C71">
            <w:pPr>
              <w:spacing w:after="0" w:line="240" w:lineRule="auto"/>
              <w:rPr>
                <w:rFonts w:ascii="Times New Roman" w:eastAsia="Times New Roman" w:hAnsi="Times New Roman" w:cs="Times New Roman"/>
                <w:iCs/>
                <w:noProof/>
                <w:sz w:val="20"/>
              </w:rPr>
            </w:pPr>
            <w:r w:rsidRPr="008C5F1C">
              <w:rPr>
                <w:rFonts w:ascii="Times New Roman" w:eastAsia="Times New Roman" w:hAnsi="Times New Roman" w:cs="Times New Roman"/>
                <w:i/>
                <w:iCs/>
                <w:noProof/>
                <w:sz w:val="20"/>
              </w:rPr>
              <w:t>Strategia (strategiile) de specializare inteligentă trebuie să fie sprijinită (sprijinite) d</w:t>
            </w:r>
            <w:r w:rsidRPr="008C5F1C">
              <w:rPr>
                <w:rFonts w:ascii="Times New Roman" w:eastAsia="Times New Roman" w:hAnsi="Times New Roman" w:cs="Times New Roman"/>
                <w:iCs/>
                <w:noProof/>
                <w:sz w:val="20"/>
              </w:rPr>
              <w:t>e:</w:t>
            </w:r>
          </w:p>
          <w:p w14:paraId="3828165D" w14:textId="77777777" w:rsidR="00530033" w:rsidRPr="008C5F1C" w:rsidRDefault="00530033" w:rsidP="00333C71">
            <w:pPr>
              <w:spacing w:after="0" w:line="240" w:lineRule="auto"/>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C1. O analiză la zi a factorilor care împiedică diseminarea inovării, inclusiv digitalizarea</w:t>
            </w:r>
          </w:p>
          <w:p w14:paraId="74EEC36D" w14:textId="77777777" w:rsidR="00530033" w:rsidRPr="008C5F1C" w:rsidRDefault="00530033" w:rsidP="00333C71">
            <w:pPr>
              <w:spacing w:after="0" w:line="240" w:lineRule="auto"/>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C2. Existența unei instituții sau a unui organism național/regional competent responsabil cu managementul strategiei de specializare inteligentă</w:t>
            </w:r>
          </w:p>
          <w:p w14:paraId="06CC1E0B" w14:textId="77777777" w:rsidR="00530033" w:rsidRPr="008C5F1C" w:rsidRDefault="00530033" w:rsidP="00333C71">
            <w:pPr>
              <w:spacing w:after="0" w:line="240" w:lineRule="auto"/>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C3. Instrumente de monitorizare și evaluare pentru a măsura performanțele în direcția atingerii obiectivelor strategiei</w:t>
            </w:r>
          </w:p>
          <w:p w14:paraId="5FA93FC5" w14:textId="77777777" w:rsidR="00530033" w:rsidRPr="008C5F1C" w:rsidRDefault="00530033" w:rsidP="00333C71">
            <w:pPr>
              <w:spacing w:after="0" w:line="240" w:lineRule="auto"/>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C4. Funcționarea eficace a procesului de descoperire antreprenorială</w:t>
            </w:r>
          </w:p>
          <w:p w14:paraId="7B00561C" w14:textId="77777777" w:rsidR="00530033" w:rsidRPr="008C5F1C" w:rsidRDefault="00530033" w:rsidP="00333C71">
            <w:pPr>
              <w:spacing w:after="0" w:line="240" w:lineRule="auto"/>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C5. Acțiuni necesare pentru îmbunătățirea sistemelor de cercetare și inovare naționale sau regionale, daca este relevant</w:t>
            </w:r>
          </w:p>
          <w:p w14:paraId="56F45F70" w14:textId="77777777" w:rsidR="00530033" w:rsidRPr="008C5F1C" w:rsidRDefault="00530033" w:rsidP="00333C71">
            <w:pPr>
              <w:spacing w:after="0" w:line="240" w:lineRule="auto"/>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C6. Acțiuni pentru managementul tranziției industriale, daca este relevant</w:t>
            </w:r>
          </w:p>
          <w:p w14:paraId="77FE41D9" w14:textId="77777777" w:rsidR="00530033" w:rsidRPr="008C5F1C" w:rsidRDefault="00530033" w:rsidP="00333C71">
            <w:pPr>
              <w:spacing w:after="0" w:line="240" w:lineRule="auto"/>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C7. Măsuri în sprijinul colaborării internaționale</w:t>
            </w:r>
          </w:p>
        </w:tc>
        <w:tc>
          <w:tcPr>
            <w:tcW w:w="1167" w:type="dxa"/>
            <w:tcBorders>
              <w:top w:val="single" w:sz="4" w:space="0" w:color="auto"/>
              <w:left w:val="single" w:sz="4" w:space="0" w:color="auto"/>
              <w:bottom w:val="single" w:sz="4" w:space="0" w:color="auto"/>
              <w:right w:val="single" w:sz="4" w:space="0" w:color="auto"/>
            </w:tcBorders>
          </w:tcPr>
          <w:p w14:paraId="70310CD4" w14:textId="77777777" w:rsidR="00530033" w:rsidRPr="008C5F1C" w:rsidRDefault="00530033" w:rsidP="00333C71">
            <w:pPr>
              <w:spacing w:before="120" w:after="120"/>
              <w:rPr>
                <w:rFonts w:ascii="Times New Roman" w:eastAsia="Times New Roman" w:hAnsi="Times New Roman" w:cs="Times New Roman"/>
                <w:iCs/>
                <w:noProof/>
                <w:sz w:val="20"/>
              </w:rPr>
            </w:pPr>
          </w:p>
        </w:tc>
        <w:tc>
          <w:tcPr>
            <w:tcW w:w="1661" w:type="dxa"/>
            <w:vMerge w:val="restart"/>
            <w:tcBorders>
              <w:top w:val="single" w:sz="4" w:space="0" w:color="auto"/>
              <w:left w:val="single" w:sz="4" w:space="0" w:color="auto"/>
              <w:right w:val="single" w:sz="4" w:space="0" w:color="auto"/>
            </w:tcBorders>
            <w:hideMark/>
          </w:tcPr>
          <w:p w14:paraId="6FE06395" w14:textId="19866D22" w:rsidR="00530033" w:rsidRPr="008C5F1C" w:rsidRDefault="00530033" w:rsidP="00333C71">
            <w:pPr>
              <w:spacing w:before="120" w:after="120"/>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HG nr. 24/2020</w:t>
            </w:r>
          </w:p>
          <w:p w14:paraId="348FBF3C" w14:textId="09A83698" w:rsidR="00530033" w:rsidRPr="008C5F1C" w:rsidRDefault="00530033" w:rsidP="00530033">
            <w:pPr>
              <w:spacing w:before="120" w:after="120"/>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Memorandumului cu tema: Măsuri necesare îndeplinirii condiției favorizante Bună guvernanță a strategiei naționale sau regionale de specializare inteligentă aprobat de Guvernul României în data de 8 martie 2019 cu 20/4/80/TG.</w:t>
            </w:r>
          </w:p>
          <w:p w14:paraId="2606CFEE" w14:textId="6E63B3DA" w:rsidR="00530033" w:rsidRPr="008C5F1C" w:rsidRDefault="00530033" w:rsidP="00530033">
            <w:pPr>
              <w:spacing w:before="120" w:after="120"/>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OMCI nr. 458/31.07.2019</w:t>
            </w:r>
          </w:p>
          <w:p w14:paraId="24C6098B" w14:textId="444573C7" w:rsidR="00530033" w:rsidRPr="008C5F1C" w:rsidRDefault="00530033" w:rsidP="00333C71">
            <w:pPr>
              <w:spacing w:before="120" w:after="120"/>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Strategia Națională de Cercetare, Inovare și Specializare Inteligentă 2021-2027</w:t>
            </w:r>
          </w:p>
        </w:tc>
        <w:tc>
          <w:tcPr>
            <w:tcW w:w="4543" w:type="dxa"/>
            <w:vMerge w:val="restart"/>
            <w:tcBorders>
              <w:top w:val="single" w:sz="4" w:space="0" w:color="auto"/>
              <w:left w:val="single" w:sz="4" w:space="0" w:color="auto"/>
              <w:right w:val="single" w:sz="4" w:space="0" w:color="auto"/>
            </w:tcBorders>
            <w:hideMark/>
          </w:tcPr>
          <w:p w14:paraId="00019A27" w14:textId="77777777" w:rsidR="00530033" w:rsidRPr="008C5F1C" w:rsidRDefault="00530033" w:rsidP="00530033">
            <w:pPr>
              <w:spacing w:before="120" w:after="120"/>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Ministerul Educației si Cercetării (fost Ministerul Cercetării şi Inovării), care prin HG nr. 24/2020 are rol de sinteză şi coordonare în aplicarea Strategiei şi Programului de guvernare în domeniul cercetării ştiinţifice, dezvoltării tehnologice şi inovării, a asumat îndeplinirea condiției favorizante aferente OP1 în baza Memorandumului cu tema: Măsuri necesare îndeplinirii condiției favorizante Bună guvernanță a strategiei naționale sau regionale de specializare inteligentă aprobat de Guvernul României în data de 8 martie 2019 cu 20/4/80/TG.</w:t>
            </w:r>
          </w:p>
          <w:p w14:paraId="5883825D" w14:textId="77777777" w:rsidR="00530033" w:rsidRPr="008C5F1C" w:rsidRDefault="00530033" w:rsidP="00530033">
            <w:pPr>
              <w:spacing w:before="120" w:after="120"/>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Una dintre acțiunile îndeplinite a fost înființarea, prin OMCI nr. 458/31.07.2019, a Comitetului de coordonare pentru Strategia de Specializare Inteligentă care are rolul de a coordona elaborarea/implementarea strategiei naționale.</w:t>
            </w:r>
          </w:p>
          <w:p w14:paraId="482D0C78" w14:textId="77777777" w:rsidR="00530033" w:rsidRPr="008C5F1C" w:rsidRDefault="00530033" w:rsidP="00530033">
            <w:pPr>
              <w:spacing w:before="120" w:after="120"/>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Strategia Națională de Cercetare, Inovare și Specializare Inteligentă 2021-2027 va asigura corelarea cu strategiile de specializare inteligentă regionale și va include, printre altele:</w:t>
            </w:r>
          </w:p>
          <w:p w14:paraId="03442167" w14:textId="77777777" w:rsidR="00530033" w:rsidRPr="008C5F1C" w:rsidRDefault="00530033" w:rsidP="00530033">
            <w:pPr>
              <w:spacing w:before="120" w:after="120"/>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 Instrumente de monitorizare și evaluare</w:t>
            </w:r>
          </w:p>
          <w:p w14:paraId="67C21CAB" w14:textId="77777777" w:rsidR="00530033" w:rsidRPr="008C5F1C" w:rsidRDefault="00530033" w:rsidP="00530033">
            <w:pPr>
              <w:spacing w:before="120" w:after="120"/>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 Mecanism pentru de descoperire antreprenorială</w:t>
            </w:r>
          </w:p>
          <w:p w14:paraId="1CD2CB6E" w14:textId="77777777" w:rsidR="00530033" w:rsidRPr="008C5F1C" w:rsidRDefault="00530033" w:rsidP="00530033">
            <w:pPr>
              <w:spacing w:before="120" w:after="120"/>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 Acțiuni pentru îmbunătățirea sistemelor de cercetare și inovare</w:t>
            </w:r>
          </w:p>
          <w:p w14:paraId="5DD2F661" w14:textId="77777777" w:rsidR="00530033" w:rsidRPr="008C5F1C" w:rsidRDefault="00530033" w:rsidP="00530033">
            <w:pPr>
              <w:spacing w:before="120" w:after="120"/>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 Acțiuni pentru managementul tranziției industriale</w:t>
            </w:r>
          </w:p>
          <w:p w14:paraId="5C68DBF5" w14:textId="0142C2A8" w:rsidR="00530033" w:rsidRPr="008C5F1C" w:rsidRDefault="00530033" w:rsidP="00530033">
            <w:pPr>
              <w:spacing w:before="120" w:after="120"/>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 Măsuri în sprijinul colaborării internaționale</w:t>
            </w:r>
          </w:p>
        </w:tc>
      </w:tr>
      <w:tr w:rsidR="00530033" w:rsidRPr="008C5F1C" w14:paraId="14719179" w14:textId="77777777" w:rsidTr="00D37390">
        <w:tc>
          <w:tcPr>
            <w:tcW w:w="1450" w:type="dxa"/>
            <w:vMerge/>
            <w:tcBorders>
              <w:left w:val="single" w:sz="4" w:space="0" w:color="auto"/>
              <w:right w:val="single" w:sz="4" w:space="0" w:color="auto"/>
            </w:tcBorders>
          </w:tcPr>
          <w:p w14:paraId="353B0B83" w14:textId="77777777" w:rsidR="00530033" w:rsidRPr="008C5F1C" w:rsidRDefault="00530033" w:rsidP="00333C71">
            <w:pPr>
              <w:spacing w:before="120" w:after="120"/>
              <w:rPr>
                <w:rFonts w:ascii="Times New Roman" w:eastAsia="Times New Roman" w:hAnsi="Times New Roman" w:cs="Times New Roman"/>
                <w:iCs/>
                <w:noProof/>
                <w:sz w:val="20"/>
              </w:rPr>
            </w:pPr>
          </w:p>
        </w:tc>
        <w:tc>
          <w:tcPr>
            <w:tcW w:w="950" w:type="dxa"/>
            <w:vMerge/>
            <w:tcBorders>
              <w:left w:val="single" w:sz="4" w:space="0" w:color="auto"/>
              <w:right w:val="single" w:sz="4" w:space="0" w:color="auto"/>
            </w:tcBorders>
          </w:tcPr>
          <w:p w14:paraId="35356D05" w14:textId="77777777" w:rsidR="00530033" w:rsidRPr="008C5F1C" w:rsidRDefault="00530033" w:rsidP="00333C71">
            <w:pPr>
              <w:spacing w:before="120" w:after="120"/>
              <w:rPr>
                <w:rFonts w:ascii="Times New Roman" w:eastAsia="Times New Roman" w:hAnsi="Times New Roman" w:cs="Times New Roman"/>
                <w:iCs/>
                <w:noProof/>
                <w:sz w:val="20"/>
              </w:rPr>
            </w:pPr>
          </w:p>
        </w:tc>
        <w:tc>
          <w:tcPr>
            <w:tcW w:w="2067" w:type="dxa"/>
            <w:vMerge/>
            <w:tcBorders>
              <w:left w:val="single" w:sz="4" w:space="0" w:color="auto"/>
              <w:right w:val="single" w:sz="4" w:space="0" w:color="auto"/>
            </w:tcBorders>
          </w:tcPr>
          <w:p w14:paraId="5DA416C8" w14:textId="77777777" w:rsidR="00530033" w:rsidRPr="008C5F1C" w:rsidRDefault="00530033" w:rsidP="00333C71">
            <w:pPr>
              <w:spacing w:before="120" w:after="120"/>
              <w:rPr>
                <w:rFonts w:ascii="Times New Roman" w:eastAsia="Times New Roman" w:hAnsi="Times New Roman" w:cs="Times New Roman"/>
                <w:iCs/>
                <w:noProof/>
                <w:sz w:val="20"/>
              </w:rPr>
            </w:pPr>
          </w:p>
        </w:tc>
        <w:tc>
          <w:tcPr>
            <w:tcW w:w="972" w:type="dxa"/>
            <w:vMerge/>
            <w:tcBorders>
              <w:left w:val="single" w:sz="4" w:space="0" w:color="auto"/>
              <w:right w:val="single" w:sz="4" w:space="0" w:color="auto"/>
            </w:tcBorders>
          </w:tcPr>
          <w:p w14:paraId="7B0AD8CF" w14:textId="77777777" w:rsidR="00530033" w:rsidRPr="008C5F1C" w:rsidRDefault="00530033" w:rsidP="00333C71">
            <w:pPr>
              <w:spacing w:before="120" w:after="120"/>
              <w:rPr>
                <w:rFonts w:ascii="Times New Roman" w:eastAsia="Times New Roman" w:hAnsi="Times New Roman" w:cs="Times New Roman"/>
                <w:iCs/>
                <w:noProof/>
                <w:sz w:val="20"/>
              </w:rPr>
            </w:pPr>
          </w:p>
        </w:tc>
        <w:tc>
          <w:tcPr>
            <w:tcW w:w="2812" w:type="dxa"/>
            <w:vMerge/>
            <w:tcBorders>
              <w:left w:val="single" w:sz="4" w:space="0" w:color="auto"/>
              <w:right w:val="single" w:sz="4" w:space="0" w:color="auto"/>
            </w:tcBorders>
            <w:hideMark/>
          </w:tcPr>
          <w:p w14:paraId="6A2C7B73" w14:textId="77777777" w:rsidR="00530033" w:rsidRPr="008C5F1C" w:rsidRDefault="00530033" w:rsidP="00333C71">
            <w:pPr>
              <w:spacing w:after="0" w:line="240" w:lineRule="auto"/>
              <w:rPr>
                <w:rFonts w:ascii="Times New Roman" w:eastAsia="Times New Roman" w:hAnsi="Times New Roman" w:cs="Times New Roman"/>
                <w:iCs/>
                <w:noProof/>
                <w:sz w:val="20"/>
              </w:rPr>
            </w:pPr>
          </w:p>
        </w:tc>
        <w:tc>
          <w:tcPr>
            <w:tcW w:w="1167" w:type="dxa"/>
            <w:tcBorders>
              <w:top w:val="single" w:sz="4" w:space="0" w:color="auto"/>
              <w:left w:val="single" w:sz="4" w:space="0" w:color="auto"/>
              <w:bottom w:val="single" w:sz="4" w:space="0" w:color="auto"/>
              <w:right w:val="single" w:sz="4" w:space="0" w:color="auto"/>
            </w:tcBorders>
          </w:tcPr>
          <w:p w14:paraId="4788ED87" w14:textId="77777777" w:rsidR="00530033" w:rsidRPr="008C5F1C" w:rsidRDefault="00530033" w:rsidP="00333C71">
            <w:pPr>
              <w:spacing w:before="120" w:after="120"/>
              <w:rPr>
                <w:rFonts w:ascii="Times New Roman" w:eastAsia="Times New Roman" w:hAnsi="Times New Roman" w:cs="Times New Roman"/>
                <w:iCs/>
                <w:noProof/>
                <w:sz w:val="20"/>
              </w:rPr>
            </w:pPr>
          </w:p>
        </w:tc>
        <w:tc>
          <w:tcPr>
            <w:tcW w:w="1661" w:type="dxa"/>
            <w:vMerge/>
            <w:tcBorders>
              <w:left w:val="single" w:sz="4" w:space="0" w:color="auto"/>
              <w:right w:val="single" w:sz="4" w:space="0" w:color="auto"/>
            </w:tcBorders>
          </w:tcPr>
          <w:p w14:paraId="6B0D2C75" w14:textId="77777777" w:rsidR="00530033" w:rsidRPr="008C5F1C" w:rsidRDefault="00530033" w:rsidP="00333C71">
            <w:pPr>
              <w:spacing w:before="120" w:after="120"/>
              <w:rPr>
                <w:rFonts w:ascii="Times New Roman" w:eastAsia="Times New Roman" w:hAnsi="Times New Roman" w:cs="Times New Roman"/>
                <w:iCs/>
                <w:noProof/>
                <w:sz w:val="20"/>
              </w:rPr>
            </w:pPr>
          </w:p>
        </w:tc>
        <w:tc>
          <w:tcPr>
            <w:tcW w:w="4543" w:type="dxa"/>
            <w:vMerge/>
            <w:tcBorders>
              <w:left w:val="single" w:sz="4" w:space="0" w:color="auto"/>
              <w:right w:val="single" w:sz="4" w:space="0" w:color="auto"/>
            </w:tcBorders>
          </w:tcPr>
          <w:p w14:paraId="736F6B3A" w14:textId="77777777" w:rsidR="00530033" w:rsidRPr="008C5F1C" w:rsidRDefault="00530033" w:rsidP="00333C71">
            <w:pPr>
              <w:spacing w:before="120" w:after="120"/>
              <w:rPr>
                <w:rFonts w:ascii="Times New Roman" w:eastAsia="Times New Roman" w:hAnsi="Times New Roman" w:cs="Times New Roman"/>
                <w:iCs/>
                <w:noProof/>
                <w:sz w:val="20"/>
              </w:rPr>
            </w:pPr>
          </w:p>
        </w:tc>
      </w:tr>
      <w:tr w:rsidR="00530033" w:rsidRPr="008C5F1C" w14:paraId="6AD70442" w14:textId="77777777" w:rsidTr="00D37390">
        <w:tc>
          <w:tcPr>
            <w:tcW w:w="1450" w:type="dxa"/>
            <w:vMerge/>
            <w:tcBorders>
              <w:left w:val="single" w:sz="4" w:space="0" w:color="auto"/>
              <w:right w:val="single" w:sz="4" w:space="0" w:color="auto"/>
            </w:tcBorders>
          </w:tcPr>
          <w:p w14:paraId="63E69D1B" w14:textId="77777777" w:rsidR="00530033" w:rsidRPr="008C5F1C" w:rsidRDefault="00530033" w:rsidP="00333C71">
            <w:pPr>
              <w:spacing w:before="120" w:after="120"/>
              <w:rPr>
                <w:rFonts w:ascii="Times New Roman" w:eastAsia="Times New Roman" w:hAnsi="Times New Roman" w:cs="Times New Roman"/>
                <w:iCs/>
                <w:noProof/>
                <w:sz w:val="20"/>
              </w:rPr>
            </w:pPr>
          </w:p>
        </w:tc>
        <w:tc>
          <w:tcPr>
            <w:tcW w:w="950" w:type="dxa"/>
            <w:vMerge/>
            <w:tcBorders>
              <w:left w:val="single" w:sz="4" w:space="0" w:color="auto"/>
              <w:right w:val="single" w:sz="4" w:space="0" w:color="auto"/>
            </w:tcBorders>
          </w:tcPr>
          <w:p w14:paraId="2125FFF5" w14:textId="77777777" w:rsidR="00530033" w:rsidRPr="008C5F1C" w:rsidRDefault="00530033" w:rsidP="00333C71">
            <w:pPr>
              <w:spacing w:before="120" w:after="120"/>
              <w:rPr>
                <w:rFonts w:ascii="Times New Roman" w:eastAsia="Times New Roman" w:hAnsi="Times New Roman" w:cs="Times New Roman"/>
                <w:iCs/>
                <w:noProof/>
                <w:sz w:val="20"/>
              </w:rPr>
            </w:pPr>
          </w:p>
        </w:tc>
        <w:tc>
          <w:tcPr>
            <w:tcW w:w="2067" w:type="dxa"/>
            <w:vMerge/>
            <w:tcBorders>
              <w:left w:val="single" w:sz="4" w:space="0" w:color="auto"/>
              <w:right w:val="single" w:sz="4" w:space="0" w:color="auto"/>
            </w:tcBorders>
          </w:tcPr>
          <w:p w14:paraId="49D92A1A" w14:textId="77777777" w:rsidR="00530033" w:rsidRPr="008C5F1C" w:rsidRDefault="00530033" w:rsidP="00333C71">
            <w:pPr>
              <w:spacing w:before="120" w:after="120"/>
              <w:rPr>
                <w:rFonts w:ascii="Times New Roman" w:eastAsia="Times New Roman" w:hAnsi="Times New Roman" w:cs="Times New Roman"/>
                <w:iCs/>
                <w:noProof/>
                <w:sz w:val="20"/>
              </w:rPr>
            </w:pPr>
          </w:p>
        </w:tc>
        <w:tc>
          <w:tcPr>
            <w:tcW w:w="972" w:type="dxa"/>
            <w:vMerge/>
            <w:tcBorders>
              <w:left w:val="single" w:sz="4" w:space="0" w:color="auto"/>
              <w:right w:val="single" w:sz="4" w:space="0" w:color="auto"/>
            </w:tcBorders>
          </w:tcPr>
          <w:p w14:paraId="2B3107F4" w14:textId="77777777" w:rsidR="00530033" w:rsidRPr="008C5F1C" w:rsidRDefault="00530033" w:rsidP="00333C71">
            <w:pPr>
              <w:spacing w:before="120" w:after="120"/>
              <w:rPr>
                <w:rFonts w:ascii="Times New Roman" w:eastAsia="Times New Roman" w:hAnsi="Times New Roman" w:cs="Times New Roman"/>
                <w:iCs/>
                <w:noProof/>
                <w:sz w:val="20"/>
              </w:rPr>
            </w:pPr>
          </w:p>
        </w:tc>
        <w:tc>
          <w:tcPr>
            <w:tcW w:w="2812" w:type="dxa"/>
            <w:vMerge/>
            <w:tcBorders>
              <w:left w:val="single" w:sz="4" w:space="0" w:color="auto"/>
              <w:right w:val="single" w:sz="4" w:space="0" w:color="auto"/>
            </w:tcBorders>
          </w:tcPr>
          <w:p w14:paraId="130AF3AF" w14:textId="77777777" w:rsidR="00530033" w:rsidRPr="008C5F1C" w:rsidRDefault="00530033" w:rsidP="00333C71">
            <w:pPr>
              <w:spacing w:after="0" w:line="240" w:lineRule="auto"/>
              <w:rPr>
                <w:rFonts w:ascii="Times New Roman" w:eastAsia="Times New Roman" w:hAnsi="Times New Roman" w:cs="Times New Roman"/>
                <w:iCs/>
                <w:noProof/>
                <w:sz w:val="20"/>
              </w:rPr>
            </w:pPr>
          </w:p>
        </w:tc>
        <w:tc>
          <w:tcPr>
            <w:tcW w:w="1167" w:type="dxa"/>
            <w:tcBorders>
              <w:top w:val="single" w:sz="4" w:space="0" w:color="auto"/>
              <w:left w:val="single" w:sz="4" w:space="0" w:color="auto"/>
              <w:bottom w:val="single" w:sz="4" w:space="0" w:color="auto"/>
              <w:right w:val="single" w:sz="4" w:space="0" w:color="auto"/>
            </w:tcBorders>
          </w:tcPr>
          <w:p w14:paraId="26334476" w14:textId="77777777" w:rsidR="00530033" w:rsidRPr="008C5F1C" w:rsidRDefault="00530033" w:rsidP="00333C71">
            <w:pPr>
              <w:spacing w:before="120" w:after="120"/>
              <w:rPr>
                <w:rFonts w:ascii="Times New Roman" w:eastAsia="Times New Roman" w:hAnsi="Times New Roman" w:cs="Times New Roman"/>
                <w:iCs/>
                <w:noProof/>
                <w:sz w:val="20"/>
              </w:rPr>
            </w:pPr>
          </w:p>
        </w:tc>
        <w:tc>
          <w:tcPr>
            <w:tcW w:w="1661" w:type="dxa"/>
            <w:vMerge/>
            <w:tcBorders>
              <w:left w:val="single" w:sz="4" w:space="0" w:color="auto"/>
              <w:right w:val="single" w:sz="4" w:space="0" w:color="auto"/>
            </w:tcBorders>
          </w:tcPr>
          <w:p w14:paraId="17D62C13" w14:textId="77777777" w:rsidR="00530033" w:rsidRPr="008C5F1C" w:rsidRDefault="00530033" w:rsidP="00333C71">
            <w:pPr>
              <w:spacing w:before="120" w:after="120"/>
              <w:rPr>
                <w:rFonts w:ascii="Times New Roman" w:eastAsia="Times New Roman" w:hAnsi="Times New Roman" w:cs="Times New Roman"/>
                <w:iCs/>
                <w:noProof/>
                <w:sz w:val="20"/>
              </w:rPr>
            </w:pPr>
          </w:p>
        </w:tc>
        <w:tc>
          <w:tcPr>
            <w:tcW w:w="4543" w:type="dxa"/>
            <w:vMerge/>
            <w:tcBorders>
              <w:left w:val="single" w:sz="4" w:space="0" w:color="auto"/>
              <w:right w:val="single" w:sz="4" w:space="0" w:color="auto"/>
            </w:tcBorders>
          </w:tcPr>
          <w:p w14:paraId="0E659A24" w14:textId="77777777" w:rsidR="00530033" w:rsidRPr="008C5F1C" w:rsidRDefault="00530033" w:rsidP="00333C71">
            <w:pPr>
              <w:spacing w:before="120" w:after="120"/>
              <w:rPr>
                <w:rFonts w:ascii="Times New Roman" w:eastAsia="Times New Roman" w:hAnsi="Times New Roman" w:cs="Times New Roman"/>
                <w:iCs/>
                <w:noProof/>
                <w:sz w:val="20"/>
              </w:rPr>
            </w:pPr>
          </w:p>
        </w:tc>
      </w:tr>
      <w:tr w:rsidR="00530033" w:rsidRPr="008C5F1C" w14:paraId="6D67F3F5" w14:textId="77777777" w:rsidTr="00D37390">
        <w:tc>
          <w:tcPr>
            <w:tcW w:w="1450" w:type="dxa"/>
            <w:vMerge/>
            <w:tcBorders>
              <w:left w:val="single" w:sz="4" w:space="0" w:color="auto"/>
              <w:right w:val="single" w:sz="4" w:space="0" w:color="auto"/>
            </w:tcBorders>
          </w:tcPr>
          <w:p w14:paraId="55CB461F" w14:textId="77777777" w:rsidR="00530033" w:rsidRPr="008C5F1C" w:rsidRDefault="00530033" w:rsidP="00333C71">
            <w:pPr>
              <w:spacing w:before="120" w:after="120"/>
              <w:rPr>
                <w:rFonts w:ascii="Times New Roman" w:eastAsia="Times New Roman" w:hAnsi="Times New Roman" w:cs="Times New Roman"/>
                <w:iCs/>
                <w:noProof/>
                <w:sz w:val="20"/>
              </w:rPr>
            </w:pPr>
          </w:p>
        </w:tc>
        <w:tc>
          <w:tcPr>
            <w:tcW w:w="950" w:type="dxa"/>
            <w:vMerge/>
            <w:tcBorders>
              <w:left w:val="single" w:sz="4" w:space="0" w:color="auto"/>
              <w:right w:val="single" w:sz="4" w:space="0" w:color="auto"/>
            </w:tcBorders>
          </w:tcPr>
          <w:p w14:paraId="724DEDB3" w14:textId="77777777" w:rsidR="00530033" w:rsidRPr="008C5F1C" w:rsidRDefault="00530033" w:rsidP="00333C71">
            <w:pPr>
              <w:spacing w:before="120" w:after="120"/>
              <w:rPr>
                <w:rFonts w:ascii="Times New Roman" w:eastAsia="Times New Roman" w:hAnsi="Times New Roman" w:cs="Times New Roman"/>
                <w:iCs/>
                <w:noProof/>
                <w:sz w:val="20"/>
              </w:rPr>
            </w:pPr>
          </w:p>
        </w:tc>
        <w:tc>
          <w:tcPr>
            <w:tcW w:w="2067" w:type="dxa"/>
            <w:vMerge/>
            <w:tcBorders>
              <w:left w:val="single" w:sz="4" w:space="0" w:color="auto"/>
              <w:right w:val="single" w:sz="4" w:space="0" w:color="auto"/>
            </w:tcBorders>
          </w:tcPr>
          <w:p w14:paraId="32A4CF15" w14:textId="77777777" w:rsidR="00530033" w:rsidRPr="008C5F1C" w:rsidRDefault="00530033" w:rsidP="00333C71">
            <w:pPr>
              <w:spacing w:before="120" w:after="120"/>
              <w:rPr>
                <w:rFonts w:ascii="Times New Roman" w:eastAsia="Times New Roman" w:hAnsi="Times New Roman" w:cs="Times New Roman"/>
                <w:iCs/>
                <w:noProof/>
                <w:sz w:val="20"/>
              </w:rPr>
            </w:pPr>
          </w:p>
        </w:tc>
        <w:tc>
          <w:tcPr>
            <w:tcW w:w="972" w:type="dxa"/>
            <w:vMerge/>
            <w:tcBorders>
              <w:left w:val="single" w:sz="4" w:space="0" w:color="auto"/>
              <w:right w:val="single" w:sz="4" w:space="0" w:color="auto"/>
            </w:tcBorders>
          </w:tcPr>
          <w:p w14:paraId="77A9378F" w14:textId="77777777" w:rsidR="00530033" w:rsidRPr="008C5F1C" w:rsidRDefault="00530033" w:rsidP="00333C71">
            <w:pPr>
              <w:spacing w:before="120" w:after="120"/>
              <w:rPr>
                <w:rFonts w:ascii="Times New Roman" w:eastAsia="Times New Roman" w:hAnsi="Times New Roman" w:cs="Times New Roman"/>
                <w:iCs/>
                <w:noProof/>
                <w:sz w:val="20"/>
              </w:rPr>
            </w:pPr>
          </w:p>
        </w:tc>
        <w:tc>
          <w:tcPr>
            <w:tcW w:w="2812" w:type="dxa"/>
            <w:vMerge/>
            <w:tcBorders>
              <w:left w:val="single" w:sz="4" w:space="0" w:color="auto"/>
              <w:right w:val="single" w:sz="4" w:space="0" w:color="auto"/>
            </w:tcBorders>
          </w:tcPr>
          <w:p w14:paraId="31C56E79" w14:textId="77777777" w:rsidR="00530033" w:rsidRPr="008C5F1C" w:rsidRDefault="00530033" w:rsidP="00333C71">
            <w:pPr>
              <w:spacing w:after="0" w:line="240" w:lineRule="auto"/>
              <w:rPr>
                <w:rFonts w:ascii="Times New Roman" w:eastAsia="Times New Roman" w:hAnsi="Times New Roman" w:cs="Times New Roman"/>
                <w:iCs/>
                <w:noProof/>
                <w:sz w:val="20"/>
              </w:rPr>
            </w:pPr>
          </w:p>
        </w:tc>
        <w:tc>
          <w:tcPr>
            <w:tcW w:w="1167" w:type="dxa"/>
            <w:tcBorders>
              <w:top w:val="single" w:sz="4" w:space="0" w:color="auto"/>
              <w:left w:val="single" w:sz="4" w:space="0" w:color="auto"/>
              <w:bottom w:val="single" w:sz="4" w:space="0" w:color="auto"/>
              <w:right w:val="single" w:sz="4" w:space="0" w:color="auto"/>
            </w:tcBorders>
          </w:tcPr>
          <w:p w14:paraId="7E2BE5CE" w14:textId="77777777" w:rsidR="00530033" w:rsidRPr="008C5F1C" w:rsidRDefault="00530033" w:rsidP="00333C71">
            <w:pPr>
              <w:spacing w:before="120" w:after="120"/>
              <w:rPr>
                <w:rFonts w:ascii="Times New Roman" w:eastAsia="Times New Roman" w:hAnsi="Times New Roman" w:cs="Times New Roman"/>
                <w:iCs/>
                <w:noProof/>
                <w:sz w:val="20"/>
              </w:rPr>
            </w:pPr>
          </w:p>
        </w:tc>
        <w:tc>
          <w:tcPr>
            <w:tcW w:w="1661" w:type="dxa"/>
            <w:vMerge/>
            <w:tcBorders>
              <w:left w:val="single" w:sz="4" w:space="0" w:color="auto"/>
              <w:right w:val="single" w:sz="4" w:space="0" w:color="auto"/>
            </w:tcBorders>
          </w:tcPr>
          <w:p w14:paraId="751C0578" w14:textId="77777777" w:rsidR="00530033" w:rsidRPr="008C5F1C" w:rsidRDefault="00530033" w:rsidP="00333C71">
            <w:pPr>
              <w:spacing w:before="120" w:after="120"/>
              <w:rPr>
                <w:rFonts w:ascii="Times New Roman" w:eastAsia="Times New Roman" w:hAnsi="Times New Roman" w:cs="Times New Roman"/>
                <w:iCs/>
                <w:noProof/>
                <w:sz w:val="20"/>
              </w:rPr>
            </w:pPr>
          </w:p>
        </w:tc>
        <w:tc>
          <w:tcPr>
            <w:tcW w:w="4543" w:type="dxa"/>
            <w:vMerge/>
            <w:tcBorders>
              <w:left w:val="single" w:sz="4" w:space="0" w:color="auto"/>
              <w:right w:val="single" w:sz="4" w:space="0" w:color="auto"/>
            </w:tcBorders>
          </w:tcPr>
          <w:p w14:paraId="4F0AD3B0" w14:textId="77777777" w:rsidR="00530033" w:rsidRPr="008C5F1C" w:rsidRDefault="00530033" w:rsidP="00333C71">
            <w:pPr>
              <w:spacing w:before="120" w:after="120"/>
              <w:rPr>
                <w:rFonts w:ascii="Times New Roman" w:eastAsia="Times New Roman" w:hAnsi="Times New Roman" w:cs="Times New Roman"/>
                <w:iCs/>
                <w:noProof/>
                <w:sz w:val="20"/>
              </w:rPr>
            </w:pPr>
          </w:p>
        </w:tc>
      </w:tr>
      <w:tr w:rsidR="00530033" w:rsidRPr="008C5F1C" w14:paraId="46061165" w14:textId="77777777" w:rsidTr="00D37390">
        <w:tc>
          <w:tcPr>
            <w:tcW w:w="1450" w:type="dxa"/>
            <w:vMerge/>
            <w:tcBorders>
              <w:left w:val="single" w:sz="4" w:space="0" w:color="auto"/>
              <w:right w:val="single" w:sz="4" w:space="0" w:color="auto"/>
            </w:tcBorders>
          </w:tcPr>
          <w:p w14:paraId="4806E2DB" w14:textId="77777777" w:rsidR="00530033" w:rsidRPr="008C5F1C" w:rsidRDefault="00530033" w:rsidP="00333C71">
            <w:pPr>
              <w:spacing w:before="120" w:after="120"/>
              <w:rPr>
                <w:rFonts w:ascii="Times New Roman" w:eastAsia="Times New Roman" w:hAnsi="Times New Roman" w:cs="Times New Roman"/>
                <w:iCs/>
                <w:noProof/>
                <w:sz w:val="20"/>
              </w:rPr>
            </w:pPr>
          </w:p>
        </w:tc>
        <w:tc>
          <w:tcPr>
            <w:tcW w:w="950" w:type="dxa"/>
            <w:vMerge/>
            <w:tcBorders>
              <w:left w:val="single" w:sz="4" w:space="0" w:color="auto"/>
              <w:right w:val="single" w:sz="4" w:space="0" w:color="auto"/>
            </w:tcBorders>
          </w:tcPr>
          <w:p w14:paraId="4B39D847" w14:textId="77777777" w:rsidR="00530033" w:rsidRPr="008C5F1C" w:rsidRDefault="00530033" w:rsidP="00333C71">
            <w:pPr>
              <w:spacing w:before="120" w:after="120"/>
              <w:rPr>
                <w:rFonts w:ascii="Times New Roman" w:eastAsia="Times New Roman" w:hAnsi="Times New Roman" w:cs="Times New Roman"/>
                <w:iCs/>
                <w:noProof/>
                <w:sz w:val="20"/>
              </w:rPr>
            </w:pPr>
          </w:p>
        </w:tc>
        <w:tc>
          <w:tcPr>
            <w:tcW w:w="2067" w:type="dxa"/>
            <w:vMerge/>
            <w:tcBorders>
              <w:left w:val="single" w:sz="4" w:space="0" w:color="auto"/>
              <w:right w:val="single" w:sz="4" w:space="0" w:color="auto"/>
            </w:tcBorders>
          </w:tcPr>
          <w:p w14:paraId="052B0B24" w14:textId="77777777" w:rsidR="00530033" w:rsidRPr="008C5F1C" w:rsidRDefault="00530033" w:rsidP="00333C71">
            <w:pPr>
              <w:spacing w:before="120" w:after="120"/>
              <w:rPr>
                <w:rFonts w:ascii="Times New Roman" w:eastAsia="Times New Roman" w:hAnsi="Times New Roman" w:cs="Times New Roman"/>
                <w:iCs/>
                <w:noProof/>
                <w:sz w:val="20"/>
              </w:rPr>
            </w:pPr>
          </w:p>
        </w:tc>
        <w:tc>
          <w:tcPr>
            <w:tcW w:w="972" w:type="dxa"/>
            <w:vMerge/>
            <w:tcBorders>
              <w:left w:val="single" w:sz="4" w:space="0" w:color="auto"/>
              <w:right w:val="single" w:sz="4" w:space="0" w:color="auto"/>
            </w:tcBorders>
          </w:tcPr>
          <w:p w14:paraId="5F571468" w14:textId="77777777" w:rsidR="00530033" w:rsidRPr="008C5F1C" w:rsidRDefault="00530033" w:rsidP="00333C71">
            <w:pPr>
              <w:spacing w:before="120" w:after="120"/>
              <w:rPr>
                <w:rFonts w:ascii="Times New Roman" w:eastAsia="Times New Roman" w:hAnsi="Times New Roman" w:cs="Times New Roman"/>
                <w:iCs/>
                <w:noProof/>
                <w:sz w:val="20"/>
              </w:rPr>
            </w:pPr>
          </w:p>
        </w:tc>
        <w:tc>
          <w:tcPr>
            <w:tcW w:w="2812" w:type="dxa"/>
            <w:vMerge/>
            <w:tcBorders>
              <w:left w:val="single" w:sz="4" w:space="0" w:color="auto"/>
              <w:right w:val="single" w:sz="4" w:space="0" w:color="auto"/>
            </w:tcBorders>
          </w:tcPr>
          <w:p w14:paraId="2AB6B9B1" w14:textId="77777777" w:rsidR="00530033" w:rsidRPr="008C5F1C" w:rsidRDefault="00530033" w:rsidP="00333C71">
            <w:pPr>
              <w:spacing w:after="0" w:line="240" w:lineRule="auto"/>
              <w:rPr>
                <w:rFonts w:ascii="Times New Roman" w:eastAsia="Times New Roman" w:hAnsi="Times New Roman" w:cs="Times New Roman"/>
                <w:iCs/>
                <w:noProof/>
                <w:sz w:val="20"/>
              </w:rPr>
            </w:pPr>
          </w:p>
        </w:tc>
        <w:tc>
          <w:tcPr>
            <w:tcW w:w="1167" w:type="dxa"/>
            <w:tcBorders>
              <w:top w:val="single" w:sz="4" w:space="0" w:color="auto"/>
              <w:left w:val="single" w:sz="4" w:space="0" w:color="auto"/>
              <w:bottom w:val="single" w:sz="4" w:space="0" w:color="auto"/>
              <w:right w:val="single" w:sz="4" w:space="0" w:color="auto"/>
            </w:tcBorders>
          </w:tcPr>
          <w:p w14:paraId="3EFE81F5" w14:textId="77777777" w:rsidR="00530033" w:rsidRPr="008C5F1C" w:rsidRDefault="00530033" w:rsidP="00333C71">
            <w:pPr>
              <w:spacing w:before="120" w:after="120"/>
              <w:rPr>
                <w:rFonts w:ascii="Times New Roman" w:eastAsia="Times New Roman" w:hAnsi="Times New Roman" w:cs="Times New Roman"/>
                <w:iCs/>
                <w:noProof/>
                <w:sz w:val="20"/>
              </w:rPr>
            </w:pPr>
          </w:p>
        </w:tc>
        <w:tc>
          <w:tcPr>
            <w:tcW w:w="1661" w:type="dxa"/>
            <w:vMerge/>
            <w:tcBorders>
              <w:left w:val="single" w:sz="4" w:space="0" w:color="auto"/>
              <w:right w:val="single" w:sz="4" w:space="0" w:color="auto"/>
            </w:tcBorders>
          </w:tcPr>
          <w:p w14:paraId="44CC78DB" w14:textId="77777777" w:rsidR="00530033" w:rsidRPr="008C5F1C" w:rsidRDefault="00530033" w:rsidP="00333C71">
            <w:pPr>
              <w:spacing w:before="120" w:after="120"/>
              <w:rPr>
                <w:rFonts w:ascii="Times New Roman" w:eastAsia="Times New Roman" w:hAnsi="Times New Roman" w:cs="Times New Roman"/>
                <w:iCs/>
                <w:noProof/>
                <w:sz w:val="20"/>
              </w:rPr>
            </w:pPr>
          </w:p>
        </w:tc>
        <w:tc>
          <w:tcPr>
            <w:tcW w:w="4543" w:type="dxa"/>
            <w:vMerge/>
            <w:tcBorders>
              <w:left w:val="single" w:sz="4" w:space="0" w:color="auto"/>
              <w:right w:val="single" w:sz="4" w:space="0" w:color="auto"/>
            </w:tcBorders>
          </w:tcPr>
          <w:p w14:paraId="73455620" w14:textId="77777777" w:rsidR="00530033" w:rsidRPr="008C5F1C" w:rsidRDefault="00530033" w:rsidP="00333C71">
            <w:pPr>
              <w:spacing w:before="120" w:after="120"/>
              <w:rPr>
                <w:rFonts w:ascii="Times New Roman" w:eastAsia="Times New Roman" w:hAnsi="Times New Roman" w:cs="Times New Roman"/>
                <w:iCs/>
                <w:noProof/>
                <w:sz w:val="20"/>
              </w:rPr>
            </w:pPr>
          </w:p>
        </w:tc>
      </w:tr>
      <w:tr w:rsidR="00530033" w:rsidRPr="008C5F1C" w14:paraId="0FE42DAB" w14:textId="77777777" w:rsidTr="00D37390">
        <w:tc>
          <w:tcPr>
            <w:tcW w:w="1450" w:type="dxa"/>
            <w:vMerge/>
            <w:tcBorders>
              <w:left w:val="single" w:sz="4" w:space="0" w:color="auto"/>
              <w:right w:val="single" w:sz="4" w:space="0" w:color="auto"/>
            </w:tcBorders>
          </w:tcPr>
          <w:p w14:paraId="71D62E9F" w14:textId="77777777" w:rsidR="00530033" w:rsidRPr="008C5F1C" w:rsidRDefault="00530033" w:rsidP="00333C71">
            <w:pPr>
              <w:spacing w:before="120" w:after="120"/>
              <w:rPr>
                <w:rFonts w:ascii="Times New Roman" w:eastAsia="Times New Roman" w:hAnsi="Times New Roman" w:cs="Times New Roman"/>
                <w:iCs/>
                <w:noProof/>
                <w:sz w:val="20"/>
              </w:rPr>
            </w:pPr>
          </w:p>
        </w:tc>
        <w:tc>
          <w:tcPr>
            <w:tcW w:w="950" w:type="dxa"/>
            <w:vMerge/>
            <w:tcBorders>
              <w:left w:val="single" w:sz="4" w:space="0" w:color="auto"/>
              <w:right w:val="single" w:sz="4" w:space="0" w:color="auto"/>
            </w:tcBorders>
          </w:tcPr>
          <w:p w14:paraId="40C78F49" w14:textId="77777777" w:rsidR="00530033" w:rsidRPr="008C5F1C" w:rsidRDefault="00530033" w:rsidP="00333C71">
            <w:pPr>
              <w:spacing w:before="120" w:after="120"/>
              <w:rPr>
                <w:rFonts w:ascii="Times New Roman" w:eastAsia="Times New Roman" w:hAnsi="Times New Roman" w:cs="Times New Roman"/>
                <w:iCs/>
                <w:noProof/>
                <w:sz w:val="20"/>
              </w:rPr>
            </w:pPr>
          </w:p>
        </w:tc>
        <w:tc>
          <w:tcPr>
            <w:tcW w:w="2067" w:type="dxa"/>
            <w:vMerge/>
            <w:tcBorders>
              <w:left w:val="single" w:sz="4" w:space="0" w:color="auto"/>
              <w:right w:val="single" w:sz="4" w:space="0" w:color="auto"/>
            </w:tcBorders>
          </w:tcPr>
          <w:p w14:paraId="42D0B15F" w14:textId="77777777" w:rsidR="00530033" w:rsidRPr="008C5F1C" w:rsidRDefault="00530033" w:rsidP="00333C71">
            <w:pPr>
              <w:spacing w:before="120" w:after="120"/>
              <w:rPr>
                <w:rFonts w:ascii="Times New Roman" w:eastAsia="Times New Roman" w:hAnsi="Times New Roman" w:cs="Times New Roman"/>
                <w:iCs/>
                <w:noProof/>
                <w:sz w:val="20"/>
              </w:rPr>
            </w:pPr>
          </w:p>
        </w:tc>
        <w:tc>
          <w:tcPr>
            <w:tcW w:w="972" w:type="dxa"/>
            <w:vMerge/>
            <w:tcBorders>
              <w:left w:val="single" w:sz="4" w:space="0" w:color="auto"/>
              <w:right w:val="single" w:sz="4" w:space="0" w:color="auto"/>
            </w:tcBorders>
          </w:tcPr>
          <w:p w14:paraId="5B3158C9" w14:textId="77777777" w:rsidR="00530033" w:rsidRPr="008C5F1C" w:rsidRDefault="00530033" w:rsidP="00333C71">
            <w:pPr>
              <w:spacing w:before="120" w:after="120"/>
              <w:rPr>
                <w:rFonts w:ascii="Times New Roman" w:eastAsia="Times New Roman" w:hAnsi="Times New Roman" w:cs="Times New Roman"/>
                <w:iCs/>
                <w:noProof/>
                <w:sz w:val="20"/>
              </w:rPr>
            </w:pPr>
          </w:p>
        </w:tc>
        <w:tc>
          <w:tcPr>
            <w:tcW w:w="2812" w:type="dxa"/>
            <w:vMerge/>
            <w:tcBorders>
              <w:left w:val="single" w:sz="4" w:space="0" w:color="auto"/>
              <w:right w:val="single" w:sz="4" w:space="0" w:color="auto"/>
            </w:tcBorders>
          </w:tcPr>
          <w:p w14:paraId="0F27F79B" w14:textId="77777777" w:rsidR="00530033" w:rsidRPr="008C5F1C" w:rsidRDefault="00530033" w:rsidP="00333C71">
            <w:pPr>
              <w:spacing w:after="0" w:line="240" w:lineRule="auto"/>
              <w:rPr>
                <w:rFonts w:ascii="Times New Roman" w:eastAsia="Times New Roman" w:hAnsi="Times New Roman" w:cs="Times New Roman"/>
                <w:iCs/>
                <w:noProof/>
                <w:sz w:val="20"/>
              </w:rPr>
            </w:pPr>
          </w:p>
        </w:tc>
        <w:tc>
          <w:tcPr>
            <w:tcW w:w="1167" w:type="dxa"/>
            <w:tcBorders>
              <w:top w:val="single" w:sz="4" w:space="0" w:color="auto"/>
              <w:left w:val="single" w:sz="4" w:space="0" w:color="auto"/>
              <w:bottom w:val="single" w:sz="4" w:space="0" w:color="auto"/>
              <w:right w:val="single" w:sz="4" w:space="0" w:color="auto"/>
            </w:tcBorders>
          </w:tcPr>
          <w:p w14:paraId="0B52ADF5" w14:textId="77777777" w:rsidR="00530033" w:rsidRPr="008C5F1C" w:rsidRDefault="00530033" w:rsidP="00333C71">
            <w:pPr>
              <w:spacing w:before="120" w:after="120"/>
              <w:rPr>
                <w:rFonts w:ascii="Times New Roman" w:eastAsia="Times New Roman" w:hAnsi="Times New Roman" w:cs="Times New Roman"/>
                <w:iCs/>
                <w:noProof/>
                <w:sz w:val="20"/>
              </w:rPr>
            </w:pPr>
          </w:p>
        </w:tc>
        <w:tc>
          <w:tcPr>
            <w:tcW w:w="1661" w:type="dxa"/>
            <w:vMerge/>
            <w:tcBorders>
              <w:left w:val="single" w:sz="4" w:space="0" w:color="auto"/>
              <w:right w:val="single" w:sz="4" w:space="0" w:color="auto"/>
            </w:tcBorders>
          </w:tcPr>
          <w:p w14:paraId="7DE84FC4" w14:textId="77777777" w:rsidR="00530033" w:rsidRPr="008C5F1C" w:rsidRDefault="00530033" w:rsidP="00333C71">
            <w:pPr>
              <w:spacing w:before="120" w:after="120"/>
              <w:rPr>
                <w:rFonts w:ascii="Times New Roman" w:eastAsia="Times New Roman" w:hAnsi="Times New Roman" w:cs="Times New Roman"/>
                <w:iCs/>
                <w:noProof/>
                <w:sz w:val="20"/>
              </w:rPr>
            </w:pPr>
          </w:p>
        </w:tc>
        <w:tc>
          <w:tcPr>
            <w:tcW w:w="4543" w:type="dxa"/>
            <w:vMerge/>
            <w:tcBorders>
              <w:left w:val="single" w:sz="4" w:space="0" w:color="auto"/>
              <w:right w:val="single" w:sz="4" w:space="0" w:color="auto"/>
            </w:tcBorders>
          </w:tcPr>
          <w:p w14:paraId="54490225" w14:textId="77777777" w:rsidR="00530033" w:rsidRPr="008C5F1C" w:rsidRDefault="00530033" w:rsidP="00333C71">
            <w:pPr>
              <w:spacing w:before="120" w:after="120"/>
              <w:rPr>
                <w:rFonts w:ascii="Times New Roman" w:eastAsia="Times New Roman" w:hAnsi="Times New Roman" w:cs="Times New Roman"/>
                <w:iCs/>
                <w:noProof/>
                <w:sz w:val="20"/>
              </w:rPr>
            </w:pPr>
          </w:p>
        </w:tc>
      </w:tr>
      <w:tr w:rsidR="00530033" w:rsidRPr="008C5F1C" w14:paraId="01337858" w14:textId="77777777" w:rsidTr="00D37390">
        <w:trPr>
          <w:trHeight w:val="86"/>
        </w:trPr>
        <w:tc>
          <w:tcPr>
            <w:tcW w:w="1450" w:type="dxa"/>
            <w:vMerge/>
            <w:tcBorders>
              <w:left w:val="single" w:sz="4" w:space="0" w:color="auto"/>
              <w:bottom w:val="single" w:sz="4" w:space="0" w:color="auto"/>
              <w:right w:val="single" w:sz="4" w:space="0" w:color="auto"/>
            </w:tcBorders>
          </w:tcPr>
          <w:p w14:paraId="3FB8C5FF" w14:textId="77777777" w:rsidR="00530033" w:rsidRPr="008C5F1C" w:rsidRDefault="00530033" w:rsidP="00333C71">
            <w:pPr>
              <w:spacing w:before="120" w:after="120"/>
              <w:rPr>
                <w:rFonts w:ascii="Times New Roman" w:eastAsia="Times New Roman" w:hAnsi="Times New Roman" w:cs="Times New Roman"/>
                <w:iCs/>
                <w:noProof/>
                <w:sz w:val="20"/>
              </w:rPr>
            </w:pPr>
          </w:p>
        </w:tc>
        <w:tc>
          <w:tcPr>
            <w:tcW w:w="950" w:type="dxa"/>
            <w:vMerge/>
            <w:tcBorders>
              <w:left w:val="single" w:sz="4" w:space="0" w:color="auto"/>
              <w:bottom w:val="single" w:sz="4" w:space="0" w:color="auto"/>
              <w:right w:val="single" w:sz="4" w:space="0" w:color="auto"/>
            </w:tcBorders>
          </w:tcPr>
          <w:p w14:paraId="2E90AF6A" w14:textId="77777777" w:rsidR="00530033" w:rsidRPr="008C5F1C" w:rsidRDefault="00530033" w:rsidP="00333C71">
            <w:pPr>
              <w:spacing w:before="120" w:after="120"/>
              <w:rPr>
                <w:rFonts w:ascii="Times New Roman" w:eastAsia="Times New Roman" w:hAnsi="Times New Roman" w:cs="Times New Roman"/>
                <w:iCs/>
                <w:noProof/>
                <w:sz w:val="20"/>
              </w:rPr>
            </w:pPr>
          </w:p>
        </w:tc>
        <w:tc>
          <w:tcPr>
            <w:tcW w:w="2067" w:type="dxa"/>
            <w:vMerge/>
            <w:tcBorders>
              <w:left w:val="single" w:sz="4" w:space="0" w:color="auto"/>
              <w:bottom w:val="single" w:sz="4" w:space="0" w:color="auto"/>
              <w:right w:val="single" w:sz="4" w:space="0" w:color="auto"/>
            </w:tcBorders>
          </w:tcPr>
          <w:p w14:paraId="7FA63EEF" w14:textId="77777777" w:rsidR="00530033" w:rsidRPr="008C5F1C" w:rsidRDefault="00530033" w:rsidP="00333C71">
            <w:pPr>
              <w:spacing w:before="120" w:after="120"/>
              <w:rPr>
                <w:rFonts w:ascii="Times New Roman" w:eastAsia="Times New Roman" w:hAnsi="Times New Roman" w:cs="Times New Roman"/>
                <w:iCs/>
                <w:noProof/>
                <w:sz w:val="20"/>
              </w:rPr>
            </w:pPr>
          </w:p>
        </w:tc>
        <w:tc>
          <w:tcPr>
            <w:tcW w:w="972" w:type="dxa"/>
            <w:vMerge/>
            <w:tcBorders>
              <w:left w:val="single" w:sz="4" w:space="0" w:color="auto"/>
              <w:bottom w:val="single" w:sz="4" w:space="0" w:color="auto"/>
              <w:right w:val="single" w:sz="4" w:space="0" w:color="auto"/>
            </w:tcBorders>
          </w:tcPr>
          <w:p w14:paraId="27C95754" w14:textId="77777777" w:rsidR="00530033" w:rsidRPr="008C5F1C" w:rsidRDefault="00530033" w:rsidP="00333C71">
            <w:pPr>
              <w:spacing w:before="120" w:after="120"/>
              <w:rPr>
                <w:rFonts w:ascii="Times New Roman" w:eastAsia="Times New Roman" w:hAnsi="Times New Roman" w:cs="Times New Roman"/>
                <w:iCs/>
                <w:noProof/>
                <w:sz w:val="20"/>
              </w:rPr>
            </w:pPr>
          </w:p>
        </w:tc>
        <w:tc>
          <w:tcPr>
            <w:tcW w:w="2812" w:type="dxa"/>
            <w:vMerge/>
            <w:tcBorders>
              <w:left w:val="single" w:sz="4" w:space="0" w:color="auto"/>
              <w:bottom w:val="single" w:sz="4" w:space="0" w:color="auto"/>
              <w:right w:val="single" w:sz="4" w:space="0" w:color="auto"/>
            </w:tcBorders>
          </w:tcPr>
          <w:p w14:paraId="7227F8C5" w14:textId="77777777" w:rsidR="00530033" w:rsidRPr="008C5F1C" w:rsidRDefault="00530033" w:rsidP="00333C71">
            <w:pPr>
              <w:spacing w:after="0" w:line="240" w:lineRule="auto"/>
              <w:rPr>
                <w:rFonts w:ascii="Times New Roman" w:eastAsia="Times New Roman" w:hAnsi="Times New Roman" w:cs="Times New Roman"/>
                <w:iCs/>
                <w:noProof/>
                <w:sz w:val="20"/>
              </w:rPr>
            </w:pPr>
          </w:p>
        </w:tc>
        <w:tc>
          <w:tcPr>
            <w:tcW w:w="1167" w:type="dxa"/>
            <w:tcBorders>
              <w:top w:val="single" w:sz="4" w:space="0" w:color="auto"/>
              <w:left w:val="single" w:sz="4" w:space="0" w:color="auto"/>
              <w:bottom w:val="single" w:sz="4" w:space="0" w:color="auto"/>
              <w:right w:val="single" w:sz="4" w:space="0" w:color="auto"/>
            </w:tcBorders>
          </w:tcPr>
          <w:p w14:paraId="027F93CF" w14:textId="77777777" w:rsidR="00530033" w:rsidRPr="008C5F1C" w:rsidRDefault="00530033" w:rsidP="00333C71">
            <w:pPr>
              <w:spacing w:before="120" w:after="120"/>
              <w:rPr>
                <w:rFonts w:ascii="Times New Roman" w:eastAsia="Times New Roman" w:hAnsi="Times New Roman" w:cs="Times New Roman"/>
                <w:iCs/>
                <w:noProof/>
                <w:sz w:val="20"/>
              </w:rPr>
            </w:pPr>
          </w:p>
        </w:tc>
        <w:tc>
          <w:tcPr>
            <w:tcW w:w="1661" w:type="dxa"/>
            <w:vMerge/>
            <w:tcBorders>
              <w:left w:val="single" w:sz="4" w:space="0" w:color="auto"/>
              <w:bottom w:val="single" w:sz="4" w:space="0" w:color="auto"/>
              <w:right w:val="single" w:sz="4" w:space="0" w:color="auto"/>
            </w:tcBorders>
          </w:tcPr>
          <w:p w14:paraId="73561196" w14:textId="77777777" w:rsidR="00530033" w:rsidRPr="008C5F1C" w:rsidRDefault="00530033" w:rsidP="00333C71">
            <w:pPr>
              <w:spacing w:before="120" w:after="120"/>
              <w:rPr>
                <w:rFonts w:ascii="Times New Roman" w:eastAsia="Times New Roman" w:hAnsi="Times New Roman" w:cs="Times New Roman"/>
                <w:iCs/>
                <w:noProof/>
                <w:sz w:val="20"/>
              </w:rPr>
            </w:pPr>
          </w:p>
        </w:tc>
        <w:tc>
          <w:tcPr>
            <w:tcW w:w="4543" w:type="dxa"/>
            <w:vMerge/>
            <w:tcBorders>
              <w:left w:val="single" w:sz="4" w:space="0" w:color="auto"/>
              <w:bottom w:val="single" w:sz="4" w:space="0" w:color="auto"/>
              <w:right w:val="single" w:sz="4" w:space="0" w:color="auto"/>
            </w:tcBorders>
          </w:tcPr>
          <w:p w14:paraId="47ED99D6" w14:textId="77777777" w:rsidR="00530033" w:rsidRPr="008C5F1C" w:rsidRDefault="00530033" w:rsidP="00333C71">
            <w:pPr>
              <w:spacing w:before="120" w:after="120"/>
              <w:rPr>
                <w:rFonts w:ascii="Times New Roman" w:eastAsia="Times New Roman" w:hAnsi="Times New Roman" w:cs="Times New Roman"/>
                <w:iCs/>
                <w:noProof/>
                <w:sz w:val="20"/>
              </w:rPr>
            </w:pPr>
          </w:p>
        </w:tc>
      </w:tr>
      <w:tr w:rsidR="00950445" w:rsidRPr="008C5F1C" w14:paraId="339AADFE" w14:textId="77777777" w:rsidTr="00D37390">
        <w:trPr>
          <w:trHeight w:val="86"/>
        </w:trPr>
        <w:tc>
          <w:tcPr>
            <w:tcW w:w="1450" w:type="dxa"/>
            <w:tcBorders>
              <w:left w:val="single" w:sz="4" w:space="0" w:color="auto"/>
              <w:right w:val="single" w:sz="4" w:space="0" w:color="auto"/>
            </w:tcBorders>
          </w:tcPr>
          <w:p w14:paraId="2E9C7407" w14:textId="77777777" w:rsidR="00950445" w:rsidRPr="008C5F1C" w:rsidRDefault="00950445" w:rsidP="00333C71">
            <w:pPr>
              <w:spacing w:before="120" w:after="120"/>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lastRenderedPageBreak/>
              <w:t>Un cadru de politic</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 xml:space="preserve"> strategic pentru sprijinirea renov</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rilor destinate s</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 xml:space="preserve"> îmbun</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t</w:t>
            </w:r>
            <w:r w:rsidR="00BA7827" w:rsidRPr="008C5F1C">
              <w:rPr>
                <w:rFonts w:ascii="Times New Roman" w:eastAsia="Times New Roman" w:hAnsi="Times New Roman" w:cs="Times New Roman"/>
                <w:iCs/>
                <w:noProof/>
                <w:sz w:val="20"/>
              </w:rPr>
              <w:t>ă</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easc</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 xml:space="preserve"> eficien</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a energetic</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 xml:space="preserve"> a cl</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dirilor reziden</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 xml:space="preserve">iale </w:t>
            </w:r>
            <w:r w:rsidR="00106240" w:rsidRPr="008C5F1C">
              <w:rPr>
                <w:rFonts w:ascii="Times New Roman" w:eastAsia="Times New Roman" w:hAnsi="Times New Roman" w:cs="Times New Roman"/>
                <w:iCs/>
                <w:noProof/>
                <w:sz w:val="20"/>
              </w:rPr>
              <w:t>ș</w:t>
            </w:r>
            <w:r w:rsidRPr="008C5F1C">
              <w:rPr>
                <w:rFonts w:ascii="Times New Roman" w:eastAsia="Times New Roman" w:hAnsi="Times New Roman" w:cs="Times New Roman"/>
                <w:iCs/>
                <w:noProof/>
                <w:sz w:val="20"/>
              </w:rPr>
              <w:t>i nereziden</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iale</w:t>
            </w:r>
          </w:p>
        </w:tc>
        <w:tc>
          <w:tcPr>
            <w:tcW w:w="950" w:type="dxa"/>
            <w:tcBorders>
              <w:left w:val="single" w:sz="4" w:space="0" w:color="auto"/>
              <w:right w:val="single" w:sz="4" w:space="0" w:color="auto"/>
            </w:tcBorders>
          </w:tcPr>
          <w:p w14:paraId="431C02E4" w14:textId="77777777" w:rsidR="00950445" w:rsidRPr="008C5F1C" w:rsidRDefault="00950445" w:rsidP="00333C71">
            <w:pPr>
              <w:spacing w:before="120" w:after="120"/>
              <w:rPr>
                <w:rFonts w:ascii="Times New Roman" w:eastAsia="Times New Roman" w:hAnsi="Times New Roman" w:cs="Times New Roman"/>
                <w:iCs/>
                <w:noProof/>
                <w:sz w:val="20"/>
              </w:rPr>
            </w:pPr>
          </w:p>
        </w:tc>
        <w:tc>
          <w:tcPr>
            <w:tcW w:w="2067" w:type="dxa"/>
            <w:tcBorders>
              <w:left w:val="single" w:sz="4" w:space="0" w:color="auto"/>
              <w:right w:val="single" w:sz="4" w:space="0" w:color="auto"/>
            </w:tcBorders>
          </w:tcPr>
          <w:p w14:paraId="24A7BBB6" w14:textId="77777777" w:rsidR="00950445" w:rsidRPr="008C5F1C" w:rsidRDefault="00950445" w:rsidP="00333C71">
            <w:pPr>
              <w:spacing w:before="120" w:after="120"/>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b (i) Promovarea eficien</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 xml:space="preserve">ei energetice </w:t>
            </w:r>
            <w:r w:rsidR="00106240" w:rsidRPr="008C5F1C">
              <w:rPr>
                <w:rFonts w:ascii="Times New Roman" w:eastAsia="Times New Roman" w:hAnsi="Times New Roman" w:cs="Times New Roman"/>
                <w:iCs/>
                <w:noProof/>
                <w:sz w:val="20"/>
              </w:rPr>
              <w:t>ș</w:t>
            </w:r>
            <w:r w:rsidRPr="008C5F1C">
              <w:rPr>
                <w:rFonts w:ascii="Times New Roman" w:eastAsia="Times New Roman" w:hAnsi="Times New Roman" w:cs="Times New Roman"/>
                <w:iCs/>
                <w:noProof/>
                <w:sz w:val="20"/>
              </w:rPr>
              <w:t>i reducerea emisiilor de gaze cu efect de ser</w:t>
            </w:r>
            <w:r w:rsidR="00BA7827" w:rsidRPr="008C5F1C">
              <w:rPr>
                <w:rFonts w:ascii="Times New Roman" w:eastAsia="Times New Roman" w:hAnsi="Times New Roman" w:cs="Times New Roman"/>
                <w:iCs/>
                <w:noProof/>
                <w:sz w:val="20"/>
              </w:rPr>
              <w:t>ă</w:t>
            </w:r>
          </w:p>
        </w:tc>
        <w:tc>
          <w:tcPr>
            <w:tcW w:w="972" w:type="dxa"/>
            <w:tcBorders>
              <w:top w:val="single" w:sz="4" w:space="0" w:color="auto"/>
              <w:left w:val="single" w:sz="4" w:space="0" w:color="auto"/>
              <w:bottom w:val="single" w:sz="4" w:space="0" w:color="auto"/>
              <w:right w:val="single" w:sz="4" w:space="0" w:color="auto"/>
            </w:tcBorders>
          </w:tcPr>
          <w:p w14:paraId="51D8ECDD" w14:textId="77777777" w:rsidR="00950445" w:rsidRPr="008C5F1C" w:rsidRDefault="00950445" w:rsidP="00333C71">
            <w:pPr>
              <w:spacing w:before="120" w:after="120"/>
              <w:rPr>
                <w:rFonts w:ascii="Times New Roman" w:eastAsia="Times New Roman" w:hAnsi="Times New Roman" w:cs="Times New Roman"/>
                <w:iCs/>
                <w:noProof/>
                <w:sz w:val="20"/>
              </w:rPr>
            </w:pPr>
          </w:p>
        </w:tc>
        <w:tc>
          <w:tcPr>
            <w:tcW w:w="2812" w:type="dxa"/>
            <w:tcBorders>
              <w:top w:val="single" w:sz="4" w:space="0" w:color="auto"/>
              <w:left w:val="single" w:sz="4" w:space="0" w:color="auto"/>
              <w:bottom w:val="single" w:sz="4" w:space="0" w:color="auto"/>
              <w:right w:val="single" w:sz="4" w:space="0" w:color="auto"/>
            </w:tcBorders>
          </w:tcPr>
          <w:p w14:paraId="0A03B986" w14:textId="77777777" w:rsidR="00950445" w:rsidRPr="008C5F1C" w:rsidRDefault="00950445" w:rsidP="00333C71">
            <w:pPr>
              <w:spacing w:after="0" w:line="240" w:lineRule="auto"/>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C1. Este adoptat</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 xml:space="preserve"> o strategie na</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ional</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 xml:space="preserve"> de renovare pe termen lung pentru sprijinirea renov</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rii parcului na</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ional de cl</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diri reziden</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 xml:space="preserve">iale </w:t>
            </w:r>
            <w:r w:rsidR="00106240" w:rsidRPr="008C5F1C">
              <w:rPr>
                <w:rFonts w:ascii="Times New Roman" w:eastAsia="Times New Roman" w:hAnsi="Times New Roman" w:cs="Times New Roman"/>
                <w:iCs/>
                <w:noProof/>
                <w:sz w:val="20"/>
              </w:rPr>
              <w:t>ș</w:t>
            </w:r>
            <w:r w:rsidRPr="008C5F1C">
              <w:rPr>
                <w:rFonts w:ascii="Times New Roman" w:eastAsia="Times New Roman" w:hAnsi="Times New Roman" w:cs="Times New Roman"/>
                <w:iCs/>
                <w:noProof/>
                <w:sz w:val="20"/>
              </w:rPr>
              <w:t>i nereziden</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iale, în conformitate cu cerin</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ele Directivei 2010/31/UE privind performan</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a energetic</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 xml:space="preserve"> a cl</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dirilor, care:</w:t>
            </w:r>
          </w:p>
          <w:p w14:paraId="4BF0F7FC" w14:textId="77777777" w:rsidR="00950445" w:rsidRPr="008C5F1C" w:rsidRDefault="00950445" w:rsidP="00F729F2">
            <w:pPr>
              <w:pStyle w:val="ListParagraph"/>
              <w:numPr>
                <w:ilvl w:val="0"/>
                <w:numId w:val="63"/>
              </w:numPr>
              <w:spacing w:before="0" w:after="0" w:line="240" w:lineRule="auto"/>
              <w:ind w:left="461" w:hanging="283"/>
              <w:rPr>
                <w:rFonts w:eastAsia="Times New Roman"/>
                <w:iCs/>
                <w:noProof/>
                <w:sz w:val="20"/>
                <w:lang w:val="ro-RO"/>
              </w:rPr>
            </w:pPr>
            <w:r w:rsidRPr="008C5F1C">
              <w:rPr>
                <w:rFonts w:eastAsia="Times New Roman"/>
                <w:iCs/>
                <w:noProof/>
                <w:sz w:val="20"/>
                <w:lang w:val="ro-RO"/>
              </w:rPr>
              <w:t>a.implic</w:t>
            </w:r>
            <w:r w:rsidR="00BA7827" w:rsidRPr="008C5F1C">
              <w:rPr>
                <w:rFonts w:eastAsia="Times New Roman"/>
                <w:iCs/>
                <w:noProof/>
                <w:sz w:val="20"/>
                <w:lang w:val="ro-RO"/>
              </w:rPr>
              <w:t>ă</w:t>
            </w:r>
            <w:r w:rsidRPr="008C5F1C">
              <w:rPr>
                <w:rFonts w:eastAsia="Times New Roman"/>
                <w:iCs/>
                <w:noProof/>
                <w:sz w:val="20"/>
                <w:lang w:val="ro-RO"/>
              </w:rPr>
              <w:t xml:space="preserve"> obiective de etap</w:t>
            </w:r>
            <w:r w:rsidR="00BA7827" w:rsidRPr="008C5F1C">
              <w:rPr>
                <w:rFonts w:eastAsia="Times New Roman"/>
                <w:iCs/>
                <w:noProof/>
                <w:sz w:val="20"/>
                <w:lang w:val="ro-RO"/>
              </w:rPr>
              <w:t>ă</w:t>
            </w:r>
            <w:r w:rsidRPr="008C5F1C">
              <w:rPr>
                <w:rFonts w:eastAsia="Times New Roman"/>
                <w:iCs/>
                <w:noProof/>
                <w:sz w:val="20"/>
                <w:lang w:val="ro-RO"/>
              </w:rPr>
              <w:t xml:space="preserve"> orientative pentru 2030 </w:t>
            </w:r>
            <w:r w:rsidR="00106240" w:rsidRPr="008C5F1C">
              <w:rPr>
                <w:rFonts w:eastAsia="Times New Roman"/>
                <w:iCs/>
                <w:noProof/>
                <w:sz w:val="20"/>
                <w:lang w:val="ro-RO"/>
              </w:rPr>
              <w:t>ș</w:t>
            </w:r>
            <w:r w:rsidRPr="008C5F1C">
              <w:rPr>
                <w:rFonts w:eastAsia="Times New Roman"/>
                <w:iCs/>
                <w:noProof/>
                <w:sz w:val="20"/>
                <w:lang w:val="ro-RO"/>
              </w:rPr>
              <w:t xml:space="preserve">i 2040, </w:t>
            </w:r>
            <w:r w:rsidR="00106240" w:rsidRPr="008C5F1C">
              <w:rPr>
                <w:rFonts w:eastAsia="Times New Roman"/>
                <w:iCs/>
                <w:noProof/>
                <w:sz w:val="20"/>
                <w:lang w:val="ro-RO"/>
              </w:rPr>
              <w:t>ș</w:t>
            </w:r>
            <w:r w:rsidRPr="008C5F1C">
              <w:rPr>
                <w:rFonts w:eastAsia="Times New Roman"/>
                <w:iCs/>
                <w:noProof/>
                <w:sz w:val="20"/>
                <w:lang w:val="ro-RO"/>
              </w:rPr>
              <w:t xml:space="preserve">i </w:t>
            </w:r>
            <w:r w:rsidR="00E22FF2" w:rsidRPr="008C5F1C">
              <w:rPr>
                <w:rFonts w:eastAsia="Times New Roman"/>
                <w:iCs/>
                <w:noProof/>
                <w:sz w:val="20"/>
                <w:lang w:val="ro-RO"/>
              </w:rPr>
              <w:t>ț</w:t>
            </w:r>
            <w:r w:rsidRPr="008C5F1C">
              <w:rPr>
                <w:rFonts w:eastAsia="Times New Roman"/>
                <w:iCs/>
                <w:noProof/>
                <w:sz w:val="20"/>
                <w:lang w:val="ro-RO"/>
              </w:rPr>
              <w:t>inte pentru 2050</w:t>
            </w:r>
          </w:p>
          <w:p w14:paraId="76666220" w14:textId="77777777" w:rsidR="00950445" w:rsidRPr="008C5F1C" w:rsidRDefault="00950445" w:rsidP="00F729F2">
            <w:pPr>
              <w:pStyle w:val="ListParagraph"/>
              <w:numPr>
                <w:ilvl w:val="0"/>
                <w:numId w:val="63"/>
              </w:numPr>
              <w:spacing w:before="0" w:after="0" w:line="240" w:lineRule="auto"/>
              <w:ind w:left="461" w:hanging="283"/>
              <w:rPr>
                <w:rFonts w:eastAsia="Times New Roman"/>
                <w:iCs/>
                <w:noProof/>
                <w:sz w:val="20"/>
                <w:lang w:val="ro-RO"/>
              </w:rPr>
            </w:pPr>
            <w:r w:rsidRPr="008C5F1C">
              <w:rPr>
                <w:rFonts w:eastAsia="Times New Roman"/>
                <w:iCs/>
                <w:noProof/>
                <w:sz w:val="20"/>
                <w:lang w:val="ro-RO"/>
              </w:rPr>
              <w:t>b.ofer</w:t>
            </w:r>
            <w:r w:rsidR="00BA7827" w:rsidRPr="008C5F1C">
              <w:rPr>
                <w:rFonts w:eastAsia="Times New Roman"/>
                <w:iCs/>
                <w:noProof/>
                <w:sz w:val="20"/>
                <w:lang w:val="ro-RO"/>
              </w:rPr>
              <w:t>ă</w:t>
            </w:r>
            <w:r w:rsidRPr="008C5F1C">
              <w:rPr>
                <w:rFonts w:eastAsia="Times New Roman"/>
                <w:iCs/>
                <w:noProof/>
                <w:sz w:val="20"/>
                <w:lang w:val="ro-RO"/>
              </w:rPr>
              <w:t xml:space="preserve"> o descriere orientativ</w:t>
            </w:r>
            <w:r w:rsidR="00BA7827" w:rsidRPr="008C5F1C">
              <w:rPr>
                <w:rFonts w:eastAsia="Times New Roman"/>
                <w:iCs/>
                <w:noProof/>
                <w:sz w:val="20"/>
                <w:lang w:val="ro-RO"/>
              </w:rPr>
              <w:t>ă</w:t>
            </w:r>
            <w:r w:rsidRPr="008C5F1C">
              <w:rPr>
                <w:rFonts w:eastAsia="Times New Roman"/>
                <w:iCs/>
                <w:noProof/>
                <w:sz w:val="20"/>
                <w:lang w:val="ro-RO"/>
              </w:rPr>
              <w:t xml:space="preserve"> a resurselor bugetare necesare pentru a sprijini implementarea strategiei</w:t>
            </w:r>
          </w:p>
          <w:p w14:paraId="50CF4ED3" w14:textId="77777777" w:rsidR="00950445" w:rsidRPr="008C5F1C" w:rsidRDefault="00950445" w:rsidP="00F729F2">
            <w:pPr>
              <w:pStyle w:val="ListParagraph"/>
              <w:numPr>
                <w:ilvl w:val="0"/>
                <w:numId w:val="63"/>
              </w:numPr>
              <w:spacing w:before="0" w:after="0" w:line="240" w:lineRule="auto"/>
              <w:ind w:left="461" w:hanging="283"/>
              <w:rPr>
                <w:rFonts w:eastAsia="Times New Roman"/>
                <w:iCs/>
                <w:noProof/>
                <w:sz w:val="20"/>
                <w:lang w:val="ro-RO"/>
              </w:rPr>
            </w:pPr>
            <w:r w:rsidRPr="008C5F1C">
              <w:rPr>
                <w:rFonts w:eastAsia="Times New Roman"/>
                <w:iCs/>
                <w:noProof/>
                <w:sz w:val="20"/>
                <w:lang w:val="ro-RO"/>
              </w:rPr>
              <w:t>c.define</w:t>
            </w:r>
            <w:r w:rsidR="00106240" w:rsidRPr="008C5F1C">
              <w:rPr>
                <w:rFonts w:eastAsia="Times New Roman"/>
                <w:iCs/>
                <w:noProof/>
                <w:sz w:val="20"/>
                <w:lang w:val="ro-RO"/>
              </w:rPr>
              <w:t>ș</w:t>
            </w:r>
            <w:r w:rsidRPr="008C5F1C">
              <w:rPr>
                <w:rFonts w:eastAsia="Times New Roman"/>
                <w:iCs/>
                <w:noProof/>
                <w:sz w:val="20"/>
                <w:lang w:val="ro-RO"/>
              </w:rPr>
              <w:t>te mecanisme eficace pentru promovarea investi</w:t>
            </w:r>
            <w:r w:rsidR="00E22FF2" w:rsidRPr="008C5F1C">
              <w:rPr>
                <w:rFonts w:eastAsia="Times New Roman"/>
                <w:iCs/>
                <w:noProof/>
                <w:sz w:val="20"/>
                <w:lang w:val="ro-RO"/>
              </w:rPr>
              <w:t>ț</w:t>
            </w:r>
            <w:r w:rsidRPr="008C5F1C">
              <w:rPr>
                <w:rFonts w:eastAsia="Times New Roman"/>
                <w:iCs/>
                <w:noProof/>
                <w:sz w:val="20"/>
                <w:lang w:val="ro-RO"/>
              </w:rPr>
              <w:t>iilor în renovarea cl</w:t>
            </w:r>
            <w:r w:rsidR="00BA7827" w:rsidRPr="008C5F1C">
              <w:rPr>
                <w:rFonts w:eastAsia="Times New Roman"/>
                <w:iCs/>
                <w:noProof/>
                <w:sz w:val="20"/>
                <w:lang w:val="ro-RO"/>
              </w:rPr>
              <w:t>ă</w:t>
            </w:r>
            <w:r w:rsidRPr="008C5F1C">
              <w:rPr>
                <w:rFonts w:eastAsia="Times New Roman"/>
                <w:iCs/>
                <w:noProof/>
                <w:sz w:val="20"/>
                <w:lang w:val="ro-RO"/>
              </w:rPr>
              <w:t>dirilor</w:t>
            </w:r>
          </w:p>
          <w:p w14:paraId="3C0FCF64" w14:textId="77777777" w:rsidR="00950445" w:rsidRPr="008C5F1C" w:rsidRDefault="00950445" w:rsidP="00333C71">
            <w:pPr>
              <w:spacing w:after="0" w:line="240" w:lineRule="auto"/>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C2. M</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suri de îmbun</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t</w:t>
            </w:r>
            <w:r w:rsidR="00BA7827" w:rsidRPr="008C5F1C">
              <w:rPr>
                <w:rFonts w:ascii="Times New Roman" w:eastAsia="Times New Roman" w:hAnsi="Times New Roman" w:cs="Times New Roman"/>
                <w:iCs/>
                <w:noProof/>
                <w:sz w:val="20"/>
              </w:rPr>
              <w:t>ă</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ire a eficien</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ei energetice pentru a realiza economiile de energie necesare</w:t>
            </w:r>
          </w:p>
        </w:tc>
        <w:tc>
          <w:tcPr>
            <w:tcW w:w="1167" w:type="dxa"/>
            <w:tcBorders>
              <w:top w:val="single" w:sz="4" w:space="0" w:color="auto"/>
              <w:left w:val="single" w:sz="4" w:space="0" w:color="auto"/>
              <w:bottom w:val="single" w:sz="4" w:space="0" w:color="auto"/>
              <w:right w:val="single" w:sz="4" w:space="0" w:color="auto"/>
            </w:tcBorders>
          </w:tcPr>
          <w:p w14:paraId="459407E5" w14:textId="77777777" w:rsidR="00950445" w:rsidRPr="008C5F1C" w:rsidRDefault="00950445" w:rsidP="00333C71">
            <w:pPr>
              <w:spacing w:before="120" w:after="120"/>
              <w:rPr>
                <w:rFonts w:ascii="Times New Roman" w:eastAsia="Times New Roman" w:hAnsi="Times New Roman" w:cs="Times New Roman"/>
                <w:iCs/>
                <w:noProof/>
                <w:sz w:val="20"/>
              </w:rPr>
            </w:pPr>
          </w:p>
        </w:tc>
        <w:tc>
          <w:tcPr>
            <w:tcW w:w="1661" w:type="dxa"/>
            <w:tcBorders>
              <w:top w:val="single" w:sz="4" w:space="0" w:color="auto"/>
              <w:left w:val="single" w:sz="4" w:space="0" w:color="auto"/>
              <w:bottom w:val="single" w:sz="4" w:space="0" w:color="auto"/>
              <w:right w:val="single" w:sz="4" w:space="0" w:color="auto"/>
            </w:tcBorders>
          </w:tcPr>
          <w:p w14:paraId="6BCB0557" w14:textId="77777777" w:rsidR="00950445" w:rsidRPr="008C5F1C" w:rsidRDefault="00530033" w:rsidP="00333C71">
            <w:pPr>
              <w:spacing w:before="120" w:after="120"/>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Memorandumul cu tema: măsuri necesare îndeplinirii condiției favorizante – un cadru de politică strategic pentru sprijinirea renovărilor destinate să îmbunătățească eficiența energetică a clădirilor rezidențiale și nerezidențiale în ședința de Guvern din 1 aprilie 2019.</w:t>
            </w:r>
          </w:p>
          <w:p w14:paraId="5AFFAA7D" w14:textId="16E1F75D" w:rsidR="00530033" w:rsidRPr="008C5F1C" w:rsidRDefault="00530033" w:rsidP="00333C71">
            <w:pPr>
              <w:spacing w:before="120" w:after="120"/>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Strategia de Renovare pe Termen Lung – SRTL (aplicabilă clădirilor rezidențiale, publice, comerciale) elaborată de MLPDA</w:t>
            </w:r>
          </w:p>
        </w:tc>
        <w:tc>
          <w:tcPr>
            <w:tcW w:w="4543" w:type="dxa"/>
            <w:tcBorders>
              <w:top w:val="single" w:sz="4" w:space="0" w:color="auto"/>
              <w:left w:val="single" w:sz="4" w:space="0" w:color="auto"/>
              <w:bottom w:val="single" w:sz="4" w:space="0" w:color="auto"/>
              <w:right w:val="single" w:sz="4" w:space="0" w:color="auto"/>
            </w:tcBorders>
          </w:tcPr>
          <w:p w14:paraId="7FA74C5D" w14:textId="77777777" w:rsidR="00530033" w:rsidRPr="008C5F1C" w:rsidRDefault="00530033" w:rsidP="00530033">
            <w:pPr>
              <w:spacing w:before="120" w:after="120"/>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Pentru îndeplinirea condiției favorizante a fost elaborat un plan de acțiune aprobat prin Memorandumul cu tema: măsuri necesare îndeplinirii condiției favorizante – un cadru de politică strategic pentru sprijinirea renovărilor destinate să îmbunătățească eficiența energetică a clădirilor rezidențiale și nerezidențiale în ședința de Guvern din 1 aprilie 2019. Prin acest plan de acțiune, Ministerul Lucrărilor Publice, Dezvoltării și Administrației (MLPDA) și-a asumat elaborarea Strategiei naționale de renovare pe termen lung pentru sprijinirea renovării parcului național de clădiri rezidențiale și nerezidențiale.</w:t>
            </w:r>
          </w:p>
          <w:p w14:paraId="50298CA9" w14:textId="77777777" w:rsidR="00530033" w:rsidRPr="008C5F1C" w:rsidRDefault="00530033" w:rsidP="00530033">
            <w:pPr>
              <w:spacing w:before="120" w:after="120"/>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Strategia de Renovare pe Termen Lung – SRTL (aplicabilă clădirilor rezidențiale, publice, comerciale) elaborată de MLPDA, identifica noi măsuri de îmbunătățire a eficienței energetice a stocului existent de clădiri prin reducerea consumului de energie, a emisiilor de carbon și dezvoltarea la scară largă a utilizării surselor de energie regenerabilă în clădiri prin măsuri de reabilitare sau renovare a clădirilor</w:t>
            </w:r>
          </w:p>
          <w:p w14:paraId="6506196B" w14:textId="77777777" w:rsidR="00530033" w:rsidRPr="008C5F1C" w:rsidRDefault="00530033" w:rsidP="00530033">
            <w:pPr>
              <w:spacing w:before="120" w:after="120"/>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Proiectul de strategie a fost finalizat, în acest moment fiind în desfășurare procedura de aprobare prin Hotărâre de Guvern.</w:t>
            </w:r>
          </w:p>
          <w:p w14:paraId="1D3C767F" w14:textId="3609F889" w:rsidR="00950445" w:rsidRPr="008C5F1C" w:rsidRDefault="00530033" w:rsidP="00530033">
            <w:pPr>
              <w:spacing w:before="120" w:after="120"/>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Prima versiune a autoevaluării naționale privind măsurile întreprinse de autoritățile române pentru îndeplinirea criteriilor aferente acestei condiții a fost transmisă Comisiei Europene.</w:t>
            </w:r>
          </w:p>
        </w:tc>
      </w:tr>
      <w:tr w:rsidR="00950445" w:rsidRPr="008C5F1C" w14:paraId="16739DB1" w14:textId="77777777" w:rsidTr="00D37390">
        <w:trPr>
          <w:trHeight w:val="86"/>
        </w:trPr>
        <w:tc>
          <w:tcPr>
            <w:tcW w:w="1450" w:type="dxa"/>
            <w:tcBorders>
              <w:left w:val="single" w:sz="4" w:space="0" w:color="auto"/>
              <w:bottom w:val="single" w:sz="4" w:space="0" w:color="auto"/>
              <w:right w:val="single" w:sz="4" w:space="0" w:color="auto"/>
            </w:tcBorders>
          </w:tcPr>
          <w:p w14:paraId="5011CA88" w14:textId="77777777" w:rsidR="00950445" w:rsidRPr="008C5F1C" w:rsidRDefault="00950445" w:rsidP="00333C71">
            <w:pPr>
              <w:spacing w:before="120" w:after="120"/>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Planificarea global</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 xml:space="preserve"> a transporturilor </w:t>
            </w:r>
            <w:r w:rsidRPr="008C5F1C">
              <w:rPr>
                <w:rFonts w:ascii="Times New Roman" w:eastAsia="Times New Roman" w:hAnsi="Times New Roman" w:cs="Times New Roman"/>
                <w:iCs/>
                <w:noProof/>
                <w:sz w:val="20"/>
              </w:rPr>
              <w:lastRenderedPageBreak/>
              <w:t>la nivelul corespunz</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tor</w:t>
            </w:r>
          </w:p>
        </w:tc>
        <w:tc>
          <w:tcPr>
            <w:tcW w:w="950" w:type="dxa"/>
            <w:tcBorders>
              <w:left w:val="single" w:sz="4" w:space="0" w:color="auto"/>
              <w:bottom w:val="single" w:sz="4" w:space="0" w:color="auto"/>
              <w:right w:val="single" w:sz="4" w:space="0" w:color="auto"/>
            </w:tcBorders>
          </w:tcPr>
          <w:p w14:paraId="55939467" w14:textId="77777777" w:rsidR="00950445" w:rsidRPr="008C5F1C" w:rsidRDefault="00950445" w:rsidP="00333C71">
            <w:pPr>
              <w:spacing w:before="120" w:after="120"/>
              <w:rPr>
                <w:rFonts w:ascii="Times New Roman" w:eastAsia="Times New Roman" w:hAnsi="Times New Roman" w:cs="Times New Roman"/>
                <w:iCs/>
                <w:noProof/>
                <w:sz w:val="20"/>
              </w:rPr>
            </w:pPr>
          </w:p>
        </w:tc>
        <w:tc>
          <w:tcPr>
            <w:tcW w:w="2067" w:type="dxa"/>
            <w:tcBorders>
              <w:left w:val="single" w:sz="4" w:space="0" w:color="auto"/>
              <w:bottom w:val="single" w:sz="4" w:space="0" w:color="auto"/>
              <w:right w:val="single" w:sz="4" w:space="0" w:color="auto"/>
            </w:tcBorders>
          </w:tcPr>
          <w:p w14:paraId="0358C298" w14:textId="135A2521" w:rsidR="00950445" w:rsidRPr="008C5F1C" w:rsidRDefault="00950445" w:rsidP="00333C71">
            <w:pPr>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c (iii) Dezvoltarea unei mobilit</w:t>
            </w:r>
            <w:r w:rsidR="00BA7827" w:rsidRPr="008C5F1C">
              <w:rPr>
                <w:rFonts w:ascii="Times New Roman" w:eastAsia="Times New Roman" w:hAnsi="Times New Roman" w:cs="Times New Roman"/>
                <w:iCs/>
                <w:noProof/>
                <w:sz w:val="20"/>
              </w:rPr>
              <w:t>ă</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i na</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 xml:space="preserve">ionale, regionale </w:t>
            </w:r>
            <w:r w:rsidR="00106240" w:rsidRPr="008C5F1C">
              <w:rPr>
                <w:rFonts w:ascii="Times New Roman" w:eastAsia="Times New Roman" w:hAnsi="Times New Roman" w:cs="Times New Roman"/>
                <w:iCs/>
                <w:noProof/>
                <w:sz w:val="20"/>
              </w:rPr>
              <w:t>ș</w:t>
            </w:r>
            <w:r w:rsidRPr="008C5F1C">
              <w:rPr>
                <w:rFonts w:ascii="Times New Roman" w:eastAsia="Times New Roman" w:hAnsi="Times New Roman" w:cs="Times New Roman"/>
                <w:iCs/>
                <w:noProof/>
                <w:sz w:val="20"/>
              </w:rPr>
              <w:t xml:space="preserve">i locale </w:t>
            </w:r>
            <w:r w:rsidRPr="008C5F1C">
              <w:rPr>
                <w:rFonts w:ascii="Times New Roman" w:eastAsia="Times New Roman" w:hAnsi="Times New Roman" w:cs="Times New Roman"/>
                <w:iCs/>
                <w:noProof/>
                <w:sz w:val="20"/>
              </w:rPr>
              <w:lastRenderedPageBreak/>
              <w:t>durabile, reziliente în fa</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a schimb</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 xml:space="preserve">rilor climatice, inteligente </w:t>
            </w:r>
            <w:r w:rsidR="00106240" w:rsidRPr="008C5F1C">
              <w:rPr>
                <w:rFonts w:ascii="Times New Roman" w:eastAsia="Times New Roman" w:hAnsi="Times New Roman" w:cs="Times New Roman"/>
                <w:iCs/>
                <w:noProof/>
                <w:sz w:val="20"/>
              </w:rPr>
              <w:t>ș</w:t>
            </w:r>
            <w:r w:rsidRPr="008C5F1C">
              <w:rPr>
                <w:rFonts w:ascii="Times New Roman" w:eastAsia="Times New Roman" w:hAnsi="Times New Roman" w:cs="Times New Roman"/>
                <w:iCs/>
                <w:noProof/>
                <w:sz w:val="20"/>
              </w:rPr>
              <w:t>i intermodale, inclusiv îmbun</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t</w:t>
            </w:r>
            <w:r w:rsidR="00BA7827" w:rsidRPr="008C5F1C">
              <w:rPr>
                <w:rFonts w:ascii="Times New Roman" w:eastAsia="Times New Roman" w:hAnsi="Times New Roman" w:cs="Times New Roman"/>
                <w:iCs/>
                <w:noProof/>
                <w:sz w:val="20"/>
              </w:rPr>
              <w:t>ă</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 xml:space="preserve">irea accesului la TEN-T </w:t>
            </w:r>
            <w:r w:rsidR="00106240" w:rsidRPr="008C5F1C">
              <w:rPr>
                <w:rFonts w:ascii="Times New Roman" w:eastAsia="Times New Roman" w:hAnsi="Times New Roman" w:cs="Times New Roman"/>
                <w:iCs/>
                <w:noProof/>
                <w:sz w:val="20"/>
              </w:rPr>
              <w:t>ș</w:t>
            </w:r>
            <w:r w:rsidRPr="008C5F1C">
              <w:rPr>
                <w:rFonts w:ascii="Times New Roman" w:eastAsia="Times New Roman" w:hAnsi="Times New Roman" w:cs="Times New Roman"/>
                <w:iCs/>
                <w:noProof/>
                <w:sz w:val="20"/>
              </w:rPr>
              <w:t>i a mobilit</w:t>
            </w:r>
            <w:r w:rsidR="00BA7827" w:rsidRPr="008C5F1C">
              <w:rPr>
                <w:rFonts w:ascii="Times New Roman" w:eastAsia="Times New Roman" w:hAnsi="Times New Roman" w:cs="Times New Roman"/>
                <w:iCs/>
                <w:noProof/>
                <w:sz w:val="20"/>
              </w:rPr>
              <w:t>ă</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ii transfrontaliere</w:t>
            </w:r>
          </w:p>
          <w:p w14:paraId="7F2DF55E" w14:textId="77777777" w:rsidR="00950445" w:rsidRPr="008C5F1C" w:rsidRDefault="00950445" w:rsidP="00333C71">
            <w:pPr>
              <w:spacing w:before="120" w:after="120"/>
              <w:rPr>
                <w:rFonts w:ascii="Times New Roman" w:eastAsia="Times New Roman" w:hAnsi="Times New Roman" w:cs="Times New Roman"/>
                <w:iCs/>
                <w:noProof/>
                <w:sz w:val="20"/>
              </w:rPr>
            </w:pPr>
          </w:p>
        </w:tc>
        <w:tc>
          <w:tcPr>
            <w:tcW w:w="972" w:type="dxa"/>
            <w:tcBorders>
              <w:top w:val="single" w:sz="4" w:space="0" w:color="auto"/>
              <w:left w:val="single" w:sz="4" w:space="0" w:color="auto"/>
              <w:bottom w:val="single" w:sz="4" w:space="0" w:color="auto"/>
              <w:right w:val="single" w:sz="4" w:space="0" w:color="auto"/>
            </w:tcBorders>
          </w:tcPr>
          <w:p w14:paraId="212B012D" w14:textId="77777777" w:rsidR="00950445" w:rsidRPr="008C5F1C" w:rsidRDefault="00950445" w:rsidP="00333C71">
            <w:pPr>
              <w:spacing w:before="120" w:after="120"/>
              <w:rPr>
                <w:rFonts w:ascii="Times New Roman" w:eastAsia="Times New Roman" w:hAnsi="Times New Roman" w:cs="Times New Roman"/>
                <w:iCs/>
                <w:noProof/>
                <w:sz w:val="20"/>
              </w:rPr>
            </w:pPr>
          </w:p>
        </w:tc>
        <w:tc>
          <w:tcPr>
            <w:tcW w:w="2812" w:type="dxa"/>
            <w:tcBorders>
              <w:top w:val="single" w:sz="4" w:space="0" w:color="auto"/>
              <w:left w:val="single" w:sz="4" w:space="0" w:color="auto"/>
              <w:bottom w:val="single" w:sz="4" w:space="0" w:color="auto"/>
              <w:right w:val="single" w:sz="4" w:space="0" w:color="auto"/>
            </w:tcBorders>
          </w:tcPr>
          <w:p w14:paraId="09D8CFBA" w14:textId="77777777" w:rsidR="00950445" w:rsidRPr="008C5F1C" w:rsidRDefault="00950445" w:rsidP="00333C71">
            <w:pPr>
              <w:spacing w:after="0" w:line="240" w:lineRule="auto"/>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Se efectueaz</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 xml:space="preserve"> o cartografiere multinodal</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 xml:space="preserve"> a infrastructurilor existente </w:t>
            </w:r>
            <w:r w:rsidR="00106240" w:rsidRPr="008C5F1C">
              <w:rPr>
                <w:rFonts w:ascii="Times New Roman" w:eastAsia="Times New Roman" w:hAnsi="Times New Roman" w:cs="Times New Roman"/>
                <w:iCs/>
                <w:noProof/>
                <w:sz w:val="20"/>
              </w:rPr>
              <w:t>ș</w:t>
            </w:r>
            <w:r w:rsidRPr="008C5F1C">
              <w:rPr>
                <w:rFonts w:ascii="Times New Roman" w:eastAsia="Times New Roman" w:hAnsi="Times New Roman" w:cs="Times New Roman"/>
                <w:iCs/>
                <w:noProof/>
                <w:sz w:val="20"/>
              </w:rPr>
              <w:t>i a celor planificate pân</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 xml:space="preserve"> în 2030, care:</w:t>
            </w:r>
          </w:p>
          <w:p w14:paraId="5DA5C4C5" w14:textId="77777777" w:rsidR="00950445" w:rsidRPr="008C5F1C" w:rsidRDefault="00950445" w:rsidP="00333C71">
            <w:pPr>
              <w:spacing w:after="0" w:line="240" w:lineRule="auto"/>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lastRenderedPageBreak/>
              <w:t>C1.con</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ine o justificare economic</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 xml:space="preserve"> a investi</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iilor planificate, sus</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inut</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 xml:space="preserve"> de o analiz</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 xml:space="preserve"> solid</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 xml:space="preserve"> a cererii </w:t>
            </w:r>
            <w:r w:rsidR="00106240" w:rsidRPr="008C5F1C">
              <w:rPr>
                <w:rFonts w:ascii="Times New Roman" w:eastAsia="Times New Roman" w:hAnsi="Times New Roman" w:cs="Times New Roman"/>
                <w:iCs/>
                <w:noProof/>
                <w:sz w:val="20"/>
              </w:rPr>
              <w:t>ș</w:t>
            </w:r>
            <w:r w:rsidRPr="008C5F1C">
              <w:rPr>
                <w:rFonts w:ascii="Times New Roman" w:eastAsia="Times New Roman" w:hAnsi="Times New Roman" w:cs="Times New Roman"/>
                <w:iCs/>
                <w:noProof/>
                <w:sz w:val="20"/>
              </w:rPr>
              <w:t>i de o modelare a traficului, care ar trebui s</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 xml:space="preserve"> ia în considerare impactul preconizat al liberaliz</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rii sectorului feroviar</w:t>
            </w:r>
          </w:p>
          <w:p w14:paraId="3B7AAE3B" w14:textId="77777777" w:rsidR="00950445" w:rsidRPr="008C5F1C" w:rsidRDefault="00950445" w:rsidP="00333C71">
            <w:pPr>
              <w:spacing w:after="0" w:line="240" w:lineRule="auto"/>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C2.reflect</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 xml:space="preserve"> planurile privind calitatea aerului, </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inând seama în special de planurile na</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ionale de decarbonizare</w:t>
            </w:r>
          </w:p>
          <w:p w14:paraId="6C7AE027" w14:textId="77777777" w:rsidR="00950445" w:rsidRPr="008C5F1C" w:rsidRDefault="00950445" w:rsidP="00333C71">
            <w:pPr>
              <w:spacing w:after="0" w:line="240" w:lineRule="auto"/>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C3.include investi</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iile în coridoarele re</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elei centrale TEN-T, astfel cum sunt definite în Regulamentul (UE) nr. 1316/2013, în conformitate cu respectivele planuri de lucru ale re</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elei TEN-T</w:t>
            </w:r>
          </w:p>
          <w:p w14:paraId="40F62663" w14:textId="77777777" w:rsidR="00950445" w:rsidRPr="008C5F1C" w:rsidRDefault="00950445" w:rsidP="00333C71">
            <w:pPr>
              <w:spacing w:after="0" w:line="240" w:lineRule="auto"/>
              <w:rPr>
                <w:rFonts w:ascii="Times New Roman" w:hAnsi="Times New Roman" w:cs="Times New Roman"/>
              </w:rPr>
            </w:pPr>
            <w:r w:rsidRPr="008C5F1C">
              <w:rPr>
                <w:rFonts w:ascii="Times New Roman" w:eastAsia="Times New Roman" w:hAnsi="Times New Roman" w:cs="Times New Roman"/>
                <w:iCs/>
                <w:noProof/>
                <w:sz w:val="20"/>
              </w:rPr>
              <w:t>C4.în ceea ce prive</w:t>
            </w:r>
            <w:r w:rsidR="00106240" w:rsidRPr="008C5F1C">
              <w:rPr>
                <w:rFonts w:ascii="Times New Roman" w:eastAsia="Times New Roman" w:hAnsi="Times New Roman" w:cs="Times New Roman"/>
                <w:iCs/>
                <w:noProof/>
                <w:sz w:val="20"/>
              </w:rPr>
              <w:t>ș</w:t>
            </w:r>
            <w:r w:rsidRPr="008C5F1C">
              <w:rPr>
                <w:rFonts w:ascii="Times New Roman" w:eastAsia="Times New Roman" w:hAnsi="Times New Roman" w:cs="Times New Roman"/>
                <w:iCs/>
                <w:noProof/>
                <w:sz w:val="20"/>
              </w:rPr>
              <w:t>te investi</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iile din afara re</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elei centrale TEN-T, garanteaz</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 xml:space="preserve"> complementaritatea prin asigurarea unei conectivit</w:t>
            </w:r>
            <w:r w:rsidR="00BA7827" w:rsidRPr="008C5F1C">
              <w:rPr>
                <w:rFonts w:ascii="Times New Roman" w:eastAsia="Times New Roman" w:hAnsi="Times New Roman" w:cs="Times New Roman"/>
                <w:iCs/>
                <w:noProof/>
                <w:sz w:val="20"/>
              </w:rPr>
              <w:t>ă</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i suficiente la re</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eaua central</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 xml:space="preserve"> TEN-T </w:t>
            </w:r>
            <w:r w:rsidR="00106240" w:rsidRPr="008C5F1C">
              <w:rPr>
                <w:rFonts w:ascii="Times New Roman" w:eastAsia="Times New Roman" w:hAnsi="Times New Roman" w:cs="Times New Roman"/>
                <w:iCs/>
                <w:noProof/>
                <w:sz w:val="20"/>
              </w:rPr>
              <w:t>ș</w:t>
            </w:r>
            <w:r w:rsidRPr="008C5F1C">
              <w:rPr>
                <w:rFonts w:ascii="Times New Roman" w:eastAsia="Times New Roman" w:hAnsi="Times New Roman" w:cs="Times New Roman"/>
                <w:iCs/>
                <w:noProof/>
                <w:sz w:val="20"/>
              </w:rPr>
              <w:t xml:space="preserve">i la nodurile acesteia pentru regiunile </w:t>
            </w:r>
            <w:r w:rsidR="00106240" w:rsidRPr="008C5F1C">
              <w:rPr>
                <w:rFonts w:ascii="Times New Roman" w:eastAsia="Times New Roman" w:hAnsi="Times New Roman" w:cs="Times New Roman"/>
                <w:iCs/>
                <w:noProof/>
                <w:sz w:val="20"/>
              </w:rPr>
              <w:t>ș</w:t>
            </w:r>
            <w:r w:rsidRPr="008C5F1C">
              <w:rPr>
                <w:rFonts w:ascii="Times New Roman" w:eastAsia="Times New Roman" w:hAnsi="Times New Roman" w:cs="Times New Roman"/>
                <w:iCs/>
                <w:noProof/>
                <w:sz w:val="20"/>
              </w:rPr>
              <w:t>i comunit</w:t>
            </w:r>
            <w:r w:rsidR="00BA7827" w:rsidRPr="008C5F1C">
              <w:rPr>
                <w:rFonts w:ascii="Times New Roman" w:eastAsia="Times New Roman" w:hAnsi="Times New Roman" w:cs="Times New Roman"/>
                <w:iCs/>
                <w:noProof/>
                <w:sz w:val="20"/>
              </w:rPr>
              <w:t>ă</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ile locale</w:t>
            </w:r>
          </w:p>
          <w:p w14:paraId="3E2B854C" w14:textId="77777777" w:rsidR="00950445" w:rsidRPr="008C5F1C" w:rsidRDefault="00950445" w:rsidP="00333C71">
            <w:pPr>
              <w:spacing w:after="0" w:line="240" w:lineRule="auto"/>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C5. unde este cazul, raporteaz</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 xml:space="preserve"> implementarea ERTMS conform cu Regulamentul de implementare al Comisiei EU 2017/6 din 5 ianuarie 2017 referitor la planul de implementare ERTMS.</w:t>
            </w:r>
          </w:p>
          <w:p w14:paraId="26A58C94" w14:textId="77777777" w:rsidR="00950445" w:rsidRPr="008C5F1C" w:rsidRDefault="00950445" w:rsidP="00333C71">
            <w:pPr>
              <w:spacing w:after="0" w:line="240" w:lineRule="auto"/>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C6.promoveaz</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 xml:space="preserve"> multimodalitatea, identificând nevoile de terminale multimodale sau de transbordare din cadrul </w:t>
            </w:r>
            <w:r w:rsidRPr="008C5F1C">
              <w:rPr>
                <w:rFonts w:ascii="Times New Roman" w:eastAsia="Times New Roman" w:hAnsi="Times New Roman" w:cs="Times New Roman"/>
                <w:iCs/>
                <w:noProof/>
                <w:sz w:val="20"/>
              </w:rPr>
              <w:lastRenderedPageBreak/>
              <w:t>transportului de pasageri sau marf</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 xml:space="preserve">, precum </w:t>
            </w:r>
            <w:r w:rsidR="00106240" w:rsidRPr="008C5F1C">
              <w:rPr>
                <w:rFonts w:ascii="Times New Roman" w:eastAsia="Times New Roman" w:hAnsi="Times New Roman" w:cs="Times New Roman"/>
                <w:iCs/>
                <w:noProof/>
                <w:sz w:val="20"/>
              </w:rPr>
              <w:t>ș</w:t>
            </w:r>
            <w:r w:rsidRPr="008C5F1C">
              <w:rPr>
                <w:rFonts w:ascii="Times New Roman" w:eastAsia="Times New Roman" w:hAnsi="Times New Roman" w:cs="Times New Roman"/>
                <w:iCs/>
                <w:noProof/>
                <w:sz w:val="20"/>
              </w:rPr>
              <w:t>i nevoile de moduri active de transport</w:t>
            </w:r>
          </w:p>
          <w:p w14:paraId="380EC6AF" w14:textId="77777777" w:rsidR="00950445" w:rsidRPr="008C5F1C" w:rsidRDefault="00950445" w:rsidP="00333C71">
            <w:pPr>
              <w:spacing w:after="0" w:line="240" w:lineRule="auto"/>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C7.include m</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suri vizând promovarea combustibililor alternativi, în conformitate cu cadrele na</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ionale de politi</w:t>
            </w:r>
            <w:r w:rsidRPr="008C5F1C">
              <w:rPr>
                <w:rFonts w:ascii="Times New Roman" w:hAnsi="Times New Roman" w:cs="Times New Roman"/>
              </w:rPr>
              <w:t xml:space="preserve"> C8. </w:t>
            </w:r>
            <w:r w:rsidRPr="008C5F1C">
              <w:rPr>
                <w:rFonts w:ascii="Times New Roman" w:eastAsia="Times New Roman" w:hAnsi="Times New Roman" w:cs="Times New Roman"/>
                <w:iCs/>
                <w:noProof/>
                <w:sz w:val="20"/>
              </w:rPr>
              <w:t>Include un rezumat al evalu</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rii riscurilor de siguran</w:t>
            </w:r>
            <w:r w:rsidR="00E22FF2" w:rsidRPr="008C5F1C">
              <w:rPr>
                <w:rFonts w:ascii="Times New Roman" w:eastAsia="Times New Roman" w:hAnsi="Times New Roman" w:cs="Times New Roman"/>
                <w:iCs/>
                <w:noProof/>
                <w:sz w:val="20"/>
              </w:rPr>
              <w:t>ț</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 xml:space="preserve"> rutier</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 în conformitate cu strategiile na</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ionale de siguran</w:t>
            </w:r>
            <w:r w:rsidR="00E22FF2" w:rsidRPr="008C5F1C">
              <w:rPr>
                <w:rFonts w:ascii="Times New Roman" w:eastAsia="Times New Roman" w:hAnsi="Times New Roman" w:cs="Times New Roman"/>
                <w:iCs/>
                <w:noProof/>
                <w:sz w:val="20"/>
              </w:rPr>
              <w:t>ț</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 xml:space="preserve"> rutier</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 xml:space="preserve"> existente, împreun</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 xml:space="preserve"> cu o cartografiere a drumurilor </w:t>
            </w:r>
            <w:r w:rsidR="00106240" w:rsidRPr="008C5F1C">
              <w:rPr>
                <w:rFonts w:ascii="Times New Roman" w:eastAsia="Times New Roman" w:hAnsi="Times New Roman" w:cs="Times New Roman"/>
                <w:iCs/>
                <w:noProof/>
                <w:sz w:val="20"/>
              </w:rPr>
              <w:t>ș</w:t>
            </w:r>
            <w:r w:rsidRPr="008C5F1C">
              <w:rPr>
                <w:rFonts w:ascii="Times New Roman" w:eastAsia="Times New Roman" w:hAnsi="Times New Roman" w:cs="Times New Roman"/>
                <w:iCs/>
                <w:noProof/>
                <w:sz w:val="20"/>
              </w:rPr>
              <w:t>i sec</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 xml:space="preserve">iunilor afectate </w:t>
            </w:r>
            <w:r w:rsidR="00106240" w:rsidRPr="008C5F1C">
              <w:rPr>
                <w:rFonts w:ascii="Times New Roman" w:eastAsia="Times New Roman" w:hAnsi="Times New Roman" w:cs="Times New Roman"/>
                <w:iCs/>
                <w:noProof/>
                <w:sz w:val="20"/>
              </w:rPr>
              <w:t>ș</w:t>
            </w:r>
            <w:r w:rsidRPr="008C5F1C">
              <w:rPr>
                <w:rFonts w:ascii="Times New Roman" w:eastAsia="Times New Roman" w:hAnsi="Times New Roman" w:cs="Times New Roman"/>
                <w:iCs/>
                <w:noProof/>
                <w:sz w:val="20"/>
              </w:rPr>
              <w:t>i furnizarea cu prioritate a investi</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iilor corespunz</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toarec</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 xml:space="preserve"> relevante</w:t>
            </w:r>
          </w:p>
          <w:p w14:paraId="29E8F4E7" w14:textId="77777777" w:rsidR="00950445" w:rsidRPr="008C5F1C" w:rsidRDefault="00950445" w:rsidP="00333C71">
            <w:pPr>
              <w:spacing w:after="0" w:line="240" w:lineRule="auto"/>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C9. furnizeaz</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 xml:space="preserve"> informa</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 xml:space="preserve">ii privind resursele bugetare </w:t>
            </w:r>
            <w:r w:rsidR="00106240" w:rsidRPr="008C5F1C">
              <w:rPr>
                <w:rFonts w:ascii="Times New Roman" w:eastAsia="Times New Roman" w:hAnsi="Times New Roman" w:cs="Times New Roman"/>
                <w:iCs/>
                <w:noProof/>
                <w:sz w:val="20"/>
              </w:rPr>
              <w:t>ș</w:t>
            </w:r>
            <w:r w:rsidRPr="008C5F1C">
              <w:rPr>
                <w:rFonts w:ascii="Times New Roman" w:eastAsia="Times New Roman" w:hAnsi="Times New Roman" w:cs="Times New Roman"/>
                <w:iCs/>
                <w:noProof/>
                <w:sz w:val="20"/>
              </w:rPr>
              <w:t>i de finan</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are corespunz</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toare investi</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 xml:space="preserve">iilor planificate </w:t>
            </w:r>
            <w:r w:rsidR="00106240" w:rsidRPr="008C5F1C">
              <w:rPr>
                <w:rFonts w:ascii="Times New Roman" w:eastAsia="Times New Roman" w:hAnsi="Times New Roman" w:cs="Times New Roman"/>
                <w:iCs/>
                <w:noProof/>
                <w:sz w:val="20"/>
              </w:rPr>
              <w:t>ș</w:t>
            </w:r>
            <w:r w:rsidRPr="008C5F1C">
              <w:rPr>
                <w:rFonts w:ascii="Times New Roman" w:eastAsia="Times New Roman" w:hAnsi="Times New Roman" w:cs="Times New Roman"/>
                <w:iCs/>
                <w:noProof/>
                <w:sz w:val="20"/>
              </w:rPr>
              <w:t xml:space="preserve">i necesare pentru acoperirea costurilor de exploatare </w:t>
            </w:r>
            <w:r w:rsidR="00106240" w:rsidRPr="008C5F1C">
              <w:rPr>
                <w:rFonts w:ascii="Times New Roman" w:eastAsia="Times New Roman" w:hAnsi="Times New Roman" w:cs="Times New Roman"/>
                <w:iCs/>
                <w:noProof/>
                <w:sz w:val="20"/>
              </w:rPr>
              <w:t>ș</w:t>
            </w:r>
            <w:r w:rsidRPr="008C5F1C">
              <w:rPr>
                <w:rFonts w:ascii="Times New Roman" w:eastAsia="Times New Roman" w:hAnsi="Times New Roman" w:cs="Times New Roman"/>
                <w:iCs/>
                <w:noProof/>
                <w:sz w:val="20"/>
              </w:rPr>
              <w:t>i de între</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 xml:space="preserve">inere a infrastructurilor existente </w:t>
            </w:r>
            <w:r w:rsidR="00106240" w:rsidRPr="008C5F1C">
              <w:rPr>
                <w:rFonts w:ascii="Times New Roman" w:eastAsia="Times New Roman" w:hAnsi="Times New Roman" w:cs="Times New Roman"/>
                <w:iCs/>
                <w:noProof/>
                <w:sz w:val="20"/>
              </w:rPr>
              <w:t>ș</w:t>
            </w:r>
            <w:r w:rsidRPr="008C5F1C">
              <w:rPr>
                <w:rFonts w:ascii="Times New Roman" w:eastAsia="Times New Roman" w:hAnsi="Times New Roman" w:cs="Times New Roman"/>
                <w:iCs/>
                <w:noProof/>
                <w:sz w:val="20"/>
              </w:rPr>
              <w:t>i a celor planificate</w:t>
            </w:r>
          </w:p>
        </w:tc>
        <w:tc>
          <w:tcPr>
            <w:tcW w:w="1167" w:type="dxa"/>
            <w:tcBorders>
              <w:top w:val="single" w:sz="4" w:space="0" w:color="auto"/>
              <w:left w:val="single" w:sz="4" w:space="0" w:color="auto"/>
              <w:bottom w:val="single" w:sz="4" w:space="0" w:color="auto"/>
              <w:right w:val="single" w:sz="4" w:space="0" w:color="auto"/>
            </w:tcBorders>
          </w:tcPr>
          <w:p w14:paraId="690806C6" w14:textId="77777777" w:rsidR="00950445" w:rsidRPr="008C5F1C" w:rsidRDefault="00950445" w:rsidP="00333C71">
            <w:pPr>
              <w:spacing w:before="120" w:after="120"/>
              <w:rPr>
                <w:rFonts w:ascii="Times New Roman" w:eastAsia="Times New Roman" w:hAnsi="Times New Roman" w:cs="Times New Roman"/>
                <w:iCs/>
                <w:noProof/>
                <w:sz w:val="20"/>
              </w:rPr>
            </w:pPr>
          </w:p>
        </w:tc>
        <w:tc>
          <w:tcPr>
            <w:tcW w:w="1661" w:type="dxa"/>
            <w:tcBorders>
              <w:top w:val="single" w:sz="4" w:space="0" w:color="auto"/>
              <w:left w:val="single" w:sz="4" w:space="0" w:color="auto"/>
              <w:bottom w:val="single" w:sz="4" w:space="0" w:color="auto"/>
              <w:right w:val="single" w:sz="4" w:space="0" w:color="auto"/>
            </w:tcBorders>
          </w:tcPr>
          <w:p w14:paraId="1737628F" w14:textId="77777777" w:rsidR="00950445" w:rsidRPr="008C5F1C" w:rsidRDefault="00D37390" w:rsidP="00333C71">
            <w:pPr>
              <w:spacing w:before="120" w:after="120"/>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 xml:space="preserve">Memorandumul cu tema: evaluarea </w:t>
            </w:r>
            <w:r w:rsidRPr="008C5F1C">
              <w:rPr>
                <w:rFonts w:ascii="Times New Roman" w:eastAsia="Times New Roman" w:hAnsi="Times New Roman" w:cs="Times New Roman"/>
                <w:iCs/>
                <w:noProof/>
                <w:sz w:val="20"/>
              </w:rPr>
              <w:lastRenderedPageBreak/>
              <w:t>națională a îndeplinirii condiției favorizante Planificarea globală a transporturilor la nivelul corespunzător aprobat de Guvernul Romaniei in data de 14 mai 2019</w:t>
            </w:r>
          </w:p>
          <w:p w14:paraId="73F8D75B" w14:textId="42CCBD39" w:rsidR="00D37390" w:rsidRPr="008C5F1C" w:rsidRDefault="00D37390" w:rsidP="00333C71">
            <w:pPr>
              <w:spacing w:before="120" w:after="120"/>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Planul investițional pentru dezvoltarea infrastructurii de transport pentru perioada 2020-2030</w:t>
            </w:r>
          </w:p>
        </w:tc>
        <w:tc>
          <w:tcPr>
            <w:tcW w:w="4543" w:type="dxa"/>
            <w:tcBorders>
              <w:top w:val="single" w:sz="4" w:space="0" w:color="auto"/>
              <w:left w:val="single" w:sz="4" w:space="0" w:color="auto"/>
              <w:bottom w:val="single" w:sz="4" w:space="0" w:color="auto"/>
              <w:right w:val="single" w:sz="4" w:space="0" w:color="auto"/>
            </w:tcBorders>
          </w:tcPr>
          <w:p w14:paraId="01799D28" w14:textId="77777777" w:rsidR="00530033" w:rsidRPr="008C5F1C" w:rsidRDefault="00530033" w:rsidP="00530033">
            <w:pPr>
              <w:spacing w:before="120" w:after="120"/>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lastRenderedPageBreak/>
              <w:t xml:space="preserve">In data de 14 mai 2019, Guvernul României a aprobat Memorandumul cu tema: evaluarea națională a </w:t>
            </w:r>
            <w:r w:rsidRPr="008C5F1C">
              <w:rPr>
                <w:rFonts w:ascii="Times New Roman" w:eastAsia="Times New Roman" w:hAnsi="Times New Roman" w:cs="Times New Roman"/>
                <w:iCs/>
                <w:noProof/>
                <w:sz w:val="20"/>
              </w:rPr>
              <w:lastRenderedPageBreak/>
              <w:t>îndeplinirii condiției favorizante Planificarea globală a transporturilor la nivelul corespunzător.</w:t>
            </w:r>
          </w:p>
          <w:p w14:paraId="318EC4C0" w14:textId="77777777" w:rsidR="00530033" w:rsidRPr="008C5F1C" w:rsidRDefault="00530033" w:rsidP="00530033">
            <w:pPr>
              <w:spacing w:before="120" w:after="120"/>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Planul investițional pentru dezvoltarea infrastructurii de transport pentru perioada 2020-2030 este documentul strategic care va conține investițiile în infrastructura de transport, la nivel naţional, orientate spre dezvoltarea coridoarelor europene de transport care traversează România.</w:t>
            </w:r>
          </w:p>
          <w:p w14:paraId="4D1EBC96" w14:textId="77777777" w:rsidR="00530033" w:rsidRPr="008C5F1C" w:rsidRDefault="00530033" w:rsidP="00530033">
            <w:pPr>
              <w:spacing w:before="120" w:after="120"/>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Astfel, vor fi prioritizate investiţiile pe fiecare mod de transport, principalul criteriu de prioritizare fiind relevanța față de TEN-T, susţinerea investiţiilor realizându-se din POT 2021-2027, cu respectarea reglementărilor naţionale şi europene.</w:t>
            </w:r>
          </w:p>
          <w:p w14:paraId="2CBFF89A" w14:textId="77777777" w:rsidR="00530033" w:rsidRPr="008C5F1C" w:rsidRDefault="00530033" w:rsidP="00530033">
            <w:pPr>
              <w:spacing w:before="120" w:after="120"/>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Planul investiţional elaborat de MTIC, conține şi strategia de finanțare a sectorului de transport. Această secţiune analizează finanțarea totală disponibilă pentru sector (precum și condițiile specifice pentru fiecare sursă de finanțare), inclusiv fonduri europene, împrumuturi externe, bugetul de stat și alte surse.</w:t>
            </w:r>
          </w:p>
          <w:p w14:paraId="5BB0F287" w14:textId="77777777" w:rsidR="00530033" w:rsidRPr="008C5F1C" w:rsidRDefault="00530033" w:rsidP="00530033">
            <w:pPr>
              <w:spacing w:before="120" w:after="120"/>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Pe baza deciziei Guvernului privind scenariul de finanțare convenit, se va asigura un angajament național de finanțare pentru următorii 10 ani. O atenţie sporită va fi acordată siguranţei rutiere, echipării cu ERTMS a investiţiilor, şi promovării combustibililor alternativi.</w:t>
            </w:r>
          </w:p>
          <w:p w14:paraId="2C6AC0CF" w14:textId="2E551151" w:rsidR="00950445" w:rsidRPr="008C5F1C" w:rsidRDefault="00530033" w:rsidP="00530033">
            <w:pPr>
              <w:spacing w:before="120" w:after="120"/>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Prima versiune a autoevaluării naționale privind măsurile întreprinse de autoritățile române pentru îndeplinirea criteriilor aferente acestei condiții a fost transmisă Comisiei Europene.</w:t>
            </w:r>
          </w:p>
        </w:tc>
      </w:tr>
      <w:tr w:rsidR="00950445" w:rsidRPr="008C5F1C" w14:paraId="7ADD513F" w14:textId="77777777" w:rsidTr="00D37390">
        <w:trPr>
          <w:trHeight w:val="86"/>
        </w:trPr>
        <w:tc>
          <w:tcPr>
            <w:tcW w:w="1450" w:type="dxa"/>
            <w:tcBorders>
              <w:left w:val="single" w:sz="4" w:space="0" w:color="auto"/>
              <w:bottom w:val="single" w:sz="4" w:space="0" w:color="auto"/>
              <w:right w:val="single" w:sz="4" w:space="0" w:color="auto"/>
            </w:tcBorders>
          </w:tcPr>
          <w:p w14:paraId="6C7556A1" w14:textId="77777777" w:rsidR="00950445" w:rsidRPr="008C5F1C" w:rsidRDefault="00950445" w:rsidP="00333C71">
            <w:pPr>
              <w:spacing w:before="120" w:after="120"/>
              <w:ind w:right="-108"/>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lastRenderedPageBreak/>
              <w:t>Un cadru de politic</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 xml:space="preserve"> strategic pentru sistemul de educa</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 xml:space="preserve">ie </w:t>
            </w:r>
            <w:r w:rsidR="00106240" w:rsidRPr="008C5F1C">
              <w:rPr>
                <w:rFonts w:ascii="Times New Roman" w:eastAsia="Times New Roman" w:hAnsi="Times New Roman" w:cs="Times New Roman"/>
                <w:iCs/>
                <w:noProof/>
                <w:sz w:val="20"/>
              </w:rPr>
              <w:t>ș</w:t>
            </w:r>
            <w:r w:rsidRPr="008C5F1C">
              <w:rPr>
                <w:rFonts w:ascii="Times New Roman" w:eastAsia="Times New Roman" w:hAnsi="Times New Roman" w:cs="Times New Roman"/>
                <w:iCs/>
                <w:noProof/>
                <w:sz w:val="20"/>
              </w:rPr>
              <w:t>i formare, la toate nivelurile</w:t>
            </w:r>
          </w:p>
        </w:tc>
        <w:tc>
          <w:tcPr>
            <w:tcW w:w="950" w:type="dxa"/>
            <w:tcBorders>
              <w:left w:val="single" w:sz="4" w:space="0" w:color="auto"/>
              <w:bottom w:val="single" w:sz="4" w:space="0" w:color="auto"/>
              <w:right w:val="single" w:sz="4" w:space="0" w:color="auto"/>
            </w:tcBorders>
          </w:tcPr>
          <w:p w14:paraId="6C895BB1" w14:textId="77777777" w:rsidR="00950445" w:rsidRPr="008C5F1C" w:rsidRDefault="00950445" w:rsidP="00333C71">
            <w:pPr>
              <w:spacing w:before="120" w:after="120"/>
              <w:rPr>
                <w:rFonts w:ascii="Times New Roman" w:eastAsia="Times New Roman" w:hAnsi="Times New Roman" w:cs="Times New Roman"/>
                <w:iCs/>
                <w:noProof/>
                <w:sz w:val="20"/>
              </w:rPr>
            </w:pPr>
          </w:p>
        </w:tc>
        <w:tc>
          <w:tcPr>
            <w:tcW w:w="2067" w:type="dxa"/>
            <w:tcBorders>
              <w:left w:val="single" w:sz="4" w:space="0" w:color="auto"/>
              <w:bottom w:val="single" w:sz="4" w:space="0" w:color="auto"/>
              <w:right w:val="single" w:sz="4" w:space="0" w:color="auto"/>
            </w:tcBorders>
          </w:tcPr>
          <w:p w14:paraId="6C8F8338" w14:textId="77777777" w:rsidR="00950445" w:rsidRPr="008C5F1C" w:rsidRDefault="00950445" w:rsidP="00333C71">
            <w:pPr>
              <w:spacing w:before="120" w:after="120"/>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d (ii) îmbun</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t</w:t>
            </w:r>
            <w:r w:rsidR="00BA7827" w:rsidRPr="008C5F1C">
              <w:rPr>
                <w:rFonts w:ascii="Times New Roman" w:eastAsia="Times New Roman" w:hAnsi="Times New Roman" w:cs="Times New Roman"/>
                <w:iCs/>
                <w:noProof/>
                <w:sz w:val="20"/>
              </w:rPr>
              <w:t>ă</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 xml:space="preserve">irea accesului la servicii de calitate </w:t>
            </w:r>
            <w:r w:rsidR="00106240" w:rsidRPr="008C5F1C">
              <w:rPr>
                <w:rFonts w:ascii="Times New Roman" w:eastAsia="Times New Roman" w:hAnsi="Times New Roman" w:cs="Times New Roman"/>
                <w:iCs/>
                <w:noProof/>
                <w:sz w:val="20"/>
              </w:rPr>
              <w:t>ș</w:t>
            </w:r>
            <w:r w:rsidRPr="008C5F1C">
              <w:rPr>
                <w:rFonts w:ascii="Times New Roman" w:eastAsia="Times New Roman" w:hAnsi="Times New Roman" w:cs="Times New Roman"/>
                <w:iCs/>
                <w:noProof/>
                <w:sz w:val="20"/>
              </w:rPr>
              <w:t>i favorabile incluziunii în educa</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 xml:space="preserve">ie, formare </w:t>
            </w:r>
            <w:r w:rsidR="00106240" w:rsidRPr="008C5F1C">
              <w:rPr>
                <w:rFonts w:ascii="Times New Roman" w:eastAsia="Times New Roman" w:hAnsi="Times New Roman" w:cs="Times New Roman"/>
                <w:iCs/>
                <w:noProof/>
                <w:sz w:val="20"/>
              </w:rPr>
              <w:t>ș</w:t>
            </w:r>
            <w:r w:rsidRPr="008C5F1C">
              <w:rPr>
                <w:rFonts w:ascii="Times New Roman" w:eastAsia="Times New Roman" w:hAnsi="Times New Roman" w:cs="Times New Roman"/>
                <w:iCs/>
                <w:noProof/>
                <w:sz w:val="20"/>
              </w:rPr>
              <w:t>i înv</w:t>
            </w:r>
            <w:r w:rsidR="00BA7827" w:rsidRPr="008C5F1C">
              <w:rPr>
                <w:rFonts w:ascii="Times New Roman" w:eastAsia="Times New Roman" w:hAnsi="Times New Roman" w:cs="Times New Roman"/>
                <w:iCs/>
                <w:noProof/>
                <w:sz w:val="20"/>
              </w:rPr>
              <w:t>ă</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area pe tot parcursul vie</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ii prin dezvoltarea infrastructurii;</w:t>
            </w:r>
          </w:p>
        </w:tc>
        <w:tc>
          <w:tcPr>
            <w:tcW w:w="972" w:type="dxa"/>
            <w:tcBorders>
              <w:top w:val="single" w:sz="4" w:space="0" w:color="auto"/>
              <w:left w:val="single" w:sz="4" w:space="0" w:color="auto"/>
              <w:bottom w:val="single" w:sz="4" w:space="0" w:color="auto"/>
              <w:right w:val="single" w:sz="4" w:space="0" w:color="auto"/>
            </w:tcBorders>
          </w:tcPr>
          <w:p w14:paraId="58A9E72A" w14:textId="77777777" w:rsidR="00950445" w:rsidRPr="008C5F1C" w:rsidRDefault="00950445" w:rsidP="00333C71">
            <w:pPr>
              <w:spacing w:before="120" w:after="120"/>
              <w:rPr>
                <w:rFonts w:ascii="Times New Roman" w:eastAsia="Times New Roman" w:hAnsi="Times New Roman" w:cs="Times New Roman"/>
                <w:iCs/>
                <w:noProof/>
                <w:sz w:val="20"/>
              </w:rPr>
            </w:pPr>
          </w:p>
        </w:tc>
        <w:tc>
          <w:tcPr>
            <w:tcW w:w="2812" w:type="dxa"/>
            <w:tcBorders>
              <w:top w:val="single" w:sz="4" w:space="0" w:color="auto"/>
              <w:left w:val="single" w:sz="4" w:space="0" w:color="auto"/>
              <w:bottom w:val="single" w:sz="4" w:space="0" w:color="auto"/>
              <w:right w:val="single" w:sz="4" w:space="0" w:color="auto"/>
            </w:tcBorders>
          </w:tcPr>
          <w:p w14:paraId="09161EC9" w14:textId="77777777" w:rsidR="00950445" w:rsidRPr="008C5F1C" w:rsidRDefault="00950445" w:rsidP="00333C71">
            <w:pPr>
              <w:spacing w:after="0" w:line="240" w:lineRule="auto"/>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Existen</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a unui cadru de politic</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 xml:space="preserve"> strategic la nivel na</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 xml:space="preserve">ional </w:t>
            </w:r>
            <w:r w:rsidR="00106240" w:rsidRPr="008C5F1C">
              <w:rPr>
                <w:rFonts w:ascii="Times New Roman" w:eastAsia="Times New Roman" w:hAnsi="Times New Roman" w:cs="Times New Roman"/>
                <w:iCs/>
                <w:noProof/>
                <w:sz w:val="20"/>
              </w:rPr>
              <w:t>ș</w:t>
            </w:r>
            <w:r w:rsidRPr="008C5F1C">
              <w:rPr>
                <w:rFonts w:ascii="Times New Roman" w:eastAsia="Times New Roman" w:hAnsi="Times New Roman" w:cs="Times New Roman"/>
                <w:iCs/>
                <w:noProof/>
                <w:sz w:val="20"/>
              </w:rPr>
              <w:t>i/sau regional pentru sistemul de educa</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 xml:space="preserve">ie </w:t>
            </w:r>
            <w:r w:rsidR="00106240" w:rsidRPr="008C5F1C">
              <w:rPr>
                <w:rFonts w:ascii="Times New Roman" w:eastAsia="Times New Roman" w:hAnsi="Times New Roman" w:cs="Times New Roman"/>
                <w:iCs/>
                <w:noProof/>
                <w:sz w:val="20"/>
              </w:rPr>
              <w:t>ș</w:t>
            </w:r>
            <w:r w:rsidRPr="008C5F1C">
              <w:rPr>
                <w:rFonts w:ascii="Times New Roman" w:eastAsia="Times New Roman" w:hAnsi="Times New Roman" w:cs="Times New Roman"/>
                <w:iCs/>
                <w:noProof/>
                <w:sz w:val="20"/>
              </w:rPr>
              <w:t>i formare, care cuprinde:</w:t>
            </w:r>
          </w:p>
          <w:p w14:paraId="30A7C768" w14:textId="77777777" w:rsidR="00950445" w:rsidRPr="008C5F1C" w:rsidRDefault="00950445" w:rsidP="00333C71">
            <w:pPr>
              <w:spacing w:after="0" w:line="240" w:lineRule="auto"/>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 xml:space="preserve">C1.sisteme de anticipare </w:t>
            </w:r>
            <w:r w:rsidR="00106240" w:rsidRPr="008C5F1C">
              <w:rPr>
                <w:rFonts w:ascii="Times New Roman" w:eastAsia="Times New Roman" w:hAnsi="Times New Roman" w:cs="Times New Roman"/>
                <w:iCs/>
                <w:noProof/>
                <w:sz w:val="20"/>
              </w:rPr>
              <w:t>ș</w:t>
            </w:r>
            <w:r w:rsidRPr="008C5F1C">
              <w:rPr>
                <w:rFonts w:ascii="Times New Roman" w:eastAsia="Times New Roman" w:hAnsi="Times New Roman" w:cs="Times New Roman"/>
                <w:iCs/>
                <w:noProof/>
                <w:sz w:val="20"/>
              </w:rPr>
              <w:t>i previziuni privind competen</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 xml:space="preserve">ele, bazate pe date concrete, precum </w:t>
            </w:r>
            <w:r w:rsidR="00106240" w:rsidRPr="008C5F1C">
              <w:rPr>
                <w:rFonts w:ascii="Times New Roman" w:eastAsia="Times New Roman" w:hAnsi="Times New Roman" w:cs="Times New Roman"/>
                <w:iCs/>
                <w:noProof/>
                <w:sz w:val="20"/>
              </w:rPr>
              <w:t>ș</w:t>
            </w:r>
            <w:r w:rsidRPr="008C5F1C">
              <w:rPr>
                <w:rFonts w:ascii="Times New Roman" w:eastAsia="Times New Roman" w:hAnsi="Times New Roman" w:cs="Times New Roman"/>
                <w:iCs/>
                <w:noProof/>
                <w:sz w:val="20"/>
              </w:rPr>
              <w:t xml:space="preserve">i mecanisme </w:t>
            </w:r>
            <w:r w:rsidR="00106240" w:rsidRPr="008C5F1C">
              <w:rPr>
                <w:rFonts w:ascii="Times New Roman" w:eastAsia="Times New Roman" w:hAnsi="Times New Roman" w:cs="Times New Roman"/>
                <w:iCs/>
                <w:noProof/>
                <w:sz w:val="20"/>
              </w:rPr>
              <w:t>ș</w:t>
            </w:r>
            <w:r w:rsidRPr="008C5F1C">
              <w:rPr>
                <w:rFonts w:ascii="Times New Roman" w:eastAsia="Times New Roman" w:hAnsi="Times New Roman" w:cs="Times New Roman"/>
                <w:iCs/>
                <w:noProof/>
                <w:sz w:val="20"/>
              </w:rPr>
              <w:t>i servicii de monitorizare</w:t>
            </w:r>
          </w:p>
          <w:p w14:paraId="2F99B813" w14:textId="77777777" w:rsidR="00950445" w:rsidRPr="008C5F1C" w:rsidRDefault="00950445" w:rsidP="00333C71">
            <w:pPr>
              <w:spacing w:after="0" w:line="240" w:lineRule="auto"/>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C2.m</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suri care s</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 xml:space="preserve"> garanteze un acces egal, participarea </w:t>
            </w:r>
            <w:r w:rsidR="00106240" w:rsidRPr="008C5F1C">
              <w:rPr>
                <w:rFonts w:ascii="Times New Roman" w:eastAsia="Times New Roman" w:hAnsi="Times New Roman" w:cs="Times New Roman"/>
                <w:iCs/>
                <w:noProof/>
                <w:sz w:val="20"/>
              </w:rPr>
              <w:t>ș</w:t>
            </w:r>
            <w:r w:rsidRPr="008C5F1C">
              <w:rPr>
                <w:rFonts w:ascii="Times New Roman" w:eastAsia="Times New Roman" w:hAnsi="Times New Roman" w:cs="Times New Roman"/>
                <w:iCs/>
                <w:noProof/>
                <w:sz w:val="20"/>
              </w:rPr>
              <w:t>i absolvirea unor programe de educa</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 xml:space="preserve">ie </w:t>
            </w:r>
            <w:r w:rsidR="00106240" w:rsidRPr="008C5F1C">
              <w:rPr>
                <w:rFonts w:ascii="Times New Roman" w:eastAsia="Times New Roman" w:hAnsi="Times New Roman" w:cs="Times New Roman"/>
                <w:iCs/>
                <w:noProof/>
                <w:sz w:val="20"/>
              </w:rPr>
              <w:t>ș</w:t>
            </w:r>
            <w:r w:rsidRPr="008C5F1C">
              <w:rPr>
                <w:rFonts w:ascii="Times New Roman" w:eastAsia="Times New Roman" w:hAnsi="Times New Roman" w:cs="Times New Roman"/>
                <w:iCs/>
                <w:noProof/>
                <w:sz w:val="20"/>
              </w:rPr>
              <w:t xml:space="preserve">i formare de calitate, relevante </w:t>
            </w:r>
            <w:r w:rsidR="00106240" w:rsidRPr="008C5F1C">
              <w:rPr>
                <w:rFonts w:ascii="Times New Roman" w:eastAsia="Times New Roman" w:hAnsi="Times New Roman" w:cs="Times New Roman"/>
                <w:iCs/>
                <w:noProof/>
                <w:sz w:val="20"/>
              </w:rPr>
              <w:t>ș</w:t>
            </w:r>
            <w:r w:rsidRPr="008C5F1C">
              <w:rPr>
                <w:rFonts w:ascii="Times New Roman" w:eastAsia="Times New Roman" w:hAnsi="Times New Roman" w:cs="Times New Roman"/>
                <w:iCs/>
                <w:noProof/>
                <w:sz w:val="20"/>
              </w:rPr>
              <w:t xml:space="preserve">i incluzive </w:t>
            </w:r>
            <w:r w:rsidR="00106240" w:rsidRPr="008C5F1C">
              <w:rPr>
                <w:rFonts w:ascii="Times New Roman" w:eastAsia="Times New Roman" w:hAnsi="Times New Roman" w:cs="Times New Roman"/>
                <w:iCs/>
                <w:noProof/>
                <w:sz w:val="20"/>
              </w:rPr>
              <w:t>ș</w:t>
            </w:r>
            <w:r w:rsidRPr="008C5F1C">
              <w:rPr>
                <w:rFonts w:ascii="Times New Roman" w:eastAsia="Times New Roman" w:hAnsi="Times New Roman" w:cs="Times New Roman"/>
                <w:iCs/>
                <w:noProof/>
                <w:sz w:val="20"/>
              </w:rPr>
              <w:t>i dobândirea de competen</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 xml:space="preserve">e-cheie </w:t>
            </w:r>
            <w:r w:rsidRPr="008C5F1C">
              <w:rPr>
                <w:rFonts w:ascii="Times New Roman" w:eastAsia="Times New Roman" w:hAnsi="Times New Roman" w:cs="Times New Roman"/>
                <w:iCs/>
                <w:noProof/>
                <w:sz w:val="20"/>
              </w:rPr>
              <w:lastRenderedPageBreak/>
              <w:t>la toate nivelurile, inclusiv în înv</w:t>
            </w:r>
            <w:r w:rsidR="00BA7827" w:rsidRPr="008C5F1C">
              <w:rPr>
                <w:rFonts w:ascii="Times New Roman" w:eastAsia="Times New Roman" w:hAnsi="Times New Roman" w:cs="Times New Roman"/>
                <w:iCs/>
                <w:noProof/>
                <w:sz w:val="20"/>
              </w:rPr>
              <w:t>ă</w:t>
            </w:r>
            <w:r w:rsidR="00E22FF2" w:rsidRPr="008C5F1C">
              <w:rPr>
                <w:rFonts w:ascii="Times New Roman" w:eastAsia="Times New Roman" w:hAnsi="Times New Roman" w:cs="Times New Roman"/>
                <w:iCs/>
                <w:noProof/>
                <w:sz w:val="20"/>
              </w:rPr>
              <w:t>ț</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mântul superior</w:t>
            </w:r>
          </w:p>
          <w:p w14:paraId="37377BD5" w14:textId="77777777" w:rsidR="00950445" w:rsidRPr="008C5F1C" w:rsidRDefault="00950445" w:rsidP="00333C71">
            <w:pPr>
              <w:spacing w:after="0" w:line="240" w:lineRule="auto"/>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C3.un mecanism de coordonare la toate nivelurile sistemului de educa</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 xml:space="preserve">ie </w:t>
            </w:r>
            <w:r w:rsidR="00106240" w:rsidRPr="008C5F1C">
              <w:rPr>
                <w:rFonts w:ascii="Times New Roman" w:eastAsia="Times New Roman" w:hAnsi="Times New Roman" w:cs="Times New Roman"/>
                <w:iCs/>
                <w:noProof/>
                <w:sz w:val="20"/>
              </w:rPr>
              <w:t>ș</w:t>
            </w:r>
            <w:r w:rsidRPr="008C5F1C">
              <w:rPr>
                <w:rFonts w:ascii="Times New Roman" w:eastAsia="Times New Roman" w:hAnsi="Times New Roman" w:cs="Times New Roman"/>
                <w:iCs/>
                <w:noProof/>
                <w:sz w:val="20"/>
              </w:rPr>
              <w:t>i formare, inclusiv la nivelul înv</w:t>
            </w:r>
            <w:r w:rsidR="00BA7827" w:rsidRPr="008C5F1C">
              <w:rPr>
                <w:rFonts w:ascii="Times New Roman" w:eastAsia="Times New Roman" w:hAnsi="Times New Roman" w:cs="Times New Roman"/>
                <w:iCs/>
                <w:noProof/>
                <w:sz w:val="20"/>
              </w:rPr>
              <w:t>ă</w:t>
            </w:r>
            <w:r w:rsidR="00E22FF2" w:rsidRPr="008C5F1C">
              <w:rPr>
                <w:rFonts w:ascii="Times New Roman" w:eastAsia="Times New Roman" w:hAnsi="Times New Roman" w:cs="Times New Roman"/>
                <w:iCs/>
                <w:noProof/>
                <w:sz w:val="20"/>
              </w:rPr>
              <w:t>ț</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mântului ter</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 xml:space="preserve">iar, </w:t>
            </w:r>
            <w:r w:rsidR="00106240" w:rsidRPr="008C5F1C">
              <w:rPr>
                <w:rFonts w:ascii="Times New Roman" w:eastAsia="Times New Roman" w:hAnsi="Times New Roman" w:cs="Times New Roman"/>
                <w:iCs/>
                <w:noProof/>
                <w:sz w:val="20"/>
              </w:rPr>
              <w:t>ș</w:t>
            </w:r>
            <w:r w:rsidRPr="008C5F1C">
              <w:rPr>
                <w:rFonts w:ascii="Times New Roman" w:eastAsia="Times New Roman" w:hAnsi="Times New Roman" w:cs="Times New Roman"/>
                <w:iCs/>
                <w:noProof/>
                <w:sz w:val="20"/>
              </w:rPr>
              <w:t>i o atribuire clar</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 xml:space="preserve"> a responsabilit</w:t>
            </w:r>
            <w:r w:rsidR="00BA7827" w:rsidRPr="008C5F1C">
              <w:rPr>
                <w:rFonts w:ascii="Times New Roman" w:eastAsia="Times New Roman" w:hAnsi="Times New Roman" w:cs="Times New Roman"/>
                <w:iCs/>
                <w:noProof/>
                <w:sz w:val="20"/>
              </w:rPr>
              <w:t>ă</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ilor între autorit</w:t>
            </w:r>
            <w:r w:rsidR="00BA7827" w:rsidRPr="008C5F1C">
              <w:rPr>
                <w:rFonts w:ascii="Times New Roman" w:eastAsia="Times New Roman" w:hAnsi="Times New Roman" w:cs="Times New Roman"/>
                <w:iCs/>
                <w:noProof/>
                <w:sz w:val="20"/>
              </w:rPr>
              <w:t>ă</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ile na</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 xml:space="preserve">ionale relevante </w:t>
            </w:r>
            <w:r w:rsidR="00106240" w:rsidRPr="008C5F1C">
              <w:rPr>
                <w:rFonts w:ascii="Times New Roman" w:eastAsia="Times New Roman" w:hAnsi="Times New Roman" w:cs="Times New Roman"/>
                <w:iCs/>
                <w:noProof/>
                <w:sz w:val="20"/>
              </w:rPr>
              <w:t>ș</w:t>
            </w:r>
            <w:r w:rsidRPr="008C5F1C">
              <w:rPr>
                <w:rFonts w:ascii="Times New Roman" w:eastAsia="Times New Roman" w:hAnsi="Times New Roman" w:cs="Times New Roman"/>
                <w:iCs/>
                <w:noProof/>
                <w:sz w:val="20"/>
              </w:rPr>
              <w:t>i/sau organismele regionale</w:t>
            </w:r>
          </w:p>
          <w:p w14:paraId="6696666E" w14:textId="77777777" w:rsidR="00950445" w:rsidRPr="008C5F1C" w:rsidRDefault="00950445" w:rsidP="00333C71">
            <w:pPr>
              <w:spacing w:after="0" w:line="240" w:lineRule="auto"/>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C4.modalit</w:t>
            </w:r>
            <w:r w:rsidR="00BA7827" w:rsidRPr="008C5F1C">
              <w:rPr>
                <w:rFonts w:ascii="Times New Roman" w:eastAsia="Times New Roman" w:hAnsi="Times New Roman" w:cs="Times New Roman"/>
                <w:iCs/>
                <w:noProof/>
                <w:sz w:val="20"/>
              </w:rPr>
              <w:t>ă</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 xml:space="preserve">i de monitorizare, evaluare </w:t>
            </w:r>
            <w:r w:rsidR="00106240" w:rsidRPr="008C5F1C">
              <w:rPr>
                <w:rFonts w:ascii="Times New Roman" w:eastAsia="Times New Roman" w:hAnsi="Times New Roman" w:cs="Times New Roman"/>
                <w:iCs/>
                <w:noProof/>
                <w:sz w:val="20"/>
              </w:rPr>
              <w:t>ș</w:t>
            </w:r>
            <w:r w:rsidRPr="008C5F1C">
              <w:rPr>
                <w:rFonts w:ascii="Times New Roman" w:eastAsia="Times New Roman" w:hAnsi="Times New Roman" w:cs="Times New Roman"/>
                <w:iCs/>
                <w:noProof/>
                <w:sz w:val="20"/>
              </w:rPr>
              <w:t>i revizuire a cadrului de politic</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 xml:space="preserve"> strategic</w:t>
            </w:r>
          </w:p>
          <w:p w14:paraId="32E471D0" w14:textId="77777777" w:rsidR="00950445" w:rsidRPr="008C5F1C" w:rsidRDefault="00950445" w:rsidP="00333C71">
            <w:pPr>
              <w:spacing w:after="0" w:line="240" w:lineRule="auto"/>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C5.m</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suri care s</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 xml:space="preserve"> vizeze adul</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ii cu calific</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 xml:space="preserve">ri </w:t>
            </w:r>
            <w:r w:rsidR="00106240" w:rsidRPr="008C5F1C">
              <w:rPr>
                <w:rFonts w:ascii="Times New Roman" w:eastAsia="Times New Roman" w:hAnsi="Times New Roman" w:cs="Times New Roman"/>
                <w:iCs/>
                <w:noProof/>
                <w:sz w:val="20"/>
              </w:rPr>
              <w:t>ș</w:t>
            </w:r>
            <w:r w:rsidRPr="008C5F1C">
              <w:rPr>
                <w:rFonts w:ascii="Times New Roman" w:eastAsia="Times New Roman" w:hAnsi="Times New Roman" w:cs="Times New Roman"/>
                <w:iCs/>
                <w:noProof/>
                <w:sz w:val="20"/>
              </w:rPr>
              <w:t>i competen</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 xml:space="preserve">e reduse </w:t>
            </w:r>
            <w:r w:rsidR="00106240" w:rsidRPr="008C5F1C">
              <w:rPr>
                <w:rFonts w:ascii="Times New Roman" w:eastAsia="Times New Roman" w:hAnsi="Times New Roman" w:cs="Times New Roman"/>
                <w:iCs/>
                <w:noProof/>
                <w:sz w:val="20"/>
              </w:rPr>
              <w:t>ș</w:t>
            </w:r>
            <w:r w:rsidRPr="008C5F1C">
              <w:rPr>
                <w:rFonts w:ascii="Times New Roman" w:eastAsia="Times New Roman" w:hAnsi="Times New Roman" w:cs="Times New Roman"/>
                <w:iCs/>
                <w:noProof/>
                <w:sz w:val="20"/>
              </w:rPr>
              <w:t xml:space="preserve">i persoanele provenind din medii socioeconomice dezavantajate, </w:t>
            </w:r>
            <w:r w:rsidR="00106240" w:rsidRPr="008C5F1C">
              <w:rPr>
                <w:rFonts w:ascii="Times New Roman" w:eastAsia="Times New Roman" w:hAnsi="Times New Roman" w:cs="Times New Roman"/>
                <w:iCs/>
                <w:noProof/>
                <w:sz w:val="20"/>
              </w:rPr>
              <w:t>ș</w:t>
            </w:r>
            <w:r w:rsidRPr="008C5F1C">
              <w:rPr>
                <w:rFonts w:ascii="Times New Roman" w:eastAsia="Times New Roman" w:hAnsi="Times New Roman" w:cs="Times New Roman"/>
                <w:iCs/>
                <w:noProof/>
                <w:sz w:val="20"/>
              </w:rPr>
              <w:t>i parcursuri de perfec</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ionare profesional</w:t>
            </w:r>
            <w:r w:rsidR="00BA7827" w:rsidRPr="008C5F1C">
              <w:rPr>
                <w:rFonts w:ascii="Times New Roman" w:eastAsia="Times New Roman" w:hAnsi="Times New Roman" w:cs="Times New Roman"/>
                <w:iCs/>
                <w:noProof/>
                <w:sz w:val="20"/>
              </w:rPr>
              <w:t>ă</w:t>
            </w:r>
          </w:p>
          <w:p w14:paraId="00EF08F7" w14:textId="77777777" w:rsidR="00950445" w:rsidRPr="008C5F1C" w:rsidRDefault="00950445" w:rsidP="00333C71">
            <w:pPr>
              <w:spacing w:after="0" w:line="240" w:lineRule="auto"/>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C6. M</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 xml:space="preserve">suri de sprijinire a cadrelor didactice, a formatorilor </w:t>
            </w:r>
            <w:r w:rsidR="00106240" w:rsidRPr="008C5F1C">
              <w:rPr>
                <w:rFonts w:ascii="Times New Roman" w:eastAsia="Times New Roman" w:hAnsi="Times New Roman" w:cs="Times New Roman"/>
                <w:iCs/>
                <w:noProof/>
                <w:sz w:val="20"/>
              </w:rPr>
              <w:t>ș</w:t>
            </w:r>
            <w:r w:rsidRPr="008C5F1C">
              <w:rPr>
                <w:rFonts w:ascii="Times New Roman" w:eastAsia="Times New Roman" w:hAnsi="Times New Roman" w:cs="Times New Roman"/>
                <w:iCs/>
                <w:noProof/>
                <w:sz w:val="20"/>
              </w:rPr>
              <w:t>i a personalului universitar în ceea ce prive</w:t>
            </w:r>
            <w:r w:rsidR="00106240" w:rsidRPr="008C5F1C">
              <w:rPr>
                <w:rFonts w:ascii="Times New Roman" w:eastAsia="Times New Roman" w:hAnsi="Times New Roman" w:cs="Times New Roman"/>
                <w:iCs/>
                <w:noProof/>
                <w:sz w:val="20"/>
              </w:rPr>
              <w:t>ș</w:t>
            </w:r>
            <w:r w:rsidRPr="008C5F1C">
              <w:rPr>
                <w:rFonts w:ascii="Times New Roman" w:eastAsia="Times New Roman" w:hAnsi="Times New Roman" w:cs="Times New Roman"/>
                <w:iCs/>
                <w:noProof/>
                <w:sz w:val="20"/>
              </w:rPr>
              <w:t>te metode de înv</w:t>
            </w:r>
            <w:r w:rsidR="00BA7827" w:rsidRPr="008C5F1C">
              <w:rPr>
                <w:rFonts w:ascii="Times New Roman" w:eastAsia="Times New Roman" w:hAnsi="Times New Roman" w:cs="Times New Roman"/>
                <w:iCs/>
                <w:noProof/>
                <w:sz w:val="20"/>
              </w:rPr>
              <w:t>ă</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 xml:space="preserve">are adecvate, evaluarea </w:t>
            </w:r>
            <w:r w:rsidR="00106240" w:rsidRPr="008C5F1C">
              <w:rPr>
                <w:rFonts w:ascii="Times New Roman" w:eastAsia="Times New Roman" w:hAnsi="Times New Roman" w:cs="Times New Roman"/>
                <w:iCs/>
                <w:noProof/>
                <w:sz w:val="20"/>
              </w:rPr>
              <w:t>ș</w:t>
            </w:r>
            <w:r w:rsidRPr="008C5F1C">
              <w:rPr>
                <w:rFonts w:ascii="Times New Roman" w:eastAsia="Times New Roman" w:hAnsi="Times New Roman" w:cs="Times New Roman"/>
                <w:iCs/>
                <w:noProof/>
                <w:sz w:val="20"/>
              </w:rPr>
              <w:t>i validarea competen</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elor-cheie m</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suri destinate a promova mobilitatea cursan</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 xml:space="preserve">ilor </w:t>
            </w:r>
            <w:r w:rsidR="00106240" w:rsidRPr="008C5F1C">
              <w:rPr>
                <w:rFonts w:ascii="Times New Roman" w:eastAsia="Times New Roman" w:hAnsi="Times New Roman" w:cs="Times New Roman"/>
                <w:iCs/>
                <w:noProof/>
                <w:sz w:val="20"/>
              </w:rPr>
              <w:t>ș</w:t>
            </w:r>
            <w:r w:rsidRPr="008C5F1C">
              <w:rPr>
                <w:rFonts w:ascii="Times New Roman" w:eastAsia="Times New Roman" w:hAnsi="Times New Roman" w:cs="Times New Roman"/>
                <w:iCs/>
                <w:noProof/>
                <w:sz w:val="20"/>
              </w:rPr>
              <w:t xml:space="preserve">i a personalului </w:t>
            </w:r>
            <w:r w:rsidR="00106240" w:rsidRPr="008C5F1C">
              <w:rPr>
                <w:rFonts w:ascii="Times New Roman" w:eastAsia="Times New Roman" w:hAnsi="Times New Roman" w:cs="Times New Roman"/>
                <w:iCs/>
                <w:noProof/>
                <w:sz w:val="20"/>
              </w:rPr>
              <w:t>ș</w:t>
            </w:r>
            <w:r w:rsidRPr="008C5F1C">
              <w:rPr>
                <w:rFonts w:ascii="Times New Roman" w:eastAsia="Times New Roman" w:hAnsi="Times New Roman" w:cs="Times New Roman"/>
                <w:iCs/>
                <w:noProof/>
                <w:sz w:val="20"/>
              </w:rPr>
              <w:t>i colaborarea transna</w:t>
            </w:r>
            <w:r w:rsidR="00E22FF2" w:rsidRPr="008C5F1C">
              <w:rPr>
                <w:rFonts w:ascii="Times New Roman" w:eastAsia="Times New Roman" w:hAnsi="Times New Roman" w:cs="Times New Roman"/>
                <w:iCs/>
                <w:noProof/>
                <w:sz w:val="20"/>
              </w:rPr>
              <w:t>ț</w:t>
            </w:r>
            <w:r w:rsidRPr="008C5F1C">
              <w:rPr>
                <w:rFonts w:ascii="Times New Roman" w:eastAsia="Times New Roman" w:hAnsi="Times New Roman" w:cs="Times New Roman"/>
                <w:iCs/>
                <w:noProof/>
                <w:sz w:val="20"/>
              </w:rPr>
              <w:t>ional</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 xml:space="preserve"> a formatorilor </w:t>
            </w:r>
            <w:r w:rsidR="00106240" w:rsidRPr="008C5F1C">
              <w:rPr>
                <w:rFonts w:ascii="Times New Roman" w:eastAsia="Times New Roman" w:hAnsi="Times New Roman" w:cs="Times New Roman"/>
                <w:iCs/>
                <w:noProof/>
                <w:sz w:val="20"/>
              </w:rPr>
              <w:t>ș</w:t>
            </w:r>
            <w:r w:rsidRPr="008C5F1C">
              <w:rPr>
                <w:rFonts w:ascii="Times New Roman" w:eastAsia="Times New Roman" w:hAnsi="Times New Roman" w:cs="Times New Roman"/>
                <w:iCs/>
                <w:noProof/>
                <w:sz w:val="20"/>
              </w:rPr>
              <w:t>i a personalului didactic, inclusiv prin recunoa</w:t>
            </w:r>
            <w:r w:rsidR="00106240" w:rsidRPr="008C5F1C">
              <w:rPr>
                <w:rFonts w:ascii="Times New Roman" w:eastAsia="Times New Roman" w:hAnsi="Times New Roman" w:cs="Times New Roman"/>
                <w:iCs/>
                <w:noProof/>
                <w:sz w:val="20"/>
              </w:rPr>
              <w:t>ș</w:t>
            </w:r>
            <w:r w:rsidRPr="008C5F1C">
              <w:rPr>
                <w:rFonts w:ascii="Times New Roman" w:eastAsia="Times New Roman" w:hAnsi="Times New Roman" w:cs="Times New Roman"/>
                <w:iCs/>
                <w:noProof/>
                <w:sz w:val="20"/>
              </w:rPr>
              <w:t xml:space="preserve">terea rezultatelor studiilor </w:t>
            </w:r>
            <w:r w:rsidR="00106240" w:rsidRPr="008C5F1C">
              <w:rPr>
                <w:rFonts w:ascii="Times New Roman" w:eastAsia="Times New Roman" w:hAnsi="Times New Roman" w:cs="Times New Roman"/>
                <w:iCs/>
                <w:noProof/>
                <w:sz w:val="20"/>
              </w:rPr>
              <w:t>ș</w:t>
            </w:r>
            <w:r w:rsidRPr="008C5F1C">
              <w:rPr>
                <w:rFonts w:ascii="Times New Roman" w:eastAsia="Times New Roman" w:hAnsi="Times New Roman" w:cs="Times New Roman"/>
                <w:iCs/>
                <w:noProof/>
                <w:sz w:val="20"/>
              </w:rPr>
              <w:t>i a calific</w:t>
            </w:r>
            <w:r w:rsidR="00BA7827" w:rsidRPr="008C5F1C">
              <w:rPr>
                <w:rFonts w:ascii="Times New Roman" w:eastAsia="Times New Roman" w:hAnsi="Times New Roman" w:cs="Times New Roman"/>
                <w:iCs/>
                <w:noProof/>
                <w:sz w:val="20"/>
              </w:rPr>
              <w:t>ă</w:t>
            </w:r>
            <w:r w:rsidRPr="008C5F1C">
              <w:rPr>
                <w:rFonts w:ascii="Times New Roman" w:eastAsia="Times New Roman" w:hAnsi="Times New Roman" w:cs="Times New Roman"/>
                <w:iCs/>
                <w:noProof/>
                <w:sz w:val="20"/>
              </w:rPr>
              <w:t>rilor.</w:t>
            </w:r>
          </w:p>
        </w:tc>
        <w:tc>
          <w:tcPr>
            <w:tcW w:w="1167" w:type="dxa"/>
            <w:tcBorders>
              <w:top w:val="single" w:sz="4" w:space="0" w:color="auto"/>
              <w:left w:val="single" w:sz="4" w:space="0" w:color="auto"/>
              <w:bottom w:val="single" w:sz="4" w:space="0" w:color="auto"/>
              <w:right w:val="single" w:sz="4" w:space="0" w:color="auto"/>
            </w:tcBorders>
          </w:tcPr>
          <w:p w14:paraId="6D379B62" w14:textId="77777777" w:rsidR="00950445" w:rsidRPr="008C5F1C" w:rsidRDefault="00950445" w:rsidP="00333C71">
            <w:pPr>
              <w:spacing w:before="120" w:after="120"/>
              <w:rPr>
                <w:rFonts w:ascii="Times New Roman" w:eastAsia="Times New Roman" w:hAnsi="Times New Roman" w:cs="Times New Roman"/>
                <w:iCs/>
                <w:noProof/>
                <w:sz w:val="20"/>
              </w:rPr>
            </w:pPr>
          </w:p>
        </w:tc>
        <w:tc>
          <w:tcPr>
            <w:tcW w:w="1661" w:type="dxa"/>
            <w:tcBorders>
              <w:top w:val="single" w:sz="4" w:space="0" w:color="auto"/>
              <w:left w:val="single" w:sz="4" w:space="0" w:color="auto"/>
              <w:bottom w:val="single" w:sz="4" w:space="0" w:color="auto"/>
              <w:right w:val="single" w:sz="4" w:space="0" w:color="auto"/>
            </w:tcBorders>
          </w:tcPr>
          <w:p w14:paraId="5865DF9B" w14:textId="77777777" w:rsidR="00950445" w:rsidRPr="008C5F1C" w:rsidRDefault="00D37390" w:rsidP="00333C71">
            <w:pPr>
              <w:spacing w:before="120" w:after="120"/>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 xml:space="preserve">Memorandum cu tema: Măsuri necesare îndeplinirii condiției favorizante “Cadru de politică strategic pentru sistemul de educație și formare, la toate nivelurile” aprobat de </w:t>
            </w:r>
            <w:r w:rsidRPr="008C5F1C">
              <w:rPr>
                <w:rFonts w:ascii="Times New Roman" w:eastAsia="Times New Roman" w:hAnsi="Times New Roman" w:cs="Times New Roman"/>
                <w:iCs/>
                <w:noProof/>
                <w:sz w:val="20"/>
              </w:rPr>
              <w:lastRenderedPageBreak/>
              <w:t>Guvernul Romaniei in data de 30 mai 2019</w:t>
            </w:r>
          </w:p>
          <w:p w14:paraId="0950EC87" w14:textId="57402203" w:rsidR="00D37390" w:rsidRPr="008C5F1C" w:rsidRDefault="00D37390" w:rsidP="00333C71">
            <w:pPr>
              <w:spacing w:before="120" w:after="120"/>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Politica publică ”Educația 2030”</w:t>
            </w:r>
          </w:p>
        </w:tc>
        <w:tc>
          <w:tcPr>
            <w:tcW w:w="4543" w:type="dxa"/>
            <w:tcBorders>
              <w:top w:val="single" w:sz="4" w:space="0" w:color="auto"/>
              <w:left w:val="single" w:sz="4" w:space="0" w:color="auto"/>
              <w:bottom w:val="single" w:sz="4" w:space="0" w:color="auto"/>
              <w:right w:val="single" w:sz="4" w:space="0" w:color="auto"/>
            </w:tcBorders>
          </w:tcPr>
          <w:p w14:paraId="26C15F98" w14:textId="77777777" w:rsidR="00D37390" w:rsidRPr="008C5F1C" w:rsidRDefault="00D37390" w:rsidP="00D37390">
            <w:pPr>
              <w:spacing w:before="120" w:after="120"/>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lastRenderedPageBreak/>
              <w:t>In data de 30 mai 2019, Guvernul României a aprobat Memorandum cu tema: Măsuri necesare îndeplinirii condiției favorizante “Cadru de politică strategic pentru sistemul de educație și formare, la toate nivelurile”, prin care Ministerul Educației si Cercetării și-a asumat o serie de acțiuni pentru îndeplinirea criteriilor aferente acestei condiții.</w:t>
            </w:r>
          </w:p>
          <w:p w14:paraId="637D2268" w14:textId="77777777" w:rsidR="00D37390" w:rsidRPr="008C5F1C" w:rsidRDefault="00D37390" w:rsidP="00D37390">
            <w:pPr>
              <w:spacing w:before="120" w:after="120"/>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 xml:space="preserve">Politica publică ”Educația 2030” este in curs de dezvoltare, urmărind personalizarea și asigurarea calității pentru toți elevii/studenții; flexibilizarea sistemului de educație, pentru a răspunde în mod concret caracteristicilor beneficiarilor și actorilor </w:t>
            </w:r>
            <w:r w:rsidRPr="008C5F1C">
              <w:rPr>
                <w:rFonts w:ascii="Times New Roman" w:eastAsia="Times New Roman" w:hAnsi="Times New Roman" w:cs="Times New Roman"/>
                <w:iCs/>
                <w:noProof/>
                <w:sz w:val="20"/>
              </w:rPr>
              <w:lastRenderedPageBreak/>
              <w:t>implicați și adaptarea sistemului la schimbările externe și tendințele viitorului.</w:t>
            </w:r>
          </w:p>
          <w:p w14:paraId="008EA1AE" w14:textId="529DE7F7" w:rsidR="00950445" w:rsidRPr="008C5F1C" w:rsidRDefault="00D37390" w:rsidP="00D37390">
            <w:pPr>
              <w:spacing w:before="120" w:after="120"/>
              <w:rPr>
                <w:rFonts w:ascii="Times New Roman" w:eastAsia="Times New Roman" w:hAnsi="Times New Roman" w:cs="Times New Roman"/>
                <w:iCs/>
                <w:noProof/>
                <w:sz w:val="20"/>
              </w:rPr>
            </w:pPr>
            <w:r w:rsidRPr="008C5F1C">
              <w:rPr>
                <w:rFonts w:ascii="Times New Roman" w:eastAsia="Times New Roman" w:hAnsi="Times New Roman" w:cs="Times New Roman"/>
                <w:iCs/>
                <w:noProof/>
                <w:sz w:val="20"/>
              </w:rPr>
              <w:t>De asemenea, programele naționale cu caracter permanent, precum și o serie de proiecte curente FSE implementate la nivel de sistem vor contribui la îndeplinirea criteriilor aferente acestei condiții.</w:t>
            </w:r>
          </w:p>
        </w:tc>
      </w:tr>
    </w:tbl>
    <w:p w14:paraId="1782D135" w14:textId="77777777" w:rsidR="00950445" w:rsidRPr="008C5F1C" w:rsidRDefault="00950445" w:rsidP="00653571">
      <w:pPr>
        <w:spacing w:before="120" w:after="120" w:line="360" w:lineRule="auto"/>
        <w:rPr>
          <w:rFonts w:ascii="Times New Roman" w:eastAsia="Times New Roman" w:hAnsi="Times New Roman" w:cs="Times New Roman"/>
          <w:b/>
          <w:i/>
          <w:noProof/>
          <w:sz w:val="24"/>
          <w:szCs w:val="24"/>
        </w:rPr>
        <w:sectPr w:rsidR="00950445" w:rsidRPr="008C5F1C" w:rsidSect="0078784E">
          <w:pgSz w:w="16839" w:h="11907" w:orient="landscape"/>
          <w:pgMar w:top="1138" w:right="1138" w:bottom="1138" w:left="1138" w:header="562" w:footer="562" w:gutter="0"/>
          <w:cols w:space="720"/>
          <w:docGrid w:linePitch="326"/>
        </w:sectPr>
      </w:pPr>
    </w:p>
    <w:p w14:paraId="10A08BE3" w14:textId="77777777" w:rsidR="00653571" w:rsidRPr="008C5F1C" w:rsidRDefault="00653571" w:rsidP="00653571">
      <w:pPr>
        <w:pStyle w:val="Heading1"/>
        <w:numPr>
          <w:ilvl w:val="0"/>
          <w:numId w:val="0"/>
        </w:numPr>
        <w:ind w:left="851" w:hanging="851"/>
        <w:rPr>
          <w:rStyle w:val="Heading1Char"/>
          <w:rFonts w:cs="Times New Roman"/>
          <w:b/>
          <w:smallCaps/>
          <w:lang w:val="ro-RO"/>
        </w:rPr>
      </w:pPr>
      <w:bookmarkStart w:id="138" w:name="_Toc39840955"/>
      <w:r w:rsidRPr="008C5F1C">
        <w:rPr>
          <w:rFonts w:cs="Times New Roman"/>
          <w:lang w:val="ro-RO"/>
        </w:rPr>
        <w:lastRenderedPageBreak/>
        <w:t xml:space="preserve">5. </w:t>
      </w:r>
      <w:proofErr w:type="spellStart"/>
      <w:r w:rsidRPr="008C5F1C">
        <w:rPr>
          <w:rStyle w:val="Heading1Char"/>
          <w:rFonts w:cs="Times New Roman"/>
          <w:lang w:val="ro-RO"/>
        </w:rPr>
        <w:t>Programme</w:t>
      </w:r>
      <w:proofErr w:type="spellEnd"/>
      <w:r w:rsidRPr="008C5F1C">
        <w:rPr>
          <w:rStyle w:val="Heading1Char"/>
          <w:rFonts w:cs="Times New Roman"/>
          <w:lang w:val="ro-RO"/>
        </w:rPr>
        <w:t xml:space="preserve"> </w:t>
      </w:r>
      <w:proofErr w:type="spellStart"/>
      <w:r w:rsidRPr="008C5F1C">
        <w:rPr>
          <w:rStyle w:val="Heading1Char"/>
          <w:rFonts w:cs="Times New Roman"/>
          <w:lang w:val="ro-RO"/>
        </w:rPr>
        <w:t>authorities</w:t>
      </w:r>
      <w:bookmarkEnd w:id="138"/>
      <w:proofErr w:type="spellEnd"/>
      <w:r w:rsidRPr="008C5F1C">
        <w:rPr>
          <w:rStyle w:val="Heading1Char"/>
          <w:rFonts w:cs="Times New Roman"/>
          <w:lang w:val="ro-RO"/>
        </w:rPr>
        <w:t xml:space="preserve"> </w:t>
      </w:r>
    </w:p>
    <w:p w14:paraId="7A234EB1" w14:textId="77777777" w:rsidR="00653571" w:rsidRPr="008C5F1C" w:rsidRDefault="00653571" w:rsidP="00653571">
      <w:pPr>
        <w:spacing w:before="120" w:after="120" w:line="360" w:lineRule="auto"/>
        <w:rPr>
          <w:rFonts w:ascii="Times New Roman" w:eastAsia="Times New Roman" w:hAnsi="Times New Roman" w:cs="Times New Roman"/>
          <w:b/>
          <w:i/>
          <w:iCs/>
          <w:noProof/>
          <w:sz w:val="24"/>
          <w:szCs w:val="24"/>
        </w:rPr>
      </w:pPr>
      <w:r w:rsidRPr="008C5F1C">
        <w:rPr>
          <w:rFonts w:ascii="Times New Roman" w:eastAsia="Times New Roman" w:hAnsi="Times New Roman" w:cs="Times New Roman"/>
          <w:i/>
          <w:noProof/>
          <w:sz w:val="24"/>
          <w:szCs w:val="24"/>
        </w:rPr>
        <w:t>Reference: Article 17(3)(j); Article 65, Article 78 CPR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2"/>
        <w:gridCol w:w="2403"/>
        <w:gridCol w:w="2057"/>
        <w:gridCol w:w="2376"/>
      </w:tblGrid>
      <w:tr w:rsidR="00653571" w:rsidRPr="008C5F1C" w14:paraId="7B0ABC82" w14:textId="77777777" w:rsidTr="00534127">
        <w:tc>
          <w:tcPr>
            <w:tcW w:w="9288" w:type="dxa"/>
            <w:gridSpan w:val="4"/>
            <w:tcBorders>
              <w:top w:val="single" w:sz="4" w:space="0" w:color="auto"/>
              <w:left w:val="single" w:sz="4" w:space="0" w:color="auto"/>
              <w:bottom w:val="single" w:sz="4" w:space="0" w:color="auto"/>
              <w:right w:val="single" w:sz="4" w:space="0" w:color="auto"/>
            </w:tcBorders>
            <w:hideMark/>
          </w:tcPr>
          <w:p w14:paraId="378EC43A" w14:textId="77777777" w:rsidR="00653571" w:rsidRPr="008C5F1C" w:rsidRDefault="00653571" w:rsidP="00534127">
            <w:pPr>
              <w:spacing w:before="120" w:after="120" w:line="360" w:lineRule="auto"/>
              <w:rPr>
                <w:rFonts w:ascii="Times New Roman" w:hAnsi="Times New Roman" w:cs="Times New Roman"/>
                <w:b/>
                <w:noProof/>
                <w:sz w:val="20"/>
              </w:rPr>
            </w:pPr>
            <w:r w:rsidRPr="008C5F1C">
              <w:rPr>
                <w:rFonts w:ascii="Times New Roman" w:hAnsi="Times New Roman" w:cs="Times New Roman"/>
                <w:b/>
                <w:noProof/>
                <w:sz w:val="20"/>
              </w:rPr>
              <w:t>Table 13: Programme authorities</w:t>
            </w:r>
          </w:p>
        </w:tc>
      </w:tr>
      <w:tr w:rsidR="00653571" w:rsidRPr="008C5F1C" w14:paraId="70B686AA" w14:textId="77777777" w:rsidTr="00534127">
        <w:tc>
          <w:tcPr>
            <w:tcW w:w="2452" w:type="dxa"/>
            <w:tcBorders>
              <w:top w:val="single" w:sz="4" w:space="0" w:color="auto"/>
              <w:left w:val="single" w:sz="4" w:space="0" w:color="auto"/>
              <w:bottom w:val="single" w:sz="4" w:space="0" w:color="auto"/>
              <w:right w:val="single" w:sz="4" w:space="0" w:color="auto"/>
            </w:tcBorders>
            <w:hideMark/>
          </w:tcPr>
          <w:p w14:paraId="65EEC674" w14:textId="77777777" w:rsidR="00653571" w:rsidRPr="008C5F1C" w:rsidRDefault="00653571" w:rsidP="00534127">
            <w:pPr>
              <w:spacing w:before="120" w:after="120" w:line="360" w:lineRule="auto"/>
              <w:rPr>
                <w:rFonts w:ascii="Times New Roman" w:hAnsi="Times New Roman" w:cs="Times New Roman"/>
                <w:b/>
                <w:noProof/>
                <w:sz w:val="20"/>
              </w:rPr>
            </w:pPr>
            <w:r w:rsidRPr="008C5F1C">
              <w:rPr>
                <w:rFonts w:ascii="Times New Roman" w:hAnsi="Times New Roman" w:cs="Times New Roman"/>
                <w:b/>
                <w:noProof/>
                <w:sz w:val="20"/>
              </w:rPr>
              <w:t xml:space="preserve">Programme authorities </w:t>
            </w:r>
          </w:p>
        </w:tc>
        <w:tc>
          <w:tcPr>
            <w:tcW w:w="2403" w:type="dxa"/>
            <w:tcBorders>
              <w:top w:val="single" w:sz="4" w:space="0" w:color="auto"/>
              <w:left w:val="single" w:sz="4" w:space="0" w:color="auto"/>
              <w:bottom w:val="single" w:sz="4" w:space="0" w:color="auto"/>
              <w:right w:val="single" w:sz="4" w:space="0" w:color="auto"/>
            </w:tcBorders>
            <w:hideMark/>
          </w:tcPr>
          <w:p w14:paraId="14403A78" w14:textId="77777777" w:rsidR="00653571" w:rsidRPr="008C5F1C" w:rsidRDefault="00653571" w:rsidP="00534127">
            <w:pPr>
              <w:spacing w:before="120" w:after="120" w:line="360" w:lineRule="auto"/>
              <w:rPr>
                <w:rFonts w:ascii="Times New Roman" w:hAnsi="Times New Roman" w:cs="Times New Roman"/>
                <w:b/>
                <w:noProof/>
                <w:sz w:val="20"/>
              </w:rPr>
            </w:pPr>
            <w:r w:rsidRPr="008C5F1C">
              <w:rPr>
                <w:rFonts w:ascii="Times New Roman" w:hAnsi="Times New Roman" w:cs="Times New Roman"/>
                <w:b/>
                <w:noProof/>
                <w:sz w:val="20"/>
              </w:rPr>
              <w:t xml:space="preserve">Name of the institution </w:t>
            </w:r>
            <w:r w:rsidRPr="008C5F1C">
              <w:rPr>
                <w:rFonts w:ascii="Times New Roman" w:hAnsi="Times New Roman" w:cs="Times New Roman"/>
                <w:noProof/>
                <w:sz w:val="20"/>
              </w:rPr>
              <w:t>[500]</w:t>
            </w:r>
          </w:p>
        </w:tc>
        <w:tc>
          <w:tcPr>
            <w:tcW w:w="2057" w:type="dxa"/>
            <w:tcBorders>
              <w:top w:val="single" w:sz="4" w:space="0" w:color="auto"/>
              <w:left w:val="single" w:sz="4" w:space="0" w:color="auto"/>
              <w:bottom w:val="single" w:sz="4" w:space="0" w:color="auto"/>
              <w:right w:val="single" w:sz="4" w:space="0" w:color="auto"/>
            </w:tcBorders>
          </w:tcPr>
          <w:p w14:paraId="7F0FB766" w14:textId="77777777" w:rsidR="00653571" w:rsidRPr="008C5F1C" w:rsidRDefault="00653571" w:rsidP="00534127">
            <w:pPr>
              <w:spacing w:before="120" w:after="120" w:line="360" w:lineRule="auto"/>
              <w:rPr>
                <w:rFonts w:ascii="Times New Roman" w:hAnsi="Times New Roman" w:cs="Times New Roman"/>
                <w:b/>
                <w:noProof/>
                <w:sz w:val="20"/>
              </w:rPr>
            </w:pPr>
            <w:r w:rsidRPr="008C5F1C">
              <w:rPr>
                <w:rFonts w:ascii="Times New Roman" w:hAnsi="Times New Roman" w:cs="Times New Roman"/>
                <w:b/>
                <w:noProof/>
                <w:sz w:val="20"/>
              </w:rPr>
              <w:t xml:space="preserve">Contact name </w:t>
            </w:r>
            <w:r w:rsidRPr="008C5F1C">
              <w:rPr>
                <w:rFonts w:ascii="Times New Roman" w:hAnsi="Times New Roman" w:cs="Times New Roman"/>
                <w:noProof/>
                <w:sz w:val="20"/>
              </w:rPr>
              <w:t>[200]</w:t>
            </w:r>
          </w:p>
          <w:p w14:paraId="18FBD1E6" w14:textId="77777777" w:rsidR="00653571" w:rsidRPr="008C5F1C" w:rsidRDefault="00653571" w:rsidP="00534127">
            <w:pPr>
              <w:spacing w:before="120" w:after="120" w:line="360" w:lineRule="auto"/>
              <w:rPr>
                <w:rFonts w:ascii="Times New Roman" w:hAnsi="Times New Roman" w:cs="Times New Roman"/>
                <w:b/>
                <w:noProof/>
                <w:sz w:val="20"/>
              </w:rPr>
            </w:pPr>
          </w:p>
        </w:tc>
        <w:tc>
          <w:tcPr>
            <w:tcW w:w="2376" w:type="dxa"/>
            <w:tcBorders>
              <w:top w:val="single" w:sz="4" w:space="0" w:color="auto"/>
              <w:left w:val="single" w:sz="4" w:space="0" w:color="auto"/>
              <w:bottom w:val="single" w:sz="4" w:space="0" w:color="auto"/>
              <w:right w:val="single" w:sz="4" w:space="0" w:color="auto"/>
            </w:tcBorders>
            <w:hideMark/>
          </w:tcPr>
          <w:p w14:paraId="0FB01230" w14:textId="77777777" w:rsidR="00653571" w:rsidRPr="008C5F1C" w:rsidRDefault="00653571" w:rsidP="00534127">
            <w:pPr>
              <w:spacing w:before="120" w:after="120" w:line="360" w:lineRule="auto"/>
              <w:rPr>
                <w:rFonts w:ascii="Times New Roman" w:hAnsi="Times New Roman" w:cs="Times New Roman"/>
                <w:b/>
                <w:noProof/>
                <w:sz w:val="20"/>
              </w:rPr>
            </w:pPr>
            <w:r w:rsidRPr="008C5F1C">
              <w:rPr>
                <w:rFonts w:ascii="Times New Roman" w:hAnsi="Times New Roman" w:cs="Times New Roman"/>
                <w:b/>
                <w:noProof/>
                <w:sz w:val="20"/>
              </w:rPr>
              <w:t xml:space="preserve">E-mail </w:t>
            </w:r>
            <w:r w:rsidRPr="008C5F1C">
              <w:rPr>
                <w:rFonts w:ascii="Times New Roman" w:hAnsi="Times New Roman" w:cs="Times New Roman"/>
                <w:noProof/>
                <w:sz w:val="20"/>
              </w:rPr>
              <w:t>[200]</w:t>
            </w:r>
          </w:p>
        </w:tc>
      </w:tr>
      <w:tr w:rsidR="00653571" w:rsidRPr="008C5F1C" w14:paraId="26ADA52F" w14:textId="77777777" w:rsidTr="00534127">
        <w:tc>
          <w:tcPr>
            <w:tcW w:w="2452" w:type="dxa"/>
            <w:tcBorders>
              <w:top w:val="single" w:sz="4" w:space="0" w:color="auto"/>
              <w:left w:val="single" w:sz="4" w:space="0" w:color="auto"/>
              <w:bottom w:val="single" w:sz="4" w:space="0" w:color="auto"/>
              <w:right w:val="single" w:sz="4" w:space="0" w:color="auto"/>
            </w:tcBorders>
            <w:hideMark/>
          </w:tcPr>
          <w:p w14:paraId="25590FAF" w14:textId="77777777" w:rsidR="00653571" w:rsidRPr="008C5F1C" w:rsidRDefault="00653571" w:rsidP="00534127">
            <w:pPr>
              <w:spacing w:before="120" w:after="120" w:line="360" w:lineRule="auto"/>
              <w:rPr>
                <w:rFonts w:ascii="Times New Roman" w:hAnsi="Times New Roman" w:cs="Times New Roman"/>
                <w:noProof/>
                <w:sz w:val="20"/>
              </w:rPr>
            </w:pPr>
            <w:r w:rsidRPr="008C5F1C">
              <w:rPr>
                <w:rFonts w:ascii="Times New Roman" w:hAnsi="Times New Roman" w:cs="Times New Roman"/>
                <w:noProof/>
                <w:sz w:val="20"/>
              </w:rPr>
              <w:t>Managing authority</w:t>
            </w:r>
          </w:p>
        </w:tc>
        <w:tc>
          <w:tcPr>
            <w:tcW w:w="2403" w:type="dxa"/>
            <w:tcBorders>
              <w:top w:val="single" w:sz="4" w:space="0" w:color="auto"/>
              <w:left w:val="single" w:sz="4" w:space="0" w:color="auto"/>
              <w:bottom w:val="single" w:sz="4" w:space="0" w:color="auto"/>
              <w:right w:val="single" w:sz="4" w:space="0" w:color="auto"/>
            </w:tcBorders>
          </w:tcPr>
          <w:p w14:paraId="64BB8403" w14:textId="77777777" w:rsidR="00653571" w:rsidRPr="008C5F1C" w:rsidRDefault="00653571" w:rsidP="00534127">
            <w:pPr>
              <w:spacing w:before="120" w:after="120" w:line="360" w:lineRule="auto"/>
              <w:rPr>
                <w:rFonts w:ascii="Times New Roman" w:hAnsi="Times New Roman" w:cs="Times New Roman"/>
                <w:noProof/>
                <w:sz w:val="20"/>
              </w:rPr>
            </w:pPr>
            <w:r w:rsidRPr="008C5F1C">
              <w:rPr>
                <w:rFonts w:ascii="Times New Roman" w:hAnsi="Times New Roman" w:cs="Times New Roman"/>
                <w:noProof/>
                <w:sz w:val="20"/>
              </w:rPr>
              <w:t>Agen</w:t>
            </w:r>
            <w:r w:rsidR="00E22FF2" w:rsidRPr="008C5F1C">
              <w:rPr>
                <w:rFonts w:ascii="Times New Roman" w:hAnsi="Times New Roman" w:cs="Times New Roman"/>
                <w:noProof/>
                <w:sz w:val="20"/>
              </w:rPr>
              <w:t>ț</w:t>
            </w:r>
            <w:r w:rsidRPr="008C5F1C">
              <w:rPr>
                <w:rFonts w:ascii="Times New Roman" w:hAnsi="Times New Roman" w:cs="Times New Roman"/>
                <w:noProof/>
                <w:sz w:val="20"/>
              </w:rPr>
              <w:t xml:space="preserve">ia </w:t>
            </w:r>
            <w:r w:rsidR="001C59AD" w:rsidRPr="008C5F1C">
              <w:rPr>
                <w:rFonts w:ascii="Times New Roman" w:hAnsi="Times New Roman" w:cs="Times New Roman"/>
                <w:noProof/>
                <w:sz w:val="20"/>
              </w:rPr>
              <w:t xml:space="preserve">de </w:t>
            </w:r>
            <w:r w:rsidR="0078784E" w:rsidRPr="008C5F1C">
              <w:rPr>
                <w:rFonts w:ascii="Times New Roman" w:hAnsi="Times New Roman" w:cs="Times New Roman"/>
                <w:noProof/>
                <w:sz w:val="20"/>
              </w:rPr>
              <w:t>D</w:t>
            </w:r>
            <w:r w:rsidRPr="008C5F1C">
              <w:rPr>
                <w:rFonts w:ascii="Times New Roman" w:hAnsi="Times New Roman" w:cs="Times New Roman"/>
                <w:noProof/>
                <w:sz w:val="20"/>
              </w:rPr>
              <w:t>ezvoltare Regional</w:t>
            </w:r>
            <w:r w:rsidR="00BA7827" w:rsidRPr="008C5F1C">
              <w:rPr>
                <w:rFonts w:ascii="Times New Roman" w:hAnsi="Times New Roman" w:cs="Times New Roman"/>
                <w:noProof/>
                <w:sz w:val="20"/>
              </w:rPr>
              <w:t>ă</w:t>
            </w:r>
            <w:r w:rsidRPr="008C5F1C">
              <w:rPr>
                <w:rFonts w:ascii="Times New Roman" w:hAnsi="Times New Roman" w:cs="Times New Roman"/>
                <w:noProof/>
                <w:sz w:val="20"/>
              </w:rPr>
              <w:t xml:space="preserve"> Nord-Vest</w:t>
            </w:r>
          </w:p>
        </w:tc>
        <w:tc>
          <w:tcPr>
            <w:tcW w:w="2057" w:type="dxa"/>
            <w:tcBorders>
              <w:top w:val="single" w:sz="4" w:space="0" w:color="auto"/>
              <w:left w:val="single" w:sz="4" w:space="0" w:color="auto"/>
              <w:bottom w:val="single" w:sz="4" w:space="0" w:color="auto"/>
              <w:right w:val="single" w:sz="4" w:space="0" w:color="auto"/>
            </w:tcBorders>
          </w:tcPr>
          <w:p w14:paraId="08C46652" w14:textId="77777777" w:rsidR="00653571" w:rsidRPr="008C5F1C" w:rsidRDefault="00653571" w:rsidP="00534127">
            <w:pPr>
              <w:spacing w:before="120" w:after="120" w:line="360" w:lineRule="auto"/>
              <w:rPr>
                <w:rFonts w:ascii="Times New Roman" w:hAnsi="Times New Roman" w:cs="Times New Roman"/>
                <w:noProof/>
                <w:sz w:val="20"/>
              </w:rPr>
            </w:pPr>
          </w:p>
        </w:tc>
        <w:tc>
          <w:tcPr>
            <w:tcW w:w="2376" w:type="dxa"/>
            <w:tcBorders>
              <w:top w:val="single" w:sz="4" w:space="0" w:color="auto"/>
              <w:left w:val="single" w:sz="4" w:space="0" w:color="auto"/>
              <w:bottom w:val="single" w:sz="4" w:space="0" w:color="auto"/>
              <w:right w:val="single" w:sz="4" w:space="0" w:color="auto"/>
            </w:tcBorders>
          </w:tcPr>
          <w:p w14:paraId="71961B99" w14:textId="77777777" w:rsidR="00653571" w:rsidRPr="008C5F1C" w:rsidRDefault="00653571" w:rsidP="00534127">
            <w:pPr>
              <w:spacing w:before="120" w:after="120" w:line="360" w:lineRule="auto"/>
              <w:rPr>
                <w:rFonts w:ascii="Times New Roman" w:hAnsi="Times New Roman" w:cs="Times New Roman"/>
                <w:noProof/>
                <w:sz w:val="20"/>
              </w:rPr>
            </w:pPr>
          </w:p>
        </w:tc>
      </w:tr>
      <w:tr w:rsidR="00653571" w:rsidRPr="008C5F1C" w14:paraId="632DD756" w14:textId="77777777" w:rsidTr="00534127">
        <w:tc>
          <w:tcPr>
            <w:tcW w:w="2452" w:type="dxa"/>
            <w:tcBorders>
              <w:top w:val="single" w:sz="4" w:space="0" w:color="auto"/>
              <w:left w:val="single" w:sz="4" w:space="0" w:color="auto"/>
              <w:bottom w:val="single" w:sz="4" w:space="0" w:color="auto"/>
              <w:right w:val="single" w:sz="4" w:space="0" w:color="auto"/>
            </w:tcBorders>
            <w:hideMark/>
          </w:tcPr>
          <w:p w14:paraId="6EA6C56D" w14:textId="77777777" w:rsidR="00653571" w:rsidRPr="008C5F1C" w:rsidRDefault="00653571" w:rsidP="00534127">
            <w:pPr>
              <w:spacing w:before="120" w:after="120" w:line="360" w:lineRule="auto"/>
              <w:rPr>
                <w:rFonts w:ascii="Times New Roman" w:hAnsi="Times New Roman" w:cs="Times New Roman"/>
                <w:noProof/>
                <w:sz w:val="20"/>
              </w:rPr>
            </w:pPr>
            <w:r w:rsidRPr="008C5F1C">
              <w:rPr>
                <w:rFonts w:ascii="Times New Roman" w:hAnsi="Times New Roman" w:cs="Times New Roman"/>
                <w:noProof/>
                <w:sz w:val="20"/>
              </w:rPr>
              <w:t>Audit authority</w:t>
            </w:r>
          </w:p>
        </w:tc>
        <w:tc>
          <w:tcPr>
            <w:tcW w:w="2403" w:type="dxa"/>
            <w:tcBorders>
              <w:top w:val="single" w:sz="4" w:space="0" w:color="auto"/>
              <w:left w:val="single" w:sz="4" w:space="0" w:color="auto"/>
              <w:bottom w:val="single" w:sz="4" w:space="0" w:color="auto"/>
              <w:right w:val="single" w:sz="4" w:space="0" w:color="auto"/>
            </w:tcBorders>
          </w:tcPr>
          <w:p w14:paraId="0EF0E022" w14:textId="363168E5" w:rsidR="00653571" w:rsidRPr="008C5F1C" w:rsidRDefault="00444D73" w:rsidP="00444D73">
            <w:pPr>
              <w:autoSpaceDE w:val="0"/>
              <w:autoSpaceDN w:val="0"/>
              <w:adjustRightInd w:val="0"/>
              <w:spacing w:after="0" w:line="240" w:lineRule="auto"/>
              <w:rPr>
                <w:rFonts w:ascii="Times New Roman" w:hAnsi="Times New Roman" w:cs="Times New Roman"/>
                <w:noProof/>
                <w:sz w:val="20"/>
              </w:rPr>
            </w:pPr>
            <w:r w:rsidRPr="008C5F1C">
              <w:rPr>
                <w:rFonts w:ascii="Times New Roman" w:hAnsi="Times New Roman" w:cs="Times New Roman"/>
                <w:noProof/>
                <w:sz w:val="20"/>
              </w:rPr>
              <w:t>Autoritatea de Audit de pe lângă Curtea de Conturi a României</w:t>
            </w:r>
          </w:p>
        </w:tc>
        <w:tc>
          <w:tcPr>
            <w:tcW w:w="2057" w:type="dxa"/>
            <w:tcBorders>
              <w:top w:val="single" w:sz="4" w:space="0" w:color="auto"/>
              <w:left w:val="single" w:sz="4" w:space="0" w:color="auto"/>
              <w:bottom w:val="single" w:sz="4" w:space="0" w:color="auto"/>
              <w:right w:val="single" w:sz="4" w:space="0" w:color="auto"/>
            </w:tcBorders>
          </w:tcPr>
          <w:p w14:paraId="49D343CE" w14:textId="77777777" w:rsidR="00653571" w:rsidRPr="008C5F1C" w:rsidRDefault="00653571" w:rsidP="00534127">
            <w:pPr>
              <w:spacing w:before="120" w:after="120" w:line="360" w:lineRule="auto"/>
              <w:rPr>
                <w:rFonts w:ascii="Times New Roman" w:hAnsi="Times New Roman" w:cs="Times New Roman"/>
                <w:noProof/>
                <w:sz w:val="20"/>
              </w:rPr>
            </w:pPr>
          </w:p>
        </w:tc>
        <w:tc>
          <w:tcPr>
            <w:tcW w:w="2376" w:type="dxa"/>
            <w:tcBorders>
              <w:top w:val="single" w:sz="4" w:space="0" w:color="auto"/>
              <w:left w:val="single" w:sz="4" w:space="0" w:color="auto"/>
              <w:bottom w:val="single" w:sz="4" w:space="0" w:color="auto"/>
              <w:right w:val="single" w:sz="4" w:space="0" w:color="auto"/>
            </w:tcBorders>
          </w:tcPr>
          <w:p w14:paraId="48DD0C4E" w14:textId="77777777" w:rsidR="00653571" w:rsidRPr="008C5F1C" w:rsidRDefault="00653571" w:rsidP="00534127">
            <w:pPr>
              <w:spacing w:before="120" w:after="120" w:line="360" w:lineRule="auto"/>
              <w:rPr>
                <w:rFonts w:ascii="Times New Roman" w:hAnsi="Times New Roman" w:cs="Times New Roman"/>
                <w:noProof/>
                <w:sz w:val="20"/>
              </w:rPr>
            </w:pPr>
          </w:p>
        </w:tc>
      </w:tr>
      <w:tr w:rsidR="00653571" w:rsidRPr="008C5F1C" w14:paraId="32A7C315" w14:textId="77777777" w:rsidTr="00534127">
        <w:tc>
          <w:tcPr>
            <w:tcW w:w="2452" w:type="dxa"/>
            <w:tcBorders>
              <w:top w:val="single" w:sz="4" w:space="0" w:color="auto"/>
              <w:left w:val="single" w:sz="4" w:space="0" w:color="auto"/>
              <w:bottom w:val="single" w:sz="4" w:space="0" w:color="auto"/>
              <w:right w:val="single" w:sz="4" w:space="0" w:color="auto"/>
            </w:tcBorders>
            <w:hideMark/>
          </w:tcPr>
          <w:p w14:paraId="70AAF7A0" w14:textId="77777777" w:rsidR="00653571" w:rsidRPr="008C5F1C" w:rsidRDefault="00653571" w:rsidP="00534127">
            <w:pPr>
              <w:spacing w:before="120" w:after="120" w:line="360" w:lineRule="auto"/>
              <w:rPr>
                <w:rFonts w:ascii="Times New Roman" w:hAnsi="Times New Roman" w:cs="Times New Roman"/>
                <w:noProof/>
                <w:sz w:val="20"/>
              </w:rPr>
            </w:pPr>
            <w:r w:rsidRPr="008C5F1C">
              <w:rPr>
                <w:rFonts w:ascii="Times New Roman" w:hAnsi="Times New Roman" w:cs="Times New Roman"/>
                <w:noProof/>
                <w:sz w:val="20"/>
              </w:rPr>
              <w:t>Body which receives payments from the Commission</w:t>
            </w:r>
          </w:p>
        </w:tc>
        <w:tc>
          <w:tcPr>
            <w:tcW w:w="2403" w:type="dxa"/>
            <w:tcBorders>
              <w:top w:val="single" w:sz="4" w:space="0" w:color="auto"/>
              <w:left w:val="single" w:sz="4" w:space="0" w:color="auto"/>
              <w:bottom w:val="single" w:sz="4" w:space="0" w:color="auto"/>
              <w:right w:val="single" w:sz="4" w:space="0" w:color="auto"/>
            </w:tcBorders>
          </w:tcPr>
          <w:p w14:paraId="69EA98DA" w14:textId="5F4E4635" w:rsidR="00653571" w:rsidRPr="008C5F1C" w:rsidRDefault="00444D73" w:rsidP="00444D73">
            <w:pPr>
              <w:autoSpaceDE w:val="0"/>
              <w:autoSpaceDN w:val="0"/>
              <w:adjustRightInd w:val="0"/>
              <w:spacing w:after="0" w:line="240" w:lineRule="auto"/>
              <w:rPr>
                <w:rFonts w:ascii="Times New Roman" w:hAnsi="Times New Roman" w:cs="Times New Roman"/>
                <w:noProof/>
                <w:sz w:val="20"/>
              </w:rPr>
            </w:pPr>
            <w:r w:rsidRPr="008C5F1C">
              <w:rPr>
                <w:rFonts w:ascii="Times New Roman" w:hAnsi="Times New Roman" w:cs="Times New Roman"/>
                <w:noProof/>
                <w:sz w:val="20"/>
              </w:rPr>
              <w:t>Autoritatea de Certificare şi Plată (ACP), structură din cadrul Ministerului Finanţelor Publice</w:t>
            </w:r>
          </w:p>
        </w:tc>
        <w:tc>
          <w:tcPr>
            <w:tcW w:w="2057" w:type="dxa"/>
            <w:tcBorders>
              <w:top w:val="single" w:sz="4" w:space="0" w:color="auto"/>
              <w:left w:val="single" w:sz="4" w:space="0" w:color="auto"/>
              <w:bottom w:val="single" w:sz="4" w:space="0" w:color="auto"/>
              <w:right w:val="single" w:sz="4" w:space="0" w:color="auto"/>
            </w:tcBorders>
          </w:tcPr>
          <w:p w14:paraId="67F6DA67" w14:textId="77777777" w:rsidR="00653571" w:rsidRPr="008C5F1C" w:rsidRDefault="00653571" w:rsidP="00534127">
            <w:pPr>
              <w:spacing w:before="120" w:after="120" w:line="360" w:lineRule="auto"/>
              <w:rPr>
                <w:rFonts w:ascii="Times New Roman" w:hAnsi="Times New Roman" w:cs="Times New Roman"/>
                <w:noProof/>
                <w:sz w:val="20"/>
              </w:rPr>
            </w:pPr>
          </w:p>
        </w:tc>
        <w:tc>
          <w:tcPr>
            <w:tcW w:w="2376" w:type="dxa"/>
            <w:tcBorders>
              <w:top w:val="single" w:sz="4" w:space="0" w:color="auto"/>
              <w:left w:val="single" w:sz="4" w:space="0" w:color="auto"/>
              <w:bottom w:val="single" w:sz="4" w:space="0" w:color="auto"/>
              <w:right w:val="single" w:sz="4" w:space="0" w:color="auto"/>
            </w:tcBorders>
          </w:tcPr>
          <w:p w14:paraId="0425A140" w14:textId="77777777" w:rsidR="00653571" w:rsidRPr="008C5F1C" w:rsidRDefault="00653571" w:rsidP="00534127">
            <w:pPr>
              <w:spacing w:before="120" w:after="120" w:line="360" w:lineRule="auto"/>
              <w:rPr>
                <w:rFonts w:ascii="Times New Roman" w:hAnsi="Times New Roman" w:cs="Times New Roman"/>
                <w:noProof/>
                <w:sz w:val="20"/>
              </w:rPr>
            </w:pPr>
          </w:p>
        </w:tc>
      </w:tr>
      <w:tr w:rsidR="00653571" w:rsidRPr="008C5F1C" w14:paraId="6B044013" w14:textId="77777777" w:rsidTr="00534127">
        <w:tc>
          <w:tcPr>
            <w:tcW w:w="2452" w:type="dxa"/>
            <w:tcBorders>
              <w:top w:val="single" w:sz="4" w:space="0" w:color="auto"/>
              <w:left w:val="single" w:sz="4" w:space="0" w:color="auto"/>
              <w:bottom w:val="single" w:sz="4" w:space="0" w:color="auto"/>
              <w:right w:val="single" w:sz="4" w:space="0" w:color="auto"/>
            </w:tcBorders>
            <w:hideMark/>
          </w:tcPr>
          <w:p w14:paraId="68F3C442" w14:textId="77777777" w:rsidR="00653571" w:rsidRPr="008C5F1C" w:rsidRDefault="00653571" w:rsidP="00534127">
            <w:pPr>
              <w:spacing w:before="120" w:after="120" w:line="360" w:lineRule="auto"/>
              <w:rPr>
                <w:rFonts w:ascii="Times New Roman" w:hAnsi="Times New Roman" w:cs="Times New Roman"/>
                <w:b/>
                <w:bCs/>
                <w:noProof/>
                <w:sz w:val="20"/>
                <w:u w:val="single"/>
              </w:rPr>
            </w:pPr>
            <w:r w:rsidRPr="008C5F1C">
              <w:rPr>
                <w:rFonts w:ascii="Times New Roman" w:hAnsi="Times New Roman" w:cs="Times New Roman"/>
                <w:noProof/>
                <w:sz w:val="20"/>
              </w:rPr>
              <w:t>Where app</w:t>
            </w:r>
            <w:r w:rsidRPr="008C5F1C">
              <w:rPr>
                <w:rFonts w:ascii="Times New Roman" w:hAnsi="Times New Roman" w:cs="Times New Roman"/>
                <w:b/>
                <w:noProof/>
                <w:sz w:val="20"/>
                <w:u w:val="single"/>
              </w:rPr>
              <w:t>l</w:t>
            </w:r>
            <w:r w:rsidRPr="008C5F1C">
              <w:rPr>
                <w:rFonts w:ascii="Times New Roman" w:hAnsi="Times New Roman" w:cs="Times New Roman"/>
                <w:noProof/>
                <w:sz w:val="20"/>
              </w:rPr>
              <w:t>icable, body or, bodies which receive payments from the Commission in case of technical assistance pursuant to Article 30(5)</w:t>
            </w:r>
          </w:p>
        </w:tc>
        <w:tc>
          <w:tcPr>
            <w:tcW w:w="2403" w:type="dxa"/>
            <w:tcBorders>
              <w:top w:val="single" w:sz="4" w:space="0" w:color="auto"/>
              <w:left w:val="single" w:sz="4" w:space="0" w:color="auto"/>
              <w:bottom w:val="single" w:sz="4" w:space="0" w:color="auto"/>
              <w:right w:val="single" w:sz="4" w:space="0" w:color="auto"/>
            </w:tcBorders>
          </w:tcPr>
          <w:p w14:paraId="6ABD0AB1" w14:textId="77777777" w:rsidR="00653571" w:rsidRPr="008C5F1C" w:rsidRDefault="00653571" w:rsidP="00534127">
            <w:pPr>
              <w:spacing w:before="120" w:after="120" w:line="360" w:lineRule="auto"/>
              <w:rPr>
                <w:rFonts w:ascii="Times New Roman" w:hAnsi="Times New Roman" w:cs="Times New Roman"/>
                <w:noProof/>
                <w:sz w:val="20"/>
              </w:rPr>
            </w:pPr>
          </w:p>
        </w:tc>
        <w:tc>
          <w:tcPr>
            <w:tcW w:w="2057" w:type="dxa"/>
            <w:tcBorders>
              <w:top w:val="single" w:sz="4" w:space="0" w:color="auto"/>
              <w:left w:val="single" w:sz="4" w:space="0" w:color="auto"/>
              <w:bottom w:val="single" w:sz="4" w:space="0" w:color="auto"/>
              <w:right w:val="single" w:sz="4" w:space="0" w:color="auto"/>
            </w:tcBorders>
          </w:tcPr>
          <w:p w14:paraId="715005A9" w14:textId="77777777" w:rsidR="00653571" w:rsidRPr="008C5F1C" w:rsidRDefault="00653571" w:rsidP="00534127">
            <w:pPr>
              <w:spacing w:before="120" w:after="120" w:line="360" w:lineRule="auto"/>
              <w:rPr>
                <w:rFonts w:ascii="Times New Roman" w:hAnsi="Times New Roman" w:cs="Times New Roman"/>
                <w:noProof/>
                <w:sz w:val="20"/>
              </w:rPr>
            </w:pPr>
          </w:p>
        </w:tc>
        <w:tc>
          <w:tcPr>
            <w:tcW w:w="2376" w:type="dxa"/>
            <w:tcBorders>
              <w:top w:val="single" w:sz="4" w:space="0" w:color="auto"/>
              <w:left w:val="single" w:sz="4" w:space="0" w:color="auto"/>
              <w:bottom w:val="single" w:sz="4" w:space="0" w:color="auto"/>
              <w:right w:val="single" w:sz="4" w:space="0" w:color="auto"/>
            </w:tcBorders>
          </w:tcPr>
          <w:p w14:paraId="25F60AAC" w14:textId="77777777" w:rsidR="00653571" w:rsidRPr="008C5F1C" w:rsidRDefault="00653571" w:rsidP="00534127">
            <w:pPr>
              <w:spacing w:before="120" w:after="120" w:line="360" w:lineRule="auto"/>
              <w:rPr>
                <w:rFonts w:ascii="Times New Roman" w:hAnsi="Times New Roman" w:cs="Times New Roman"/>
                <w:noProof/>
                <w:sz w:val="20"/>
              </w:rPr>
            </w:pPr>
          </w:p>
        </w:tc>
      </w:tr>
      <w:tr w:rsidR="00653571" w:rsidRPr="008C5F1C" w14:paraId="3C7078BA" w14:textId="77777777" w:rsidTr="00534127">
        <w:tc>
          <w:tcPr>
            <w:tcW w:w="2452" w:type="dxa"/>
            <w:tcBorders>
              <w:top w:val="single" w:sz="4" w:space="0" w:color="auto"/>
              <w:left w:val="single" w:sz="4" w:space="0" w:color="auto"/>
              <w:bottom w:val="single" w:sz="4" w:space="0" w:color="auto"/>
              <w:right w:val="single" w:sz="4" w:space="0" w:color="auto"/>
            </w:tcBorders>
            <w:hideMark/>
          </w:tcPr>
          <w:p w14:paraId="1D1AFFB5" w14:textId="77777777" w:rsidR="00653571" w:rsidRPr="008C5F1C" w:rsidRDefault="00653571" w:rsidP="00534127">
            <w:pPr>
              <w:spacing w:before="120" w:after="120" w:line="360" w:lineRule="auto"/>
              <w:rPr>
                <w:rFonts w:ascii="Times New Roman" w:hAnsi="Times New Roman" w:cs="Times New Roman"/>
                <w:noProof/>
                <w:sz w:val="20"/>
              </w:rPr>
            </w:pPr>
            <w:r w:rsidRPr="008C5F1C">
              <w:rPr>
                <w:rFonts w:ascii="Times New Roman" w:hAnsi="Times New Roman" w:cs="Times New Roman"/>
                <w:noProof/>
                <w:sz w:val="20"/>
              </w:rPr>
              <w:t>Accounting function in case this function is entrusted to a body other than the managing authority</w:t>
            </w:r>
          </w:p>
        </w:tc>
        <w:tc>
          <w:tcPr>
            <w:tcW w:w="2403" w:type="dxa"/>
            <w:tcBorders>
              <w:top w:val="single" w:sz="4" w:space="0" w:color="auto"/>
              <w:left w:val="single" w:sz="4" w:space="0" w:color="auto"/>
              <w:bottom w:val="single" w:sz="4" w:space="0" w:color="auto"/>
              <w:right w:val="single" w:sz="4" w:space="0" w:color="auto"/>
            </w:tcBorders>
          </w:tcPr>
          <w:p w14:paraId="2FD07E53" w14:textId="77777777" w:rsidR="00653571" w:rsidRPr="008C5F1C" w:rsidRDefault="00653571" w:rsidP="00534127">
            <w:pPr>
              <w:spacing w:before="120" w:after="120" w:line="360" w:lineRule="auto"/>
              <w:rPr>
                <w:rFonts w:ascii="Times New Roman" w:hAnsi="Times New Roman" w:cs="Times New Roman"/>
                <w:noProof/>
                <w:sz w:val="20"/>
              </w:rPr>
            </w:pPr>
          </w:p>
        </w:tc>
        <w:tc>
          <w:tcPr>
            <w:tcW w:w="2057" w:type="dxa"/>
            <w:tcBorders>
              <w:top w:val="single" w:sz="4" w:space="0" w:color="auto"/>
              <w:left w:val="single" w:sz="4" w:space="0" w:color="auto"/>
              <w:bottom w:val="single" w:sz="4" w:space="0" w:color="auto"/>
              <w:right w:val="single" w:sz="4" w:space="0" w:color="auto"/>
            </w:tcBorders>
          </w:tcPr>
          <w:p w14:paraId="6C8AF923" w14:textId="77777777" w:rsidR="00653571" w:rsidRPr="008C5F1C" w:rsidRDefault="00653571" w:rsidP="00534127">
            <w:pPr>
              <w:spacing w:before="120" w:after="120" w:line="360" w:lineRule="auto"/>
              <w:rPr>
                <w:rFonts w:ascii="Times New Roman" w:hAnsi="Times New Roman" w:cs="Times New Roman"/>
                <w:noProof/>
                <w:sz w:val="20"/>
              </w:rPr>
            </w:pPr>
          </w:p>
        </w:tc>
        <w:tc>
          <w:tcPr>
            <w:tcW w:w="2376" w:type="dxa"/>
            <w:tcBorders>
              <w:top w:val="single" w:sz="4" w:space="0" w:color="auto"/>
              <w:left w:val="single" w:sz="4" w:space="0" w:color="auto"/>
              <w:bottom w:val="single" w:sz="4" w:space="0" w:color="auto"/>
              <w:right w:val="single" w:sz="4" w:space="0" w:color="auto"/>
            </w:tcBorders>
          </w:tcPr>
          <w:p w14:paraId="2A849C64" w14:textId="77777777" w:rsidR="00653571" w:rsidRPr="008C5F1C" w:rsidRDefault="00653571" w:rsidP="00534127">
            <w:pPr>
              <w:spacing w:before="120" w:after="120" w:line="360" w:lineRule="auto"/>
              <w:rPr>
                <w:rFonts w:ascii="Times New Roman" w:hAnsi="Times New Roman" w:cs="Times New Roman"/>
                <w:noProof/>
                <w:sz w:val="20"/>
              </w:rPr>
            </w:pPr>
          </w:p>
        </w:tc>
      </w:tr>
    </w:tbl>
    <w:p w14:paraId="41D44D97" w14:textId="77777777" w:rsidR="00653571" w:rsidRPr="008C5F1C" w:rsidRDefault="00653571" w:rsidP="00653571">
      <w:pPr>
        <w:spacing w:before="120" w:after="120" w:line="360" w:lineRule="auto"/>
        <w:rPr>
          <w:rFonts w:ascii="Times New Roman" w:hAnsi="Times New Roman" w:cs="Times New Roman"/>
          <w:noProof/>
          <w:sz w:val="24"/>
        </w:rPr>
      </w:pPr>
    </w:p>
    <w:p w14:paraId="08B1616A" w14:textId="77777777" w:rsidR="00653571" w:rsidRPr="008C5F1C" w:rsidRDefault="00653571" w:rsidP="00653571">
      <w:pPr>
        <w:spacing w:before="120" w:after="120" w:line="360" w:lineRule="auto"/>
        <w:rPr>
          <w:rFonts w:ascii="Times New Roman" w:eastAsia="Times New Roman" w:hAnsi="Times New Roman" w:cs="Times New Roman"/>
          <w:bCs/>
          <w:i/>
          <w:iCs/>
          <w:noProof/>
          <w:sz w:val="24"/>
          <w:szCs w:val="24"/>
        </w:rPr>
      </w:pPr>
      <w:r w:rsidRPr="008C5F1C">
        <w:rPr>
          <w:rFonts w:ascii="Times New Roman" w:eastAsia="Times New Roman" w:hAnsi="Times New Roman" w:cs="Times New Roman"/>
          <w:bCs/>
          <w:i/>
          <w:noProof/>
          <w:sz w:val="24"/>
          <w:szCs w:val="24"/>
        </w:rPr>
        <w:t>Reference: 4th subparagraph of Article 17(3)</w:t>
      </w:r>
    </w:p>
    <w:p w14:paraId="17F2E4E5" w14:textId="77777777" w:rsidR="00653571" w:rsidRPr="008C5F1C" w:rsidRDefault="00653571" w:rsidP="00653571">
      <w:pPr>
        <w:spacing w:before="120" w:after="120" w:line="360" w:lineRule="auto"/>
        <w:rPr>
          <w:rFonts w:ascii="Times New Roman" w:hAnsi="Times New Roman" w:cs="Times New Roman"/>
          <w:b/>
          <w:noProof/>
          <w:sz w:val="20"/>
        </w:rPr>
      </w:pPr>
      <w:r w:rsidRPr="008C5F1C">
        <w:rPr>
          <w:rFonts w:ascii="Times New Roman" w:hAnsi="Times New Roman" w:cs="Times New Roman"/>
          <w:b/>
          <w:noProof/>
          <w:sz w:val="20"/>
        </w:rPr>
        <w:t>The repartition of the reimbursed amounts for technical assistance pursuant to Article 30(5) if more bodies are identified to receive reimbursements</w:t>
      </w:r>
    </w:p>
    <w:tbl>
      <w:tblPr>
        <w:tblW w:w="0" w:type="auto"/>
        <w:tblLook w:val="04A0" w:firstRow="1" w:lastRow="0" w:firstColumn="1" w:lastColumn="0" w:noHBand="0" w:noVBand="1"/>
      </w:tblPr>
      <w:tblGrid>
        <w:gridCol w:w="8472"/>
        <w:gridCol w:w="850"/>
      </w:tblGrid>
      <w:tr w:rsidR="00653571" w:rsidRPr="008C5F1C" w14:paraId="33011C9A" w14:textId="77777777" w:rsidTr="00534127">
        <w:tc>
          <w:tcPr>
            <w:tcW w:w="9322" w:type="dxa"/>
            <w:gridSpan w:val="2"/>
            <w:tcBorders>
              <w:top w:val="single" w:sz="4" w:space="0" w:color="auto"/>
              <w:left w:val="single" w:sz="4" w:space="0" w:color="auto"/>
              <w:bottom w:val="single" w:sz="4" w:space="0" w:color="auto"/>
              <w:right w:val="single" w:sz="4" w:space="0" w:color="auto"/>
            </w:tcBorders>
            <w:hideMark/>
          </w:tcPr>
          <w:p w14:paraId="5C43E04F" w14:textId="77777777" w:rsidR="00653571" w:rsidRPr="008C5F1C" w:rsidRDefault="00653571" w:rsidP="00534127">
            <w:pPr>
              <w:spacing w:before="120" w:after="120" w:line="360" w:lineRule="auto"/>
              <w:rPr>
                <w:rFonts w:ascii="Times New Roman" w:hAnsi="Times New Roman" w:cs="Times New Roman"/>
                <w:noProof/>
                <w:sz w:val="24"/>
              </w:rPr>
            </w:pPr>
            <w:r w:rsidRPr="008C5F1C">
              <w:rPr>
                <w:rFonts w:ascii="Times New Roman" w:hAnsi="Times New Roman" w:cs="Times New Roman"/>
                <w:b/>
                <w:noProof/>
                <w:sz w:val="20"/>
              </w:rPr>
              <w:t>The portion of the percentages set out in Article 30(5)(b) that would be reimbursed to the bodies which receive payments from the Commission in case of technical assistance pursuant to Article 30(5) (in percentage points)</w:t>
            </w:r>
          </w:p>
        </w:tc>
      </w:tr>
      <w:tr w:rsidR="00653571" w:rsidRPr="008C5F1C" w14:paraId="56DACEF1" w14:textId="77777777" w:rsidTr="00534127">
        <w:tc>
          <w:tcPr>
            <w:tcW w:w="8472" w:type="dxa"/>
            <w:tcBorders>
              <w:top w:val="single" w:sz="4" w:space="0" w:color="auto"/>
              <w:left w:val="single" w:sz="4" w:space="0" w:color="auto"/>
              <w:bottom w:val="single" w:sz="4" w:space="0" w:color="auto"/>
              <w:right w:val="single" w:sz="4" w:space="0" w:color="auto"/>
            </w:tcBorders>
            <w:hideMark/>
          </w:tcPr>
          <w:p w14:paraId="4CB31AFC" w14:textId="77777777" w:rsidR="00653571" w:rsidRPr="008C5F1C" w:rsidRDefault="00653571" w:rsidP="00534127">
            <w:pPr>
              <w:spacing w:before="120" w:after="120" w:line="360" w:lineRule="auto"/>
              <w:rPr>
                <w:rFonts w:ascii="Times New Roman" w:hAnsi="Times New Roman" w:cs="Times New Roman"/>
                <w:noProof/>
                <w:sz w:val="20"/>
              </w:rPr>
            </w:pPr>
            <w:r w:rsidRPr="008C5F1C">
              <w:rPr>
                <w:rFonts w:ascii="Times New Roman" w:hAnsi="Times New Roman" w:cs="Times New Roman"/>
                <w:noProof/>
                <w:sz w:val="20"/>
              </w:rPr>
              <w:t>Body 1</w:t>
            </w:r>
          </w:p>
        </w:tc>
        <w:tc>
          <w:tcPr>
            <w:tcW w:w="850" w:type="dxa"/>
            <w:tcBorders>
              <w:top w:val="single" w:sz="4" w:space="0" w:color="auto"/>
              <w:left w:val="single" w:sz="4" w:space="0" w:color="auto"/>
              <w:bottom w:val="single" w:sz="4" w:space="0" w:color="auto"/>
              <w:right w:val="single" w:sz="4" w:space="0" w:color="auto"/>
            </w:tcBorders>
            <w:hideMark/>
          </w:tcPr>
          <w:p w14:paraId="0E1F03A0" w14:textId="77777777" w:rsidR="00653571" w:rsidRPr="008C5F1C" w:rsidRDefault="00653571" w:rsidP="00534127">
            <w:pPr>
              <w:spacing w:before="120" w:after="120" w:line="360" w:lineRule="auto"/>
              <w:rPr>
                <w:rFonts w:ascii="Times New Roman" w:hAnsi="Times New Roman" w:cs="Times New Roman"/>
                <w:noProof/>
                <w:sz w:val="24"/>
              </w:rPr>
            </w:pPr>
            <w:r w:rsidRPr="008C5F1C">
              <w:rPr>
                <w:rFonts w:ascii="Times New Roman" w:hAnsi="Times New Roman" w:cs="Times New Roman"/>
                <w:noProof/>
                <w:sz w:val="24"/>
              </w:rPr>
              <w:t>p.p.</w:t>
            </w:r>
          </w:p>
        </w:tc>
      </w:tr>
      <w:tr w:rsidR="00653571" w:rsidRPr="008C5F1C" w14:paraId="7C1C9E96" w14:textId="77777777" w:rsidTr="00534127">
        <w:tc>
          <w:tcPr>
            <w:tcW w:w="8472" w:type="dxa"/>
            <w:tcBorders>
              <w:top w:val="single" w:sz="4" w:space="0" w:color="auto"/>
              <w:left w:val="single" w:sz="4" w:space="0" w:color="auto"/>
              <w:bottom w:val="single" w:sz="4" w:space="0" w:color="auto"/>
              <w:right w:val="single" w:sz="4" w:space="0" w:color="auto"/>
            </w:tcBorders>
            <w:hideMark/>
          </w:tcPr>
          <w:p w14:paraId="2341C7C6" w14:textId="77777777" w:rsidR="00653571" w:rsidRPr="008C5F1C" w:rsidRDefault="00653571" w:rsidP="00534127">
            <w:pPr>
              <w:spacing w:before="120" w:after="120" w:line="360" w:lineRule="auto"/>
              <w:rPr>
                <w:rFonts w:ascii="Times New Roman" w:hAnsi="Times New Roman" w:cs="Times New Roman"/>
                <w:noProof/>
                <w:sz w:val="20"/>
              </w:rPr>
            </w:pPr>
            <w:r w:rsidRPr="008C5F1C">
              <w:rPr>
                <w:rFonts w:ascii="Times New Roman" w:hAnsi="Times New Roman" w:cs="Times New Roman"/>
                <w:noProof/>
                <w:sz w:val="20"/>
              </w:rPr>
              <w:lastRenderedPageBreak/>
              <w:t>Body 2</w:t>
            </w:r>
          </w:p>
        </w:tc>
        <w:tc>
          <w:tcPr>
            <w:tcW w:w="850" w:type="dxa"/>
            <w:tcBorders>
              <w:top w:val="single" w:sz="4" w:space="0" w:color="auto"/>
              <w:left w:val="single" w:sz="4" w:space="0" w:color="auto"/>
              <w:bottom w:val="single" w:sz="4" w:space="0" w:color="auto"/>
              <w:right w:val="single" w:sz="4" w:space="0" w:color="auto"/>
            </w:tcBorders>
            <w:hideMark/>
          </w:tcPr>
          <w:p w14:paraId="2D99B0B3" w14:textId="77777777" w:rsidR="00653571" w:rsidRPr="008C5F1C" w:rsidRDefault="00653571" w:rsidP="00534127">
            <w:pPr>
              <w:spacing w:before="120" w:after="120" w:line="360" w:lineRule="auto"/>
              <w:rPr>
                <w:rFonts w:ascii="Times New Roman" w:hAnsi="Times New Roman" w:cs="Times New Roman"/>
                <w:noProof/>
                <w:sz w:val="24"/>
              </w:rPr>
            </w:pPr>
            <w:r w:rsidRPr="008C5F1C">
              <w:rPr>
                <w:rFonts w:ascii="Times New Roman" w:hAnsi="Times New Roman" w:cs="Times New Roman"/>
                <w:noProof/>
                <w:sz w:val="24"/>
              </w:rPr>
              <w:t>p.p.</w:t>
            </w:r>
          </w:p>
        </w:tc>
      </w:tr>
    </w:tbl>
    <w:p w14:paraId="70FCDF58" w14:textId="77777777" w:rsidR="00653571" w:rsidRPr="008C5F1C" w:rsidRDefault="00653571" w:rsidP="00653571">
      <w:pPr>
        <w:spacing w:before="120" w:after="120" w:line="360" w:lineRule="auto"/>
        <w:rPr>
          <w:rFonts w:ascii="Times New Roman" w:hAnsi="Times New Roman" w:cs="Times New Roman"/>
          <w:noProof/>
          <w:sz w:val="24"/>
        </w:rPr>
      </w:pPr>
    </w:p>
    <w:p w14:paraId="301120BD" w14:textId="77777777" w:rsidR="00653571" w:rsidRPr="008C5F1C" w:rsidRDefault="00653571" w:rsidP="00653571">
      <w:pPr>
        <w:pStyle w:val="Heading1"/>
        <w:numPr>
          <w:ilvl w:val="0"/>
          <w:numId w:val="0"/>
        </w:numPr>
        <w:ind w:left="851" w:hanging="851"/>
        <w:rPr>
          <w:rFonts w:cs="Times New Roman"/>
          <w:noProof/>
          <w:lang w:val="ro-RO"/>
        </w:rPr>
      </w:pPr>
      <w:bookmarkStart w:id="139" w:name="_Toc39840956"/>
      <w:r w:rsidRPr="008C5F1C">
        <w:rPr>
          <w:rFonts w:cs="Times New Roman"/>
          <w:noProof/>
          <w:lang w:val="ro-RO"/>
        </w:rPr>
        <w:t>6.</w:t>
      </w:r>
      <w:r w:rsidRPr="008C5F1C">
        <w:rPr>
          <w:rFonts w:cs="Times New Roman"/>
          <w:noProof/>
          <w:lang w:val="ro-RO"/>
        </w:rPr>
        <w:tab/>
        <w:t>Partnership</w:t>
      </w:r>
      <w:bookmarkEnd w:id="139"/>
      <w:r w:rsidRPr="008C5F1C">
        <w:rPr>
          <w:rFonts w:cs="Times New Roman"/>
          <w:noProof/>
          <w:lang w:val="ro-RO"/>
        </w:rPr>
        <w:t xml:space="preserve"> </w:t>
      </w:r>
    </w:p>
    <w:p w14:paraId="1C21D08C" w14:textId="77777777" w:rsidR="00653571" w:rsidRPr="008C5F1C" w:rsidRDefault="00653571" w:rsidP="00653571">
      <w:pPr>
        <w:spacing w:before="120" w:after="120" w:line="360" w:lineRule="auto"/>
        <w:rPr>
          <w:rFonts w:ascii="Times New Roman" w:eastAsia="Times New Roman" w:hAnsi="Times New Roman" w:cs="Times New Roman"/>
          <w:b/>
          <w:i/>
          <w:iCs/>
          <w:noProof/>
          <w:sz w:val="24"/>
          <w:szCs w:val="24"/>
        </w:rPr>
      </w:pPr>
      <w:r w:rsidRPr="008C5F1C">
        <w:rPr>
          <w:rFonts w:ascii="Times New Roman" w:eastAsia="Times New Roman" w:hAnsi="Times New Roman" w:cs="Times New Roman"/>
          <w:i/>
          <w:noProof/>
          <w:sz w:val="24"/>
          <w:szCs w:val="24"/>
        </w:rPr>
        <w:t>Reference: Article 17(3)(g)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653571" w:rsidRPr="008C5F1C" w14:paraId="55AF234E" w14:textId="77777777" w:rsidTr="00534127">
        <w:tc>
          <w:tcPr>
            <w:tcW w:w="9288" w:type="dxa"/>
            <w:tcBorders>
              <w:top w:val="single" w:sz="4" w:space="0" w:color="auto"/>
              <w:left w:val="single" w:sz="4" w:space="0" w:color="auto"/>
              <w:bottom w:val="single" w:sz="4" w:space="0" w:color="auto"/>
              <w:right w:val="single" w:sz="4" w:space="0" w:color="auto"/>
            </w:tcBorders>
          </w:tcPr>
          <w:p w14:paraId="584A5530" w14:textId="38B769E2" w:rsidR="00FA297D" w:rsidRPr="008C5F1C" w:rsidRDefault="00FA297D" w:rsidP="00FA297D">
            <w:pPr>
              <w:autoSpaceDE w:val="0"/>
              <w:autoSpaceDN w:val="0"/>
              <w:adjustRightInd w:val="0"/>
              <w:spacing w:after="120" w:line="240" w:lineRule="auto"/>
              <w:jc w:val="both"/>
              <w:rPr>
                <w:rFonts w:ascii="Times New Roman" w:hAnsi="Times New Roman" w:cs="Times New Roman"/>
              </w:rPr>
            </w:pPr>
            <w:bookmarkStart w:id="140" w:name="_Hlk50654171"/>
            <w:r w:rsidRPr="008C5F1C">
              <w:rPr>
                <w:rFonts w:ascii="Times New Roman" w:hAnsi="Times New Roman" w:cs="Times New Roman"/>
              </w:rPr>
              <w:t xml:space="preserve">În conformitate cu prevederile RDC pentru ciclul de programare 2021-2027, precum </w:t>
            </w:r>
            <w:r w:rsidR="00106240" w:rsidRPr="008C5F1C">
              <w:rPr>
                <w:rFonts w:ascii="Times New Roman" w:hAnsi="Times New Roman" w:cs="Times New Roman"/>
              </w:rPr>
              <w:t>ș</w:t>
            </w:r>
            <w:r w:rsidRPr="008C5F1C">
              <w:rPr>
                <w:rFonts w:ascii="Times New Roman" w:hAnsi="Times New Roman" w:cs="Times New Roman"/>
              </w:rPr>
              <w:t>i cu orient</w:t>
            </w:r>
            <w:r w:rsidR="00BA7827" w:rsidRPr="008C5F1C">
              <w:rPr>
                <w:rFonts w:ascii="Times New Roman" w:hAnsi="Times New Roman" w:cs="Times New Roman"/>
              </w:rPr>
              <w:t>ă</w:t>
            </w:r>
            <w:r w:rsidRPr="008C5F1C">
              <w:rPr>
                <w:rFonts w:ascii="Times New Roman" w:hAnsi="Times New Roman" w:cs="Times New Roman"/>
              </w:rPr>
              <w:t xml:space="preserve">rile </w:t>
            </w:r>
            <w:r w:rsidR="00106240" w:rsidRPr="008C5F1C">
              <w:rPr>
                <w:rFonts w:ascii="Times New Roman" w:hAnsi="Times New Roman" w:cs="Times New Roman"/>
              </w:rPr>
              <w:t>ș</w:t>
            </w:r>
            <w:r w:rsidRPr="008C5F1C">
              <w:rPr>
                <w:rFonts w:ascii="Times New Roman" w:hAnsi="Times New Roman" w:cs="Times New Roman"/>
              </w:rPr>
              <w:t>i recomand</w:t>
            </w:r>
            <w:r w:rsidR="00BA7827" w:rsidRPr="008C5F1C">
              <w:rPr>
                <w:rFonts w:ascii="Times New Roman" w:hAnsi="Times New Roman" w:cs="Times New Roman"/>
              </w:rPr>
              <w:t>ă</w:t>
            </w:r>
            <w:r w:rsidRPr="008C5F1C">
              <w:rPr>
                <w:rFonts w:ascii="Times New Roman" w:hAnsi="Times New Roman" w:cs="Times New Roman"/>
              </w:rPr>
              <w:t>rile CE în ceea ce prive</w:t>
            </w:r>
            <w:r w:rsidR="00106240" w:rsidRPr="008C5F1C">
              <w:rPr>
                <w:rFonts w:ascii="Times New Roman" w:hAnsi="Times New Roman" w:cs="Times New Roman"/>
              </w:rPr>
              <w:t>ș</w:t>
            </w:r>
            <w:r w:rsidRPr="008C5F1C">
              <w:rPr>
                <w:rFonts w:ascii="Times New Roman" w:hAnsi="Times New Roman" w:cs="Times New Roman"/>
              </w:rPr>
              <w:t>te aplicarea principiului parteneriatului,   consultarea diferitelor categorii de p</w:t>
            </w:r>
            <w:r w:rsidR="00BA7827" w:rsidRPr="008C5F1C">
              <w:rPr>
                <w:rFonts w:ascii="Times New Roman" w:hAnsi="Times New Roman" w:cs="Times New Roman"/>
              </w:rPr>
              <w:t>ă</w:t>
            </w:r>
            <w:r w:rsidRPr="008C5F1C">
              <w:rPr>
                <w:rFonts w:ascii="Times New Roman" w:hAnsi="Times New Roman" w:cs="Times New Roman"/>
              </w:rPr>
              <w:t>r</w:t>
            </w:r>
            <w:r w:rsidR="00E22FF2" w:rsidRPr="008C5F1C">
              <w:rPr>
                <w:rFonts w:ascii="Times New Roman" w:hAnsi="Times New Roman" w:cs="Times New Roman"/>
              </w:rPr>
              <w:t>ț</w:t>
            </w:r>
            <w:r w:rsidRPr="008C5F1C">
              <w:rPr>
                <w:rFonts w:ascii="Times New Roman" w:hAnsi="Times New Roman" w:cs="Times New Roman"/>
              </w:rPr>
              <w:t>i interesate în implementarea POR N</w:t>
            </w:r>
            <w:r w:rsidR="008055DD" w:rsidRPr="008C5F1C">
              <w:rPr>
                <w:rFonts w:ascii="Times New Roman" w:hAnsi="Times New Roman" w:cs="Times New Roman"/>
              </w:rPr>
              <w:t>ord-</w:t>
            </w:r>
            <w:r w:rsidRPr="008C5F1C">
              <w:rPr>
                <w:rFonts w:ascii="Times New Roman" w:hAnsi="Times New Roman" w:cs="Times New Roman"/>
              </w:rPr>
              <w:t>V</w:t>
            </w:r>
            <w:r w:rsidR="008055DD" w:rsidRPr="008C5F1C">
              <w:rPr>
                <w:rFonts w:ascii="Times New Roman" w:hAnsi="Times New Roman" w:cs="Times New Roman"/>
              </w:rPr>
              <w:t>est</w:t>
            </w:r>
            <w:r w:rsidRPr="008C5F1C">
              <w:rPr>
                <w:rFonts w:ascii="Times New Roman" w:hAnsi="Times New Roman" w:cs="Times New Roman"/>
              </w:rPr>
              <w:t xml:space="preserve"> trebuie s</w:t>
            </w:r>
            <w:r w:rsidR="00BA7827" w:rsidRPr="008C5F1C">
              <w:rPr>
                <w:rFonts w:ascii="Times New Roman" w:hAnsi="Times New Roman" w:cs="Times New Roman"/>
              </w:rPr>
              <w:t>ă</w:t>
            </w:r>
            <w:r w:rsidRPr="008C5F1C">
              <w:rPr>
                <w:rFonts w:ascii="Times New Roman" w:hAnsi="Times New Roman" w:cs="Times New Roman"/>
              </w:rPr>
              <w:t xml:space="preserve"> se reg</w:t>
            </w:r>
            <w:r w:rsidR="00BA7827" w:rsidRPr="008C5F1C">
              <w:rPr>
                <w:rFonts w:ascii="Times New Roman" w:hAnsi="Times New Roman" w:cs="Times New Roman"/>
              </w:rPr>
              <w:t>ă</w:t>
            </w:r>
            <w:r w:rsidRPr="008C5F1C">
              <w:rPr>
                <w:rFonts w:ascii="Times New Roman" w:hAnsi="Times New Roman" w:cs="Times New Roman"/>
              </w:rPr>
              <w:t>seasc</w:t>
            </w:r>
            <w:r w:rsidR="00BA7827" w:rsidRPr="008C5F1C">
              <w:rPr>
                <w:rFonts w:ascii="Times New Roman" w:hAnsi="Times New Roman" w:cs="Times New Roman"/>
              </w:rPr>
              <w:t>ă</w:t>
            </w:r>
            <w:r w:rsidRPr="008C5F1C">
              <w:rPr>
                <w:rFonts w:ascii="Times New Roman" w:hAnsi="Times New Roman" w:cs="Times New Roman"/>
              </w:rPr>
              <w:t xml:space="preserve"> într-o manier</w:t>
            </w:r>
            <w:r w:rsidR="00BA7827" w:rsidRPr="008C5F1C">
              <w:rPr>
                <w:rFonts w:ascii="Times New Roman" w:hAnsi="Times New Roman" w:cs="Times New Roman"/>
              </w:rPr>
              <w:t>ă</w:t>
            </w:r>
            <w:r w:rsidRPr="008C5F1C">
              <w:rPr>
                <w:rFonts w:ascii="Times New Roman" w:hAnsi="Times New Roman" w:cs="Times New Roman"/>
              </w:rPr>
              <w:t xml:space="preserve"> adecvat</w:t>
            </w:r>
            <w:r w:rsidR="00BA7827" w:rsidRPr="008C5F1C">
              <w:rPr>
                <w:rFonts w:ascii="Times New Roman" w:hAnsi="Times New Roman" w:cs="Times New Roman"/>
              </w:rPr>
              <w:t>ă</w:t>
            </w:r>
            <w:r w:rsidRPr="008C5F1C">
              <w:rPr>
                <w:rFonts w:ascii="Times New Roman" w:hAnsi="Times New Roman" w:cs="Times New Roman"/>
              </w:rPr>
              <w:t xml:space="preserve"> atât în faza preg</w:t>
            </w:r>
            <w:r w:rsidR="00BA7827" w:rsidRPr="008C5F1C">
              <w:rPr>
                <w:rFonts w:ascii="Times New Roman" w:hAnsi="Times New Roman" w:cs="Times New Roman"/>
              </w:rPr>
              <w:t>ă</w:t>
            </w:r>
            <w:r w:rsidRPr="008C5F1C">
              <w:rPr>
                <w:rFonts w:ascii="Times New Roman" w:hAnsi="Times New Roman" w:cs="Times New Roman"/>
              </w:rPr>
              <w:t xml:space="preserve">titoare, cât </w:t>
            </w:r>
            <w:r w:rsidR="00106240" w:rsidRPr="008C5F1C">
              <w:rPr>
                <w:rFonts w:ascii="Times New Roman" w:hAnsi="Times New Roman" w:cs="Times New Roman"/>
              </w:rPr>
              <w:t>ș</w:t>
            </w:r>
            <w:r w:rsidRPr="008C5F1C">
              <w:rPr>
                <w:rFonts w:ascii="Times New Roman" w:hAnsi="Times New Roman" w:cs="Times New Roman"/>
              </w:rPr>
              <w:t>i în cea de implementare propriu-zis</w:t>
            </w:r>
            <w:r w:rsidR="00BA7827" w:rsidRPr="008C5F1C">
              <w:rPr>
                <w:rFonts w:ascii="Times New Roman" w:hAnsi="Times New Roman" w:cs="Times New Roman"/>
              </w:rPr>
              <w:t>ă</w:t>
            </w:r>
            <w:r w:rsidRPr="008C5F1C">
              <w:rPr>
                <w:rFonts w:ascii="Times New Roman" w:hAnsi="Times New Roman" w:cs="Times New Roman"/>
              </w:rPr>
              <w:t>.</w:t>
            </w:r>
          </w:p>
          <w:p w14:paraId="36B2F378" w14:textId="77777777" w:rsidR="00FA297D" w:rsidRPr="008C5F1C" w:rsidRDefault="00FA297D" w:rsidP="00FA297D">
            <w:pPr>
              <w:autoSpaceDE w:val="0"/>
              <w:autoSpaceDN w:val="0"/>
              <w:adjustRightInd w:val="0"/>
              <w:spacing w:after="120" w:line="240" w:lineRule="auto"/>
              <w:jc w:val="both"/>
              <w:rPr>
                <w:rFonts w:ascii="Times New Roman" w:hAnsi="Times New Roman" w:cs="Times New Roman"/>
              </w:rPr>
            </w:pPr>
            <w:r w:rsidRPr="008C5F1C">
              <w:rPr>
                <w:rFonts w:ascii="Times New Roman" w:hAnsi="Times New Roman" w:cs="Times New Roman"/>
              </w:rPr>
              <w:t>Cadrul general privind aplicarea principiului parteneriatului este asigurat de c</w:t>
            </w:r>
            <w:r w:rsidR="00BA7827" w:rsidRPr="008C5F1C">
              <w:rPr>
                <w:rFonts w:ascii="Times New Roman" w:hAnsi="Times New Roman" w:cs="Times New Roman"/>
              </w:rPr>
              <w:t>ă</w:t>
            </w:r>
            <w:r w:rsidRPr="008C5F1C">
              <w:rPr>
                <w:rFonts w:ascii="Times New Roman" w:hAnsi="Times New Roman" w:cs="Times New Roman"/>
              </w:rPr>
              <w:t xml:space="preserve">tre Ministerul Fondurilor Europene, iar la nivelul regiunii au fost preluate principiile </w:t>
            </w:r>
            <w:r w:rsidR="00106240" w:rsidRPr="008C5F1C">
              <w:rPr>
                <w:rFonts w:ascii="Times New Roman" w:hAnsi="Times New Roman" w:cs="Times New Roman"/>
              </w:rPr>
              <w:t>ș</w:t>
            </w:r>
            <w:r w:rsidRPr="008C5F1C">
              <w:rPr>
                <w:rFonts w:ascii="Times New Roman" w:hAnsi="Times New Roman" w:cs="Times New Roman"/>
              </w:rPr>
              <w:t>i mecanismele instituite la nivel na</w:t>
            </w:r>
            <w:r w:rsidR="00E22FF2" w:rsidRPr="008C5F1C">
              <w:rPr>
                <w:rFonts w:ascii="Times New Roman" w:hAnsi="Times New Roman" w:cs="Times New Roman"/>
              </w:rPr>
              <w:t>ț</w:t>
            </w:r>
            <w:r w:rsidRPr="008C5F1C">
              <w:rPr>
                <w:rFonts w:ascii="Times New Roman" w:hAnsi="Times New Roman" w:cs="Times New Roman"/>
              </w:rPr>
              <w:t xml:space="preserve">ional. </w:t>
            </w:r>
          </w:p>
          <w:p w14:paraId="0A33250E" w14:textId="77777777" w:rsidR="00FA297D" w:rsidRPr="008C5F1C" w:rsidRDefault="00FA297D" w:rsidP="00FA297D">
            <w:pPr>
              <w:autoSpaceDE w:val="0"/>
              <w:autoSpaceDN w:val="0"/>
              <w:adjustRightInd w:val="0"/>
              <w:spacing w:after="0" w:line="240" w:lineRule="auto"/>
              <w:jc w:val="both"/>
              <w:rPr>
                <w:rFonts w:ascii="Times New Roman" w:hAnsi="Times New Roman" w:cs="Times New Roman"/>
              </w:rPr>
            </w:pPr>
            <w:r w:rsidRPr="008C5F1C">
              <w:rPr>
                <w:rFonts w:ascii="Times New Roman" w:hAnsi="Times New Roman" w:cs="Times New Roman"/>
              </w:rPr>
              <w:t>Codul Na</w:t>
            </w:r>
            <w:r w:rsidR="00E22FF2" w:rsidRPr="008C5F1C">
              <w:rPr>
                <w:rFonts w:ascii="Times New Roman" w:hAnsi="Times New Roman" w:cs="Times New Roman"/>
              </w:rPr>
              <w:t>ț</w:t>
            </w:r>
            <w:r w:rsidRPr="008C5F1C">
              <w:rPr>
                <w:rFonts w:ascii="Times New Roman" w:hAnsi="Times New Roman" w:cs="Times New Roman"/>
              </w:rPr>
              <w:t>ional de conduit</w:t>
            </w:r>
            <w:r w:rsidR="00BA7827" w:rsidRPr="008C5F1C">
              <w:rPr>
                <w:rFonts w:ascii="Times New Roman" w:hAnsi="Times New Roman" w:cs="Times New Roman"/>
              </w:rPr>
              <w:t>ă</w:t>
            </w:r>
            <w:r w:rsidRPr="008C5F1C">
              <w:rPr>
                <w:rFonts w:ascii="Times New Roman" w:hAnsi="Times New Roman" w:cs="Times New Roman"/>
              </w:rPr>
              <w:t xml:space="preserve"> privind organizarea parteneriatului:</w:t>
            </w:r>
          </w:p>
          <w:p w14:paraId="6721311F" w14:textId="77777777" w:rsidR="00FA297D" w:rsidRPr="008C5F1C" w:rsidRDefault="00FA297D" w:rsidP="00F729F2">
            <w:pPr>
              <w:pStyle w:val="ListParagraph"/>
              <w:numPr>
                <w:ilvl w:val="0"/>
                <w:numId w:val="65"/>
              </w:numPr>
              <w:autoSpaceDE w:val="0"/>
              <w:autoSpaceDN w:val="0"/>
              <w:adjustRightInd w:val="0"/>
              <w:spacing w:after="0" w:line="240" w:lineRule="auto"/>
              <w:jc w:val="both"/>
              <w:rPr>
                <w:sz w:val="22"/>
                <w:lang w:val="ro-RO"/>
              </w:rPr>
            </w:pPr>
            <w:r w:rsidRPr="008C5F1C">
              <w:rPr>
                <w:sz w:val="22"/>
                <w:lang w:val="ro-RO"/>
              </w:rPr>
              <w:t>are ca punct de pornire Codul European de Conduit</w:t>
            </w:r>
            <w:r w:rsidR="00BA7827" w:rsidRPr="008C5F1C">
              <w:rPr>
                <w:sz w:val="22"/>
                <w:lang w:val="ro-RO"/>
              </w:rPr>
              <w:t>ă</w:t>
            </w:r>
            <w:r w:rsidRPr="008C5F1C">
              <w:rPr>
                <w:sz w:val="22"/>
                <w:lang w:val="ro-RO"/>
              </w:rPr>
              <w:t xml:space="preserve"> privind parteneriatul instituit prin Regulamentul Delegat ( nr 240 2014 privind Codul european de conduit</w:t>
            </w:r>
            <w:r w:rsidR="00BA7827" w:rsidRPr="008C5F1C">
              <w:rPr>
                <w:sz w:val="22"/>
                <w:lang w:val="ro-RO"/>
              </w:rPr>
              <w:t>ă</w:t>
            </w:r>
            <w:r w:rsidRPr="008C5F1C">
              <w:rPr>
                <w:sz w:val="22"/>
                <w:lang w:val="ro-RO"/>
              </w:rPr>
              <w:t xml:space="preserve"> referitor la parteneriat, în cadrul fondurilor europene structurale </w:t>
            </w:r>
            <w:r w:rsidR="00106240" w:rsidRPr="008C5F1C">
              <w:rPr>
                <w:sz w:val="22"/>
                <w:lang w:val="ro-RO"/>
              </w:rPr>
              <w:t>ș</w:t>
            </w:r>
            <w:r w:rsidRPr="008C5F1C">
              <w:rPr>
                <w:sz w:val="22"/>
                <w:lang w:val="ro-RO"/>
              </w:rPr>
              <w:t>i de investi</w:t>
            </w:r>
            <w:r w:rsidR="00E22FF2" w:rsidRPr="008C5F1C">
              <w:rPr>
                <w:sz w:val="22"/>
                <w:lang w:val="ro-RO"/>
              </w:rPr>
              <w:t>ț</w:t>
            </w:r>
            <w:r w:rsidRPr="008C5F1C">
              <w:rPr>
                <w:sz w:val="22"/>
                <w:lang w:val="ro-RO"/>
              </w:rPr>
              <w:t>ii</w:t>
            </w:r>
          </w:p>
          <w:p w14:paraId="7F666473" w14:textId="77777777" w:rsidR="00FA297D" w:rsidRPr="008C5F1C" w:rsidRDefault="00FA297D" w:rsidP="00F729F2">
            <w:pPr>
              <w:pStyle w:val="ListParagraph"/>
              <w:numPr>
                <w:ilvl w:val="0"/>
                <w:numId w:val="65"/>
              </w:numPr>
              <w:autoSpaceDE w:val="0"/>
              <w:autoSpaceDN w:val="0"/>
              <w:adjustRightInd w:val="0"/>
              <w:spacing w:after="0" w:line="240" w:lineRule="auto"/>
              <w:jc w:val="both"/>
              <w:rPr>
                <w:sz w:val="22"/>
                <w:lang w:val="ro-RO"/>
              </w:rPr>
            </w:pPr>
            <w:r w:rsidRPr="008C5F1C">
              <w:rPr>
                <w:sz w:val="22"/>
                <w:lang w:val="ro-RO"/>
              </w:rPr>
              <w:t>se dore</w:t>
            </w:r>
            <w:r w:rsidR="00106240" w:rsidRPr="008C5F1C">
              <w:rPr>
                <w:sz w:val="22"/>
                <w:lang w:val="ro-RO"/>
              </w:rPr>
              <w:t>ș</w:t>
            </w:r>
            <w:r w:rsidRPr="008C5F1C">
              <w:rPr>
                <w:sz w:val="22"/>
                <w:lang w:val="ro-RO"/>
              </w:rPr>
              <w:t>te a fi un îndrumar destinat partenerilor implica</w:t>
            </w:r>
            <w:r w:rsidR="00E22FF2" w:rsidRPr="008C5F1C">
              <w:rPr>
                <w:sz w:val="22"/>
                <w:lang w:val="ro-RO"/>
              </w:rPr>
              <w:t>ț</w:t>
            </w:r>
            <w:r w:rsidRPr="008C5F1C">
              <w:rPr>
                <w:sz w:val="22"/>
                <w:lang w:val="ro-RO"/>
              </w:rPr>
              <w:t xml:space="preserve">i în procesul de programare </w:t>
            </w:r>
            <w:r w:rsidR="00106240" w:rsidRPr="008C5F1C">
              <w:rPr>
                <w:sz w:val="22"/>
                <w:lang w:val="ro-RO"/>
              </w:rPr>
              <w:t>ș</w:t>
            </w:r>
            <w:r w:rsidRPr="008C5F1C">
              <w:rPr>
                <w:sz w:val="22"/>
                <w:lang w:val="ro-RO"/>
              </w:rPr>
              <w:t>i gestionare a fondurilor europene pentru derularea unor procese de consultare eficiente</w:t>
            </w:r>
          </w:p>
          <w:p w14:paraId="16288917" w14:textId="77777777" w:rsidR="00FA297D" w:rsidRPr="008C5F1C" w:rsidRDefault="00FA297D" w:rsidP="00F729F2">
            <w:pPr>
              <w:pStyle w:val="ListParagraph"/>
              <w:numPr>
                <w:ilvl w:val="0"/>
                <w:numId w:val="65"/>
              </w:numPr>
              <w:autoSpaceDE w:val="0"/>
              <w:autoSpaceDN w:val="0"/>
              <w:adjustRightInd w:val="0"/>
              <w:spacing w:after="0" w:line="240" w:lineRule="auto"/>
              <w:jc w:val="both"/>
              <w:rPr>
                <w:sz w:val="22"/>
                <w:lang w:val="ro-RO"/>
              </w:rPr>
            </w:pPr>
            <w:r w:rsidRPr="008C5F1C">
              <w:rPr>
                <w:sz w:val="22"/>
                <w:lang w:val="ro-RO"/>
              </w:rPr>
              <w:t>include valorile, principiile de baz</w:t>
            </w:r>
            <w:r w:rsidR="00BA7827" w:rsidRPr="008C5F1C">
              <w:rPr>
                <w:sz w:val="22"/>
                <w:lang w:val="ro-RO"/>
              </w:rPr>
              <w:t>ă</w:t>
            </w:r>
            <w:r w:rsidRPr="008C5F1C">
              <w:rPr>
                <w:sz w:val="22"/>
                <w:lang w:val="ro-RO"/>
              </w:rPr>
              <w:t xml:space="preserve"> </w:t>
            </w:r>
            <w:r w:rsidR="00106240" w:rsidRPr="008C5F1C">
              <w:rPr>
                <w:sz w:val="22"/>
                <w:lang w:val="ro-RO"/>
              </w:rPr>
              <w:t>ș</w:t>
            </w:r>
            <w:r w:rsidRPr="008C5F1C">
              <w:rPr>
                <w:sz w:val="22"/>
                <w:lang w:val="ro-RO"/>
              </w:rPr>
              <w:t>i regulile care ghideaz</w:t>
            </w:r>
            <w:r w:rsidR="00BA7827" w:rsidRPr="008C5F1C">
              <w:rPr>
                <w:sz w:val="22"/>
                <w:lang w:val="ro-RO"/>
              </w:rPr>
              <w:t>ă</w:t>
            </w:r>
            <w:r w:rsidRPr="008C5F1C">
              <w:rPr>
                <w:sz w:val="22"/>
                <w:lang w:val="ro-RO"/>
              </w:rPr>
              <w:t xml:space="preserve"> func</w:t>
            </w:r>
            <w:r w:rsidR="00E22FF2" w:rsidRPr="008C5F1C">
              <w:rPr>
                <w:sz w:val="22"/>
                <w:lang w:val="ro-RO"/>
              </w:rPr>
              <w:t>ț</w:t>
            </w:r>
            <w:r w:rsidRPr="008C5F1C">
              <w:rPr>
                <w:sz w:val="22"/>
                <w:lang w:val="ro-RO"/>
              </w:rPr>
              <w:t xml:space="preserve">ionarea structurilor parteneriale implicate în procesul de programare </w:t>
            </w:r>
            <w:r w:rsidR="00106240" w:rsidRPr="008C5F1C">
              <w:rPr>
                <w:sz w:val="22"/>
                <w:lang w:val="ro-RO"/>
              </w:rPr>
              <w:t>ș</w:t>
            </w:r>
            <w:r w:rsidRPr="008C5F1C">
              <w:rPr>
                <w:sz w:val="22"/>
                <w:lang w:val="ro-RO"/>
              </w:rPr>
              <w:t>i gestionare a fondurilor europene</w:t>
            </w:r>
          </w:p>
          <w:p w14:paraId="2C1FEDD4" w14:textId="77777777" w:rsidR="00FA297D" w:rsidRPr="008C5F1C" w:rsidRDefault="00FA297D" w:rsidP="00F729F2">
            <w:pPr>
              <w:pStyle w:val="ListParagraph"/>
              <w:numPr>
                <w:ilvl w:val="0"/>
                <w:numId w:val="65"/>
              </w:numPr>
              <w:autoSpaceDE w:val="0"/>
              <w:autoSpaceDN w:val="0"/>
              <w:adjustRightInd w:val="0"/>
              <w:spacing w:after="0" w:line="240" w:lineRule="auto"/>
              <w:jc w:val="both"/>
              <w:rPr>
                <w:sz w:val="22"/>
                <w:lang w:val="ro-RO"/>
              </w:rPr>
            </w:pPr>
            <w:r w:rsidRPr="008C5F1C">
              <w:rPr>
                <w:sz w:val="22"/>
                <w:lang w:val="ro-RO"/>
              </w:rPr>
              <w:t>instituie un cadru comun de derulare a consult</w:t>
            </w:r>
            <w:r w:rsidR="00BA7827" w:rsidRPr="008C5F1C">
              <w:rPr>
                <w:sz w:val="22"/>
                <w:lang w:val="ro-RO"/>
              </w:rPr>
              <w:t>ă</w:t>
            </w:r>
            <w:r w:rsidRPr="008C5F1C">
              <w:rPr>
                <w:sz w:val="22"/>
                <w:lang w:val="ro-RO"/>
              </w:rPr>
              <w:t>rilor parteneriale, în scopul omogeniz</w:t>
            </w:r>
            <w:r w:rsidR="00BA7827" w:rsidRPr="008C5F1C">
              <w:rPr>
                <w:sz w:val="22"/>
                <w:lang w:val="ro-RO"/>
              </w:rPr>
              <w:t>ă</w:t>
            </w:r>
            <w:r w:rsidRPr="008C5F1C">
              <w:rPr>
                <w:sz w:val="22"/>
                <w:lang w:val="ro-RO"/>
              </w:rPr>
              <w:t>rii modului de func</w:t>
            </w:r>
            <w:r w:rsidR="00E22FF2" w:rsidRPr="008C5F1C">
              <w:rPr>
                <w:sz w:val="22"/>
                <w:lang w:val="ro-RO"/>
              </w:rPr>
              <w:t>ț</w:t>
            </w:r>
            <w:r w:rsidRPr="008C5F1C">
              <w:rPr>
                <w:sz w:val="22"/>
                <w:lang w:val="ro-RO"/>
              </w:rPr>
              <w:t xml:space="preserve">ionare a acestora </w:t>
            </w:r>
            <w:r w:rsidR="00106240" w:rsidRPr="008C5F1C">
              <w:rPr>
                <w:sz w:val="22"/>
                <w:lang w:val="ro-RO"/>
              </w:rPr>
              <w:t>ș</w:t>
            </w:r>
            <w:r w:rsidRPr="008C5F1C">
              <w:rPr>
                <w:sz w:val="22"/>
                <w:lang w:val="ro-RO"/>
              </w:rPr>
              <w:t>i cre</w:t>
            </w:r>
            <w:r w:rsidR="00106240" w:rsidRPr="008C5F1C">
              <w:rPr>
                <w:sz w:val="22"/>
                <w:lang w:val="ro-RO"/>
              </w:rPr>
              <w:t>ș</w:t>
            </w:r>
            <w:r w:rsidRPr="008C5F1C">
              <w:rPr>
                <w:sz w:val="22"/>
                <w:lang w:val="ro-RO"/>
              </w:rPr>
              <w:t>terii capacit</w:t>
            </w:r>
            <w:r w:rsidR="00BA7827" w:rsidRPr="008C5F1C">
              <w:rPr>
                <w:sz w:val="22"/>
                <w:lang w:val="ro-RO"/>
              </w:rPr>
              <w:t>ă</w:t>
            </w:r>
            <w:r w:rsidR="00E22FF2" w:rsidRPr="008C5F1C">
              <w:rPr>
                <w:sz w:val="22"/>
                <w:lang w:val="ro-RO"/>
              </w:rPr>
              <w:t>ț</w:t>
            </w:r>
            <w:r w:rsidRPr="008C5F1C">
              <w:rPr>
                <w:sz w:val="22"/>
                <w:lang w:val="ro-RO"/>
              </w:rPr>
              <w:t>ii opera</w:t>
            </w:r>
            <w:r w:rsidR="00E22FF2" w:rsidRPr="008C5F1C">
              <w:rPr>
                <w:sz w:val="22"/>
                <w:lang w:val="ro-RO"/>
              </w:rPr>
              <w:t>ț</w:t>
            </w:r>
            <w:r w:rsidRPr="008C5F1C">
              <w:rPr>
                <w:sz w:val="22"/>
                <w:lang w:val="ro-RO"/>
              </w:rPr>
              <w:t xml:space="preserve">ionale a acestora de a genera rezultate cu impact pentru procesul de programare </w:t>
            </w:r>
            <w:r w:rsidR="00106240" w:rsidRPr="008C5F1C">
              <w:rPr>
                <w:sz w:val="22"/>
                <w:lang w:val="ro-RO"/>
              </w:rPr>
              <w:t>ș</w:t>
            </w:r>
            <w:r w:rsidRPr="008C5F1C">
              <w:rPr>
                <w:sz w:val="22"/>
                <w:lang w:val="ro-RO"/>
              </w:rPr>
              <w:t>i gestionare a fondurilor europene</w:t>
            </w:r>
          </w:p>
          <w:p w14:paraId="5FF3B9E0" w14:textId="77777777" w:rsidR="00FA297D" w:rsidRPr="008C5F1C" w:rsidRDefault="00FA297D" w:rsidP="00F729F2">
            <w:pPr>
              <w:pStyle w:val="ListParagraph"/>
              <w:numPr>
                <w:ilvl w:val="0"/>
                <w:numId w:val="65"/>
              </w:numPr>
              <w:autoSpaceDE w:val="0"/>
              <w:autoSpaceDN w:val="0"/>
              <w:adjustRightInd w:val="0"/>
              <w:spacing w:after="0" w:line="240" w:lineRule="auto"/>
              <w:jc w:val="both"/>
              <w:rPr>
                <w:sz w:val="22"/>
                <w:lang w:val="ro-RO"/>
              </w:rPr>
            </w:pPr>
            <w:r w:rsidRPr="008C5F1C">
              <w:rPr>
                <w:sz w:val="22"/>
                <w:lang w:val="ro-RO"/>
              </w:rPr>
              <w:t>transpune în func</w:t>
            </w:r>
            <w:r w:rsidR="00E22FF2" w:rsidRPr="008C5F1C">
              <w:rPr>
                <w:sz w:val="22"/>
                <w:lang w:val="ro-RO"/>
              </w:rPr>
              <w:t>ț</w:t>
            </w:r>
            <w:r w:rsidRPr="008C5F1C">
              <w:rPr>
                <w:sz w:val="22"/>
                <w:lang w:val="ro-RO"/>
              </w:rPr>
              <w:t xml:space="preserve">ionarea structurilor parteneriale </w:t>
            </w:r>
            <w:r w:rsidR="00106240" w:rsidRPr="008C5F1C">
              <w:rPr>
                <w:sz w:val="22"/>
                <w:lang w:val="ro-RO"/>
              </w:rPr>
              <w:t>ș</w:t>
            </w:r>
            <w:r w:rsidRPr="008C5F1C">
              <w:rPr>
                <w:sz w:val="22"/>
                <w:lang w:val="ro-RO"/>
              </w:rPr>
              <w:t>i o serie de principii de baz</w:t>
            </w:r>
            <w:r w:rsidR="00BA7827" w:rsidRPr="008C5F1C">
              <w:rPr>
                <w:sz w:val="22"/>
                <w:lang w:val="ro-RO"/>
              </w:rPr>
              <w:t>ă</w:t>
            </w:r>
            <w:r w:rsidRPr="008C5F1C">
              <w:rPr>
                <w:sz w:val="22"/>
                <w:lang w:val="ro-RO"/>
              </w:rPr>
              <w:t xml:space="preserve"> ale UE (tratamentul egal, protec</w:t>
            </w:r>
            <w:r w:rsidR="00E22FF2" w:rsidRPr="008C5F1C">
              <w:rPr>
                <w:sz w:val="22"/>
                <w:lang w:val="ro-RO"/>
              </w:rPr>
              <w:t>ț</w:t>
            </w:r>
            <w:r w:rsidRPr="008C5F1C">
              <w:rPr>
                <w:sz w:val="22"/>
                <w:lang w:val="ro-RO"/>
              </w:rPr>
              <w:t>ia datelor cu caracter personal, confiden</w:t>
            </w:r>
            <w:r w:rsidR="00E22FF2" w:rsidRPr="008C5F1C">
              <w:rPr>
                <w:sz w:val="22"/>
                <w:lang w:val="ro-RO"/>
              </w:rPr>
              <w:t>ț</w:t>
            </w:r>
            <w:r w:rsidRPr="008C5F1C">
              <w:rPr>
                <w:sz w:val="22"/>
                <w:lang w:val="ro-RO"/>
              </w:rPr>
              <w:t>ialitatea, reprezentativitatea etc.</w:t>
            </w:r>
          </w:p>
          <w:p w14:paraId="242EBABE" w14:textId="77777777" w:rsidR="00FA297D" w:rsidRPr="008C5F1C" w:rsidRDefault="00FA297D" w:rsidP="00FA297D">
            <w:pPr>
              <w:autoSpaceDE w:val="0"/>
              <w:autoSpaceDN w:val="0"/>
              <w:adjustRightInd w:val="0"/>
              <w:spacing w:after="0" w:line="240" w:lineRule="auto"/>
              <w:jc w:val="both"/>
              <w:rPr>
                <w:rFonts w:ascii="Times New Roman" w:hAnsi="Times New Roman" w:cs="Times New Roman"/>
              </w:rPr>
            </w:pPr>
          </w:p>
          <w:p w14:paraId="2FBEC1DF" w14:textId="77F02467" w:rsidR="00FA297D" w:rsidRPr="008C5F1C" w:rsidRDefault="00FA297D" w:rsidP="00FA297D">
            <w:pPr>
              <w:autoSpaceDE w:val="0"/>
              <w:autoSpaceDN w:val="0"/>
              <w:adjustRightInd w:val="0"/>
              <w:spacing w:after="120" w:line="240" w:lineRule="auto"/>
              <w:jc w:val="both"/>
              <w:rPr>
                <w:rFonts w:ascii="Times New Roman" w:hAnsi="Times New Roman" w:cs="Times New Roman"/>
                <w:i/>
                <w:iCs/>
              </w:rPr>
            </w:pPr>
            <w:r w:rsidRPr="008C5F1C">
              <w:rPr>
                <w:rFonts w:ascii="Times New Roman" w:hAnsi="Times New Roman" w:cs="Times New Roman"/>
                <w:i/>
                <w:iCs/>
              </w:rPr>
              <w:t>Parteneriat în vederea preg</w:t>
            </w:r>
            <w:r w:rsidR="00BA7827" w:rsidRPr="008C5F1C">
              <w:rPr>
                <w:rFonts w:ascii="Times New Roman" w:hAnsi="Times New Roman" w:cs="Times New Roman"/>
                <w:i/>
                <w:iCs/>
              </w:rPr>
              <w:t>ă</w:t>
            </w:r>
            <w:r w:rsidRPr="008C5F1C">
              <w:rPr>
                <w:rFonts w:ascii="Times New Roman" w:hAnsi="Times New Roman" w:cs="Times New Roman"/>
                <w:i/>
                <w:iCs/>
              </w:rPr>
              <w:t>tirii POR N</w:t>
            </w:r>
            <w:r w:rsidR="008055DD" w:rsidRPr="008C5F1C">
              <w:rPr>
                <w:rFonts w:ascii="Times New Roman" w:hAnsi="Times New Roman" w:cs="Times New Roman"/>
                <w:i/>
                <w:iCs/>
              </w:rPr>
              <w:t>ord-</w:t>
            </w:r>
            <w:r w:rsidRPr="008C5F1C">
              <w:rPr>
                <w:rFonts w:ascii="Times New Roman" w:hAnsi="Times New Roman" w:cs="Times New Roman"/>
                <w:i/>
                <w:iCs/>
              </w:rPr>
              <w:t>V</w:t>
            </w:r>
            <w:r w:rsidR="008055DD" w:rsidRPr="008C5F1C">
              <w:rPr>
                <w:rFonts w:ascii="Times New Roman" w:hAnsi="Times New Roman" w:cs="Times New Roman"/>
                <w:i/>
                <w:iCs/>
              </w:rPr>
              <w:t>est</w:t>
            </w:r>
            <w:r w:rsidRPr="008C5F1C">
              <w:rPr>
                <w:rFonts w:ascii="Times New Roman" w:hAnsi="Times New Roman" w:cs="Times New Roman"/>
                <w:i/>
                <w:iCs/>
              </w:rPr>
              <w:t xml:space="preserve"> 2021-2027</w:t>
            </w:r>
          </w:p>
          <w:p w14:paraId="4420605A" w14:textId="77777777" w:rsidR="00FA297D" w:rsidRPr="008C5F1C" w:rsidRDefault="00FA297D" w:rsidP="00FA297D">
            <w:pPr>
              <w:autoSpaceDE w:val="0"/>
              <w:autoSpaceDN w:val="0"/>
              <w:adjustRightInd w:val="0"/>
              <w:spacing w:after="120" w:line="240" w:lineRule="auto"/>
              <w:jc w:val="both"/>
              <w:rPr>
                <w:rFonts w:ascii="Times New Roman" w:hAnsi="Times New Roman" w:cs="Times New Roman"/>
              </w:rPr>
            </w:pPr>
            <w:r w:rsidRPr="008C5F1C">
              <w:rPr>
                <w:rFonts w:ascii="Times New Roman" w:hAnsi="Times New Roman" w:cs="Times New Roman"/>
              </w:rPr>
              <w:t>Împ</w:t>
            </w:r>
            <w:r w:rsidR="00BA7827" w:rsidRPr="008C5F1C">
              <w:rPr>
                <w:rFonts w:ascii="Times New Roman" w:hAnsi="Times New Roman" w:cs="Times New Roman"/>
              </w:rPr>
              <w:t>ă</w:t>
            </w:r>
            <w:r w:rsidRPr="008C5F1C">
              <w:rPr>
                <w:rFonts w:ascii="Times New Roman" w:hAnsi="Times New Roman" w:cs="Times New Roman"/>
              </w:rPr>
              <w:t>rt</w:t>
            </w:r>
            <w:r w:rsidR="00BA7827" w:rsidRPr="008C5F1C">
              <w:rPr>
                <w:rFonts w:ascii="Times New Roman" w:hAnsi="Times New Roman" w:cs="Times New Roman"/>
              </w:rPr>
              <w:t>ă</w:t>
            </w:r>
            <w:r w:rsidR="00106240" w:rsidRPr="008C5F1C">
              <w:rPr>
                <w:rFonts w:ascii="Times New Roman" w:hAnsi="Times New Roman" w:cs="Times New Roman"/>
              </w:rPr>
              <w:t>ș</w:t>
            </w:r>
            <w:r w:rsidRPr="008C5F1C">
              <w:rPr>
                <w:rFonts w:ascii="Times New Roman" w:hAnsi="Times New Roman" w:cs="Times New Roman"/>
              </w:rPr>
              <w:t>ind abordarea comunitar</w:t>
            </w:r>
            <w:r w:rsidR="00BA7827" w:rsidRPr="008C5F1C">
              <w:rPr>
                <w:rFonts w:ascii="Times New Roman" w:hAnsi="Times New Roman" w:cs="Times New Roman"/>
              </w:rPr>
              <w:t>ă</w:t>
            </w:r>
            <w:r w:rsidRPr="008C5F1C">
              <w:rPr>
                <w:rFonts w:ascii="Times New Roman" w:hAnsi="Times New Roman" w:cs="Times New Roman"/>
              </w:rPr>
              <w:t xml:space="preserve"> a unei construc</w:t>
            </w:r>
            <w:r w:rsidR="00E22FF2" w:rsidRPr="008C5F1C">
              <w:rPr>
                <w:rFonts w:ascii="Times New Roman" w:hAnsi="Times New Roman" w:cs="Times New Roman"/>
              </w:rPr>
              <w:t>ț</w:t>
            </w:r>
            <w:r w:rsidRPr="008C5F1C">
              <w:rPr>
                <w:rFonts w:ascii="Times New Roman" w:hAnsi="Times New Roman" w:cs="Times New Roman"/>
              </w:rPr>
              <w:t xml:space="preserve">ii participative, </w:t>
            </w:r>
            <w:r w:rsidR="00EE459B" w:rsidRPr="008C5F1C">
              <w:rPr>
                <w:rFonts w:ascii="Times New Roman" w:hAnsi="Times New Roman" w:cs="Times New Roman"/>
              </w:rPr>
              <w:t>ADR N</w:t>
            </w:r>
            <w:r w:rsidR="00917989" w:rsidRPr="008C5F1C">
              <w:rPr>
                <w:rFonts w:ascii="Times New Roman" w:hAnsi="Times New Roman" w:cs="Times New Roman"/>
              </w:rPr>
              <w:t>ord-Vest</w:t>
            </w:r>
            <w:r w:rsidRPr="008C5F1C">
              <w:rPr>
                <w:rFonts w:ascii="Times New Roman" w:hAnsi="Times New Roman" w:cs="Times New Roman"/>
              </w:rPr>
              <w:t>, în calitate de Autoritate de Management îns</w:t>
            </w:r>
            <w:r w:rsidR="00BA7827" w:rsidRPr="008C5F1C">
              <w:rPr>
                <w:rFonts w:ascii="Times New Roman" w:hAnsi="Times New Roman" w:cs="Times New Roman"/>
              </w:rPr>
              <w:t>ă</w:t>
            </w:r>
            <w:r w:rsidRPr="008C5F1C">
              <w:rPr>
                <w:rFonts w:ascii="Times New Roman" w:hAnsi="Times New Roman" w:cs="Times New Roman"/>
              </w:rPr>
              <w:t>rcinat</w:t>
            </w:r>
            <w:r w:rsidR="00BA7827" w:rsidRPr="008C5F1C">
              <w:rPr>
                <w:rFonts w:ascii="Times New Roman" w:hAnsi="Times New Roman" w:cs="Times New Roman"/>
              </w:rPr>
              <w:t>ă</w:t>
            </w:r>
            <w:r w:rsidRPr="008C5F1C">
              <w:rPr>
                <w:rFonts w:ascii="Times New Roman" w:hAnsi="Times New Roman" w:cs="Times New Roman"/>
              </w:rPr>
              <w:t xml:space="preserve"> cu elaborarea POR NV, a implicat o palet</w:t>
            </w:r>
            <w:r w:rsidR="00BA7827" w:rsidRPr="008C5F1C">
              <w:rPr>
                <w:rFonts w:ascii="Times New Roman" w:hAnsi="Times New Roman" w:cs="Times New Roman"/>
              </w:rPr>
              <w:t>ă</w:t>
            </w:r>
            <w:r w:rsidRPr="008C5F1C">
              <w:rPr>
                <w:rFonts w:ascii="Times New Roman" w:hAnsi="Times New Roman" w:cs="Times New Roman"/>
              </w:rPr>
              <w:t xml:space="preserve"> larg</w:t>
            </w:r>
            <w:r w:rsidR="00BA7827" w:rsidRPr="008C5F1C">
              <w:rPr>
                <w:rFonts w:ascii="Times New Roman" w:hAnsi="Times New Roman" w:cs="Times New Roman"/>
              </w:rPr>
              <w:t>ă</w:t>
            </w:r>
            <w:r w:rsidRPr="008C5F1C">
              <w:rPr>
                <w:rFonts w:ascii="Times New Roman" w:hAnsi="Times New Roman" w:cs="Times New Roman"/>
              </w:rPr>
              <w:t xml:space="preserve"> de factori interesa</w:t>
            </w:r>
            <w:r w:rsidR="00E22FF2" w:rsidRPr="008C5F1C">
              <w:rPr>
                <w:rFonts w:ascii="Times New Roman" w:hAnsi="Times New Roman" w:cs="Times New Roman"/>
              </w:rPr>
              <w:t>ț</w:t>
            </w:r>
            <w:r w:rsidRPr="008C5F1C">
              <w:rPr>
                <w:rFonts w:ascii="Times New Roman" w:hAnsi="Times New Roman" w:cs="Times New Roman"/>
              </w:rPr>
              <w:t>i înc</w:t>
            </w:r>
            <w:r w:rsidR="00BA7827" w:rsidRPr="008C5F1C">
              <w:rPr>
                <w:rFonts w:ascii="Times New Roman" w:hAnsi="Times New Roman" w:cs="Times New Roman"/>
              </w:rPr>
              <w:t>ă</w:t>
            </w:r>
            <w:r w:rsidRPr="008C5F1C">
              <w:rPr>
                <w:rFonts w:ascii="Times New Roman" w:hAnsi="Times New Roman" w:cs="Times New Roman"/>
              </w:rPr>
              <w:t xml:space="preserve"> din etapa ini</w:t>
            </w:r>
            <w:r w:rsidR="00E22FF2" w:rsidRPr="008C5F1C">
              <w:rPr>
                <w:rFonts w:ascii="Times New Roman" w:hAnsi="Times New Roman" w:cs="Times New Roman"/>
              </w:rPr>
              <w:t>ț</w:t>
            </w:r>
            <w:r w:rsidRPr="008C5F1C">
              <w:rPr>
                <w:rFonts w:ascii="Times New Roman" w:hAnsi="Times New Roman" w:cs="Times New Roman"/>
              </w:rPr>
              <w:t>ial</w:t>
            </w:r>
            <w:r w:rsidR="00BA7827" w:rsidRPr="008C5F1C">
              <w:rPr>
                <w:rFonts w:ascii="Times New Roman" w:hAnsi="Times New Roman" w:cs="Times New Roman"/>
              </w:rPr>
              <w:t>ă</w:t>
            </w:r>
            <w:r w:rsidRPr="008C5F1C">
              <w:rPr>
                <w:rFonts w:ascii="Times New Roman" w:hAnsi="Times New Roman" w:cs="Times New Roman"/>
              </w:rPr>
              <w:t>, de preg</w:t>
            </w:r>
            <w:r w:rsidR="00BA7827" w:rsidRPr="008C5F1C">
              <w:rPr>
                <w:rFonts w:ascii="Times New Roman" w:hAnsi="Times New Roman" w:cs="Times New Roman"/>
              </w:rPr>
              <w:t>ă</w:t>
            </w:r>
            <w:r w:rsidRPr="008C5F1C">
              <w:rPr>
                <w:rFonts w:ascii="Times New Roman" w:hAnsi="Times New Roman" w:cs="Times New Roman"/>
              </w:rPr>
              <w:t xml:space="preserve">tire a cadrului strategic. </w:t>
            </w:r>
          </w:p>
          <w:p w14:paraId="291D3C75" w14:textId="77777777" w:rsidR="00FA297D" w:rsidRPr="008C5F1C" w:rsidRDefault="00FA297D" w:rsidP="00FA297D">
            <w:pPr>
              <w:autoSpaceDE w:val="0"/>
              <w:autoSpaceDN w:val="0"/>
              <w:adjustRightInd w:val="0"/>
              <w:spacing w:after="120" w:line="240" w:lineRule="auto"/>
              <w:jc w:val="both"/>
              <w:rPr>
                <w:rFonts w:ascii="Times New Roman" w:hAnsi="Times New Roman" w:cs="Times New Roman"/>
              </w:rPr>
            </w:pPr>
            <w:r w:rsidRPr="008C5F1C">
              <w:rPr>
                <w:rFonts w:ascii="Times New Roman" w:hAnsi="Times New Roman" w:cs="Times New Roman"/>
              </w:rPr>
              <w:t xml:space="preserve">În linie cu bunele practici privind parteneriatului, </w:t>
            </w:r>
            <w:r w:rsidR="00EE459B" w:rsidRPr="008C5F1C">
              <w:rPr>
                <w:rFonts w:ascii="Times New Roman" w:hAnsi="Times New Roman" w:cs="Times New Roman"/>
              </w:rPr>
              <w:t>ADR N</w:t>
            </w:r>
            <w:r w:rsidR="00917989" w:rsidRPr="008C5F1C">
              <w:rPr>
                <w:rFonts w:ascii="Times New Roman" w:hAnsi="Times New Roman" w:cs="Times New Roman"/>
              </w:rPr>
              <w:t>ord-Vest</w:t>
            </w:r>
            <w:r w:rsidRPr="008C5F1C">
              <w:rPr>
                <w:rFonts w:ascii="Times New Roman" w:hAnsi="Times New Roman" w:cs="Times New Roman"/>
              </w:rPr>
              <w:t xml:space="preserve"> a urm</w:t>
            </w:r>
            <w:r w:rsidR="00BA7827" w:rsidRPr="008C5F1C">
              <w:rPr>
                <w:rFonts w:ascii="Times New Roman" w:hAnsi="Times New Roman" w:cs="Times New Roman"/>
              </w:rPr>
              <w:t>ă</w:t>
            </w:r>
            <w:r w:rsidRPr="008C5F1C">
              <w:rPr>
                <w:rFonts w:ascii="Times New Roman" w:hAnsi="Times New Roman" w:cs="Times New Roman"/>
              </w:rPr>
              <w:t>rit o implicare activ</w:t>
            </w:r>
            <w:r w:rsidR="00BA7827" w:rsidRPr="008C5F1C">
              <w:rPr>
                <w:rFonts w:ascii="Times New Roman" w:hAnsi="Times New Roman" w:cs="Times New Roman"/>
              </w:rPr>
              <w:t>ă</w:t>
            </w:r>
            <w:r w:rsidRPr="008C5F1C">
              <w:rPr>
                <w:rFonts w:ascii="Times New Roman" w:hAnsi="Times New Roman" w:cs="Times New Roman"/>
              </w:rPr>
              <w:t xml:space="preserve"> </w:t>
            </w:r>
            <w:r w:rsidR="00106240" w:rsidRPr="008C5F1C">
              <w:rPr>
                <w:rFonts w:ascii="Times New Roman" w:hAnsi="Times New Roman" w:cs="Times New Roman"/>
              </w:rPr>
              <w:t>ș</w:t>
            </w:r>
            <w:r w:rsidRPr="008C5F1C">
              <w:rPr>
                <w:rFonts w:ascii="Times New Roman" w:hAnsi="Times New Roman" w:cs="Times New Roman"/>
              </w:rPr>
              <w:t>i real</w:t>
            </w:r>
            <w:r w:rsidR="00BA7827" w:rsidRPr="008C5F1C">
              <w:rPr>
                <w:rFonts w:ascii="Times New Roman" w:hAnsi="Times New Roman" w:cs="Times New Roman"/>
              </w:rPr>
              <w:t>ă</w:t>
            </w:r>
            <w:r w:rsidRPr="008C5F1C">
              <w:rPr>
                <w:rFonts w:ascii="Times New Roman" w:hAnsi="Times New Roman" w:cs="Times New Roman"/>
              </w:rPr>
              <w:t>, nu doar formal</w:t>
            </w:r>
            <w:r w:rsidR="00BA7827" w:rsidRPr="008C5F1C">
              <w:rPr>
                <w:rFonts w:ascii="Times New Roman" w:hAnsi="Times New Roman" w:cs="Times New Roman"/>
              </w:rPr>
              <w:t>ă</w:t>
            </w:r>
            <w:r w:rsidRPr="008C5F1C">
              <w:rPr>
                <w:rFonts w:ascii="Times New Roman" w:hAnsi="Times New Roman" w:cs="Times New Roman"/>
              </w:rPr>
              <w:t xml:space="preserve"> a factorilor interesa</w:t>
            </w:r>
            <w:r w:rsidR="00E22FF2" w:rsidRPr="008C5F1C">
              <w:rPr>
                <w:rFonts w:ascii="Times New Roman" w:hAnsi="Times New Roman" w:cs="Times New Roman"/>
              </w:rPr>
              <w:t>ț</w:t>
            </w:r>
            <w:r w:rsidRPr="008C5F1C">
              <w:rPr>
                <w:rFonts w:ascii="Times New Roman" w:hAnsi="Times New Roman" w:cs="Times New Roman"/>
              </w:rPr>
              <w:t>i, care s</w:t>
            </w:r>
            <w:r w:rsidR="00BA7827" w:rsidRPr="008C5F1C">
              <w:rPr>
                <w:rFonts w:ascii="Times New Roman" w:hAnsi="Times New Roman" w:cs="Times New Roman"/>
              </w:rPr>
              <w:t>ă</w:t>
            </w:r>
            <w:r w:rsidRPr="008C5F1C">
              <w:rPr>
                <w:rFonts w:ascii="Times New Roman" w:hAnsi="Times New Roman" w:cs="Times New Roman"/>
              </w:rPr>
              <w:t xml:space="preserve"> responsabilizeze partenerii </w:t>
            </w:r>
            <w:r w:rsidR="00106240" w:rsidRPr="008C5F1C">
              <w:rPr>
                <w:rFonts w:ascii="Times New Roman" w:hAnsi="Times New Roman" w:cs="Times New Roman"/>
              </w:rPr>
              <w:t>ș</w:t>
            </w:r>
            <w:r w:rsidRPr="008C5F1C">
              <w:rPr>
                <w:rFonts w:ascii="Times New Roman" w:hAnsi="Times New Roman" w:cs="Times New Roman"/>
              </w:rPr>
              <w:t>i s</w:t>
            </w:r>
            <w:r w:rsidR="00BA7827" w:rsidRPr="008C5F1C">
              <w:rPr>
                <w:rFonts w:ascii="Times New Roman" w:hAnsi="Times New Roman" w:cs="Times New Roman"/>
              </w:rPr>
              <w:t>ă</w:t>
            </w:r>
            <w:r w:rsidRPr="008C5F1C">
              <w:rPr>
                <w:rFonts w:ascii="Times New Roman" w:hAnsi="Times New Roman" w:cs="Times New Roman"/>
              </w:rPr>
              <w:t xml:space="preserve"> determine asumarea priorit</w:t>
            </w:r>
            <w:r w:rsidR="00BA7827" w:rsidRPr="008C5F1C">
              <w:rPr>
                <w:rFonts w:ascii="Times New Roman" w:hAnsi="Times New Roman" w:cs="Times New Roman"/>
              </w:rPr>
              <w:t>ă</w:t>
            </w:r>
            <w:r w:rsidR="00E22FF2" w:rsidRPr="008C5F1C">
              <w:rPr>
                <w:rFonts w:ascii="Times New Roman" w:hAnsi="Times New Roman" w:cs="Times New Roman"/>
              </w:rPr>
              <w:t>ț</w:t>
            </w:r>
            <w:r w:rsidRPr="008C5F1C">
              <w:rPr>
                <w:rFonts w:ascii="Times New Roman" w:hAnsi="Times New Roman" w:cs="Times New Roman"/>
              </w:rPr>
              <w:t>ilor de c</w:t>
            </w:r>
            <w:r w:rsidR="00BA7827" w:rsidRPr="008C5F1C">
              <w:rPr>
                <w:rFonts w:ascii="Times New Roman" w:hAnsi="Times New Roman" w:cs="Times New Roman"/>
              </w:rPr>
              <w:t>ă</w:t>
            </w:r>
            <w:r w:rsidRPr="008C5F1C">
              <w:rPr>
                <w:rFonts w:ascii="Times New Roman" w:hAnsi="Times New Roman" w:cs="Times New Roman"/>
              </w:rPr>
              <w:t>tre ace</w:t>
            </w:r>
            <w:r w:rsidR="00106240" w:rsidRPr="008C5F1C">
              <w:rPr>
                <w:rFonts w:ascii="Times New Roman" w:hAnsi="Times New Roman" w:cs="Times New Roman"/>
              </w:rPr>
              <w:t>ș</w:t>
            </w:r>
            <w:r w:rsidRPr="008C5F1C">
              <w:rPr>
                <w:rFonts w:ascii="Times New Roman" w:hAnsi="Times New Roman" w:cs="Times New Roman"/>
              </w:rPr>
              <w:t>tia. Mai mult decât atât, pornind de la lec</w:t>
            </w:r>
            <w:r w:rsidR="00E22FF2" w:rsidRPr="008C5F1C">
              <w:rPr>
                <w:rFonts w:ascii="Times New Roman" w:hAnsi="Times New Roman" w:cs="Times New Roman"/>
              </w:rPr>
              <w:t>ț</w:t>
            </w:r>
            <w:r w:rsidRPr="008C5F1C">
              <w:rPr>
                <w:rFonts w:ascii="Times New Roman" w:hAnsi="Times New Roman" w:cs="Times New Roman"/>
              </w:rPr>
              <w:t>iile înv</w:t>
            </w:r>
            <w:r w:rsidR="00BA7827" w:rsidRPr="008C5F1C">
              <w:rPr>
                <w:rFonts w:ascii="Times New Roman" w:hAnsi="Times New Roman" w:cs="Times New Roman"/>
              </w:rPr>
              <w:t>ă</w:t>
            </w:r>
            <w:r w:rsidR="00E22FF2" w:rsidRPr="008C5F1C">
              <w:rPr>
                <w:rFonts w:ascii="Times New Roman" w:hAnsi="Times New Roman" w:cs="Times New Roman"/>
              </w:rPr>
              <w:t>ț</w:t>
            </w:r>
            <w:r w:rsidRPr="008C5F1C">
              <w:rPr>
                <w:rFonts w:ascii="Times New Roman" w:hAnsi="Times New Roman" w:cs="Times New Roman"/>
              </w:rPr>
              <w:t xml:space="preserve">ate în perioadele anterioare de implementare a POR în regiune, </w:t>
            </w:r>
            <w:r w:rsidR="00EE459B" w:rsidRPr="008C5F1C">
              <w:rPr>
                <w:rFonts w:ascii="Times New Roman" w:hAnsi="Times New Roman" w:cs="Times New Roman"/>
              </w:rPr>
              <w:t>ADR N</w:t>
            </w:r>
            <w:r w:rsidR="00917989" w:rsidRPr="008C5F1C">
              <w:rPr>
                <w:rFonts w:ascii="Times New Roman" w:hAnsi="Times New Roman" w:cs="Times New Roman"/>
              </w:rPr>
              <w:t>ord-</w:t>
            </w:r>
            <w:r w:rsidR="00EE459B" w:rsidRPr="008C5F1C">
              <w:rPr>
                <w:rFonts w:ascii="Times New Roman" w:hAnsi="Times New Roman" w:cs="Times New Roman"/>
              </w:rPr>
              <w:t>V</w:t>
            </w:r>
            <w:r w:rsidR="00917989" w:rsidRPr="008C5F1C">
              <w:rPr>
                <w:rFonts w:ascii="Times New Roman" w:hAnsi="Times New Roman" w:cs="Times New Roman"/>
              </w:rPr>
              <w:t>est</w:t>
            </w:r>
            <w:r w:rsidRPr="008C5F1C">
              <w:rPr>
                <w:rFonts w:ascii="Times New Roman" w:hAnsi="Times New Roman" w:cs="Times New Roman"/>
              </w:rPr>
              <w:t xml:space="preserve"> a urm</w:t>
            </w:r>
            <w:r w:rsidR="00BA7827" w:rsidRPr="008C5F1C">
              <w:rPr>
                <w:rFonts w:ascii="Times New Roman" w:hAnsi="Times New Roman" w:cs="Times New Roman"/>
              </w:rPr>
              <w:t>ă</w:t>
            </w:r>
            <w:r w:rsidRPr="008C5F1C">
              <w:rPr>
                <w:rFonts w:ascii="Times New Roman" w:hAnsi="Times New Roman" w:cs="Times New Roman"/>
              </w:rPr>
              <w:t>rit ca, înc</w:t>
            </w:r>
            <w:r w:rsidR="00BA7827" w:rsidRPr="008C5F1C">
              <w:rPr>
                <w:rFonts w:ascii="Times New Roman" w:hAnsi="Times New Roman" w:cs="Times New Roman"/>
              </w:rPr>
              <w:t>ă</w:t>
            </w:r>
            <w:r w:rsidRPr="008C5F1C">
              <w:rPr>
                <w:rFonts w:ascii="Times New Roman" w:hAnsi="Times New Roman" w:cs="Times New Roman"/>
              </w:rPr>
              <w:t xml:space="preserve"> din etapa de preg</w:t>
            </w:r>
            <w:r w:rsidR="00BA7827" w:rsidRPr="008C5F1C">
              <w:rPr>
                <w:rFonts w:ascii="Times New Roman" w:hAnsi="Times New Roman" w:cs="Times New Roman"/>
              </w:rPr>
              <w:t>ă</w:t>
            </w:r>
            <w:r w:rsidRPr="008C5F1C">
              <w:rPr>
                <w:rFonts w:ascii="Times New Roman" w:hAnsi="Times New Roman" w:cs="Times New Roman"/>
              </w:rPr>
              <w:t>tire, poten</w:t>
            </w:r>
            <w:r w:rsidR="00E22FF2" w:rsidRPr="008C5F1C">
              <w:rPr>
                <w:rFonts w:ascii="Times New Roman" w:hAnsi="Times New Roman" w:cs="Times New Roman"/>
              </w:rPr>
              <w:t>ț</w:t>
            </w:r>
            <w:r w:rsidRPr="008C5F1C">
              <w:rPr>
                <w:rFonts w:ascii="Times New Roman" w:hAnsi="Times New Roman" w:cs="Times New Roman"/>
              </w:rPr>
              <w:t>ialii beneficiari s</w:t>
            </w:r>
            <w:r w:rsidR="00BA7827" w:rsidRPr="008C5F1C">
              <w:rPr>
                <w:rFonts w:ascii="Times New Roman" w:hAnsi="Times New Roman" w:cs="Times New Roman"/>
              </w:rPr>
              <w:t>ă</w:t>
            </w:r>
            <w:r w:rsidRPr="008C5F1C">
              <w:rPr>
                <w:rFonts w:ascii="Times New Roman" w:hAnsi="Times New Roman" w:cs="Times New Roman"/>
              </w:rPr>
              <w:t xml:space="preserve"> fie implica</w:t>
            </w:r>
            <w:r w:rsidR="00E22FF2" w:rsidRPr="008C5F1C">
              <w:rPr>
                <w:rFonts w:ascii="Times New Roman" w:hAnsi="Times New Roman" w:cs="Times New Roman"/>
              </w:rPr>
              <w:t>ț</w:t>
            </w:r>
            <w:r w:rsidRPr="008C5F1C">
              <w:rPr>
                <w:rFonts w:ascii="Times New Roman" w:hAnsi="Times New Roman" w:cs="Times New Roman"/>
              </w:rPr>
              <w:t>i pe deplin în proces, astfel încât programul s</w:t>
            </w:r>
            <w:r w:rsidR="00BA7827" w:rsidRPr="008C5F1C">
              <w:rPr>
                <w:rFonts w:ascii="Times New Roman" w:hAnsi="Times New Roman" w:cs="Times New Roman"/>
              </w:rPr>
              <w:t>ă</w:t>
            </w:r>
            <w:r w:rsidRPr="008C5F1C">
              <w:rPr>
                <w:rFonts w:ascii="Times New Roman" w:hAnsi="Times New Roman" w:cs="Times New Roman"/>
              </w:rPr>
              <w:t xml:space="preserve"> fie cât mai bine adaptat nevoilor, dar </w:t>
            </w:r>
            <w:r w:rsidR="00106240" w:rsidRPr="008C5F1C">
              <w:rPr>
                <w:rFonts w:ascii="Times New Roman" w:hAnsi="Times New Roman" w:cs="Times New Roman"/>
              </w:rPr>
              <w:t>ș</w:t>
            </w:r>
            <w:r w:rsidRPr="008C5F1C">
              <w:rPr>
                <w:rFonts w:ascii="Times New Roman" w:hAnsi="Times New Roman" w:cs="Times New Roman"/>
              </w:rPr>
              <w:t>i capacit</w:t>
            </w:r>
            <w:r w:rsidR="00BA7827" w:rsidRPr="008C5F1C">
              <w:rPr>
                <w:rFonts w:ascii="Times New Roman" w:hAnsi="Times New Roman" w:cs="Times New Roman"/>
              </w:rPr>
              <w:t>ă</w:t>
            </w:r>
            <w:r w:rsidR="00E22FF2" w:rsidRPr="008C5F1C">
              <w:rPr>
                <w:rFonts w:ascii="Times New Roman" w:hAnsi="Times New Roman" w:cs="Times New Roman"/>
              </w:rPr>
              <w:t>ț</w:t>
            </w:r>
            <w:r w:rsidRPr="008C5F1C">
              <w:rPr>
                <w:rFonts w:ascii="Times New Roman" w:hAnsi="Times New Roman" w:cs="Times New Roman"/>
              </w:rPr>
              <w:t xml:space="preserve">ii acestora, </w:t>
            </w:r>
            <w:r w:rsidR="00106240" w:rsidRPr="008C5F1C">
              <w:rPr>
                <w:rFonts w:ascii="Times New Roman" w:hAnsi="Times New Roman" w:cs="Times New Roman"/>
              </w:rPr>
              <w:t>ș</w:t>
            </w:r>
            <w:r w:rsidRPr="008C5F1C">
              <w:rPr>
                <w:rFonts w:ascii="Times New Roman" w:hAnsi="Times New Roman" w:cs="Times New Roman"/>
              </w:rPr>
              <w:t>i s</w:t>
            </w:r>
            <w:r w:rsidR="00BA7827" w:rsidRPr="008C5F1C">
              <w:rPr>
                <w:rFonts w:ascii="Times New Roman" w:hAnsi="Times New Roman" w:cs="Times New Roman"/>
              </w:rPr>
              <w:t>ă</w:t>
            </w:r>
            <w:r w:rsidRPr="008C5F1C">
              <w:rPr>
                <w:rFonts w:ascii="Times New Roman" w:hAnsi="Times New Roman" w:cs="Times New Roman"/>
              </w:rPr>
              <w:t xml:space="preserve"> poat</w:t>
            </w:r>
            <w:r w:rsidR="00BA7827" w:rsidRPr="008C5F1C">
              <w:rPr>
                <w:rFonts w:ascii="Times New Roman" w:hAnsi="Times New Roman" w:cs="Times New Roman"/>
              </w:rPr>
              <w:t>ă</w:t>
            </w:r>
            <w:r w:rsidRPr="008C5F1C">
              <w:rPr>
                <w:rFonts w:ascii="Times New Roman" w:hAnsi="Times New Roman" w:cs="Times New Roman"/>
              </w:rPr>
              <w:t xml:space="preserve"> fi avute în vedere m</w:t>
            </w:r>
            <w:r w:rsidR="00BA7827" w:rsidRPr="008C5F1C">
              <w:rPr>
                <w:rFonts w:ascii="Times New Roman" w:hAnsi="Times New Roman" w:cs="Times New Roman"/>
              </w:rPr>
              <w:t>ă</w:t>
            </w:r>
            <w:r w:rsidRPr="008C5F1C">
              <w:rPr>
                <w:rFonts w:ascii="Times New Roman" w:hAnsi="Times New Roman" w:cs="Times New Roman"/>
              </w:rPr>
              <w:t xml:space="preserve">suri de sprijin potrivite. </w:t>
            </w:r>
          </w:p>
          <w:p w14:paraId="61A50D39" w14:textId="77777777" w:rsidR="00FA297D" w:rsidRPr="008C5F1C" w:rsidRDefault="00FA297D" w:rsidP="00FA297D">
            <w:pPr>
              <w:autoSpaceDE w:val="0"/>
              <w:autoSpaceDN w:val="0"/>
              <w:adjustRightInd w:val="0"/>
              <w:spacing w:after="120" w:line="240" w:lineRule="auto"/>
              <w:jc w:val="both"/>
              <w:rPr>
                <w:rFonts w:ascii="Times New Roman" w:hAnsi="Times New Roman" w:cs="Times New Roman"/>
              </w:rPr>
            </w:pPr>
            <w:r w:rsidRPr="008C5F1C">
              <w:rPr>
                <w:rFonts w:ascii="Times New Roman" w:hAnsi="Times New Roman" w:cs="Times New Roman"/>
              </w:rPr>
              <w:t xml:space="preserve">Nu în ultimul rând, prin implicarea partenerilor regionali, </w:t>
            </w:r>
            <w:r w:rsidR="00EE459B" w:rsidRPr="008C5F1C">
              <w:rPr>
                <w:rFonts w:ascii="Times New Roman" w:hAnsi="Times New Roman" w:cs="Times New Roman"/>
              </w:rPr>
              <w:t>ADR N</w:t>
            </w:r>
            <w:r w:rsidR="00917989" w:rsidRPr="008C5F1C">
              <w:rPr>
                <w:rFonts w:ascii="Times New Roman" w:hAnsi="Times New Roman" w:cs="Times New Roman"/>
              </w:rPr>
              <w:t>ord-Vest</w:t>
            </w:r>
            <w:r w:rsidRPr="008C5F1C">
              <w:rPr>
                <w:rFonts w:ascii="Times New Roman" w:hAnsi="Times New Roman" w:cs="Times New Roman"/>
              </w:rPr>
              <w:t xml:space="preserve"> a avut în vedere valorificarea know-how-ului </w:t>
            </w:r>
            <w:r w:rsidR="00106240" w:rsidRPr="008C5F1C">
              <w:rPr>
                <w:rFonts w:ascii="Times New Roman" w:hAnsi="Times New Roman" w:cs="Times New Roman"/>
              </w:rPr>
              <w:t>ș</w:t>
            </w:r>
            <w:r w:rsidRPr="008C5F1C">
              <w:rPr>
                <w:rFonts w:ascii="Times New Roman" w:hAnsi="Times New Roman" w:cs="Times New Roman"/>
              </w:rPr>
              <w:t>i a experien</w:t>
            </w:r>
            <w:r w:rsidR="00E22FF2" w:rsidRPr="008C5F1C">
              <w:rPr>
                <w:rFonts w:ascii="Times New Roman" w:hAnsi="Times New Roman" w:cs="Times New Roman"/>
              </w:rPr>
              <w:t>ț</w:t>
            </w:r>
            <w:r w:rsidRPr="008C5F1C">
              <w:rPr>
                <w:rFonts w:ascii="Times New Roman" w:hAnsi="Times New Roman" w:cs="Times New Roman"/>
              </w:rPr>
              <w:t xml:space="preserve">ei acestora atât în sectoarele lor de activitate, cât </w:t>
            </w:r>
            <w:r w:rsidR="00106240" w:rsidRPr="008C5F1C">
              <w:rPr>
                <w:rFonts w:ascii="Times New Roman" w:hAnsi="Times New Roman" w:cs="Times New Roman"/>
              </w:rPr>
              <w:t>ș</w:t>
            </w:r>
            <w:r w:rsidRPr="008C5F1C">
              <w:rPr>
                <w:rFonts w:ascii="Times New Roman" w:hAnsi="Times New Roman" w:cs="Times New Roman"/>
              </w:rPr>
              <w:t>i în implementarea fondurilor.</w:t>
            </w:r>
          </w:p>
          <w:p w14:paraId="13F930CE" w14:textId="77777777" w:rsidR="00FA297D" w:rsidRPr="008C5F1C" w:rsidRDefault="00FA297D" w:rsidP="00FA297D">
            <w:pPr>
              <w:autoSpaceDE w:val="0"/>
              <w:autoSpaceDN w:val="0"/>
              <w:adjustRightInd w:val="0"/>
              <w:spacing w:after="120" w:line="240" w:lineRule="auto"/>
              <w:jc w:val="both"/>
              <w:rPr>
                <w:rFonts w:ascii="Times New Roman" w:hAnsi="Times New Roman" w:cs="Times New Roman"/>
              </w:rPr>
            </w:pPr>
            <w:r w:rsidRPr="008C5F1C">
              <w:rPr>
                <w:rFonts w:ascii="Times New Roman" w:hAnsi="Times New Roman" w:cs="Times New Roman"/>
              </w:rPr>
              <w:t xml:space="preserve">Astfel, </w:t>
            </w:r>
            <w:r w:rsidR="00917989" w:rsidRPr="008C5F1C">
              <w:rPr>
                <w:rFonts w:ascii="Times New Roman" w:hAnsi="Times New Roman" w:cs="Times New Roman"/>
              </w:rPr>
              <w:t>în perioada dinainte de criza medical</w:t>
            </w:r>
            <w:r w:rsidR="00BA7827" w:rsidRPr="008C5F1C">
              <w:rPr>
                <w:rFonts w:ascii="Times New Roman" w:hAnsi="Times New Roman" w:cs="Times New Roman"/>
              </w:rPr>
              <w:t>ă</w:t>
            </w:r>
            <w:r w:rsidR="00917989" w:rsidRPr="008C5F1C">
              <w:rPr>
                <w:rFonts w:ascii="Times New Roman" w:hAnsi="Times New Roman" w:cs="Times New Roman"/>
              </w:rPr>
              <w:t xml:space="preserve">, </w:t>
            </w:r>
            <w:r w:rsidRPr="008C5F1C">
              <w:rPr>
                <w:rFonts w:ascii="Times New Roman" w:hAnsi="Times New Roman" w:cs="Times New Roman"/>
              </w:rPr>
              <w:t>au fost purtate discu</w:t>
            </w:r>
            <w:r w:rsidR="00E22FF2" w:rsidRPr="008C5F1C">
              <w:rPr>
                <w:rFonts w:ascii="Times New Roman" w:hAnsi="Times New Roman" w:cs="Times New Roman"/>
              </w:rPr>
              <w:t>ț</w:t>
            </w:r>
            <w:r w:rsidRPr="008C5F1C">
              <w:rPr>
                <w:rFonts w:ascii="Times New Roman" w:hAnsi="Times New Roman" w:cs="Times New Roman"/>
              </w:rPr>
              <w:t>ii preliminare cu reprezentan</w:t>
            </w:r>
            <w:r w:rsidR="00E22FF2" w:rsidRPr="008C5F1C">
              <w:rPr>
                <w:rFonts w:ascii="Times New Roman" w:hAnsi="Times New Roman" w:cs="Times New Roman"/>
              </w:rPr>
              <w:t>ț</w:t>
            </w:r>
            <w:r w:rsidRPr="008C5F1C">
              <w:rPr>
                <w:rFonts w:ascii="Times New Roman" w:hAnsi="Times New Roman" w:cs="Times New Roman"/>
              </w:rPr>
              <w:t>i ai partenerilor din mediul privat, asociativ, autorit</w:t>
            </w:r>
            <w:r w:rsidR="00BA7827" w:rsidRPr="008C5F1C">
              <w:rPr>
                <w:rFonts w:ascii="Times New Roman" w:hAnsi="Times New Roman" w:cs="Times New Roman"/>
              </w:rPr>
              <w:t>ă</w:t>
            </w:r>
            <w:r w:rsidR="00E22FF2" w:rsidRPr="008C5F1C">
              <w:rPr>
                <w:rFonts w:ascii="Times New Roman" w:hAnsi="Times New Roman" w:cs="Times New Roman"/>
              </w:rPr>
              <w:t>ț</w:t>
            </w:r>
            <w:r w:rsidRPr="008C5F1C">
              <w:rPr>
                <w:rFonts w:ascii="Times New Roman" w:hAnsi="Times New Roman" w:cs="Times New Roman"/>
              </w:rPr>
              <w:t>i locale, organiza</w:t>
            </w:r>
            <w:r w:rsidR="00E22FF2" w:rsidRPr="008C5F1C">
              <w:rPr>
                <w:rFonts w:ascii="Times New Roman" w:hAnsi="Times New Roman" w:cs="Times New Roman"/>
              </w:rPr>
              <w:t>ț</w:t>
            </w:r>
            <w:r w:rsidRPr="008C5F1C">
              <w:rPr>
                <w:rFonts w:ascii="Times New Roman" w:hAnsi="Times New Roman" w:cs="Times New Roman"/>
              </w:rPr>
              <w:t xml:space="preserve">ii din mediul academic </w:t>
            </w:r>
            <w:r w:rsidR="00106240" w:rsidRPr="008C5F1C">
              <w:rPr>
                <w:rFonts w:ascii="Times New Roman" w:hAnsi="Times New Roman" w:cs="Times New Roman"/>
              </w:rPr>
              <w:t>ș</w:t>
            </w:r>
            <w:r w:rsidRPr="008C5F1C">
              <w:rPr>
                <w:rFonts w:ascii="Times New Roman" w:hAnsi="Times New Roman" w:cs="Times New Roman"/>
              </w:rPr>
              <w:t xml:space="preserve">i de cercetare </w:t>
            </w:r>
            <w:r w:rsidR="00106240" w:rsidRPr="008C5F1C">
              <w:rPr>
                <w:rFonts w:ascii="Times New Roman" w:hAnsi="Times New Roman" w:cs="Times New Roman"/>
              </w:rPr>
              <w:t>ș</w:t>
            </w:r>
            <w:r w:rsidRPr="008C5F1C">
              <w:rPr>
                <w:rFonts w:ascii="Times New Roman" w:hAnsi="Times New Roman" w:cs="Times New Roman"/>
              </w:rPr>
              <w:t>i cu reprezentan</w:t>
            </w:r>
            <w:r w:rsidR="00E22FF2" w:rsidRPr="008C5F1C">
              <w:rPr>
                <w:rFonts w:ascii="Times New Roman" w:hAnsi="Times New Roman" w:cs="Times New Roman"/>
              </w:rPr>
              <w:t>ț</w:t>
            </w:r>
            <w:r w:rsidRPr="008C5F1C">
              <w:rPr>
                <w:rFonts w:ascii="Times New Roman" w:hAnsi="Times New Roman" w:cs="Times New Roman"/>
              </w:rPr>
              <w:t>i ai societ</w:t>
            </w:r>
            <w:r w:rsidR="00BA7827" w:rsidRPr="008C5F1C">
              <w:rPr>
                <w:rFonts w:ascii="Times New Roman" w:hAnsi="Times New Roman" w:cs="Times New Roman"/>
              </w:rPr>
              <w:t>ă</w:t>
            </w:r>
            <w:r w:rsidR="00E22FF2" w:rsidRPr="008C5F1C">
              <w:rPr>
                <w:rFonts w:ascii="Times New Roman" w:hAnsi="Times New Roman" w:cs="Times New Roman"/>
              </w:rPr>
              <w:t>ț</w:t>
            </w:r>
            <w:r w:rsidRPr="008C5F1C">
              <w:rPr>
                <w:rFonts w:ascii="Times New Roman" w:hAnsi="Times New Roman" w:cs="Times New Roman"/>
              </w:rPr>
              <w:t>ii civile, în special din domeniul dezvolt</w:t>
            </w:r>
            <w:r w:rsidR="00BA7827" w:rsidRPr="008C5F1C">
              <w:rPr>
                <w:rFonts w:ascii="Times New Roman" w:hAnsi="Times New Roman" w:cs="Times New Roman"/>
              </w:rPr>
              <w:t>ă</w:t>
            </w:r>
            <w:r w:rsidRPr="008C5F1C">
              <w:rPr>
                <w:rFonts w:ascii="Times New Roman" w:hAnsi="Times New Roman" w:cs="Times New Roman"/>
              </w:rPr>
              <w:t xml:space="preserve">rii teritoriale </w:t>
            </w:r>
            <w:r w:rsidR="00106240" w:rsidRPr="008C5F1C">
              <w:rPr>
                <w:rFonts w:ascii="Times New Roman" w:hAnsi="Times New Roman" w:cs="Times New Roman"/>
              </w:rPr>
              <w:t>ș</w:t>
            </w:r>
            <w:r w:rsidRPr="008C5F1C">
              <w:rPr>
                <w:rFonts w:ascii="Times New Roman" w:hAnsi="Times New Roman" w:cs="Times New Roman"/>
              </w:rPr>
              <w:t>i regionale.</w:t>
            </w:r>
            <w:r w:rsidR="00917989" w:rsidRPr="008C5F1C">
              <w:rPr>
                <w:rFonts w:ascii="Times New Roman" w:hAnsi="Times New Roman" w:cs="Times New Roman"/>
              </w:rPr>
              <w:t xml:space="preserve"> Reprezentan</w:t>
            </w:r>
            <w:r w:rsidR="00E22FF2" w:rsidRPr="008C5F1C">
              <w:rPr>
                <w:rFonts w:ascii="Times New Roman" w:hAnsi="Times New Roman" w:cs="Times New Roman"/>
              </w:rPr>
              <w:t>ț</w:t>
            </w:r>
            <w:r w:rsidR="00917989" w:rsidRPr="008C5F1C">
              <w:rPr>
                <w:rFonts w:ascii="Times New Roman" w:hAnsi="Times New Roman" w:cs="Times New Roman"/>
              </w:rPr>
              <w:t>ii ADR Nord-Vest au avut întâlniri de lucru în toate jude</w:t>
            </w:r>
            <w:r w:rsidR="00E22FF2" w:rsidRPr="008C5F1C">
              <w:rPr>
                <w:rFonts w:ascii="Times New Roman" w:hAnsi="Times New Roman" w:cs="Times New Roman"/>
              </w:rPr>
              <w:t>ț</w:t>
            </w:r>
            <w:r w:rsidR="00917989" w:rsidRPr="008C5F1C">
              <w:rPr>
                <w:rFonts w:ascii="Times New Roman" w:hAnsi="Times New Roman" w:cs="Times New Roman"/>
              </w:rPr>
              <w:t>ele regiunii, atât cu reprezentan</w:t>
            </w:r>
            <w:r w:rsidR="00E22FF2" w:rsidRPr="008C5F1C">
              <w:rPr>
                <w:rFonts w:ascii="Times New Roman" w:hAnsi="Times New Roman" w:cs="Times New Roman"/>
              </w:rPr>
              <w:t>ț</w:t>
            </w:r>
            <w:r w:rsidR="00917989" w:rsidRPr="008C5F1C">
              <w:rPr>
                <w:rFonts w:ascii="Times New Roman" w:hAnsi="Times New Roman" w:cs="Times New Roman"/>
              </w:rPr>
              <w:t>ii autorit</w:t>
            </w:r>
            <w:r w:rsidR="00BA7827" w:rsidRPr="008C5F1C">
              <w:rPr>
                <w:rFonts w:ascii="Times New Roman" w:hAnsi="Times New Roman" w:cs="Times New Roman"/>
              </w:rPr>
              <w:t>ă</w:t>
            </w:r>
            <w:r w:rsidR="00E22FF2" w:rsidRPr="008C5F1C">
              <w:rPr>
                <w:rFonts w:ascii="Times New Roman" w:hAnsi="Times New Roman" w:cs="Times New Roman"/>
              </w:rPr>
              <w:t>ț</w:t>
            </w:r>
            <w:r w:rsidR="00917989" w:rsidRPr="008C5F1C">
              <w:rPr>
                <w:rFonts w:ascii="Times New Roman" w:hAnsi="Times New Roman" w:cs="Times New Roman"/>
              </w:rPr>
              <w:t xml:space="preserve">ilor publice, cât </w:t>
            </w:r>
            <w:r w:rsidR="00106240" w:rsidRPr="008C5F1C">
              <w:rPr>
                <w:rFonts w:ascii="Times New Roman" w:hAnsi="Times New Roman" w:cs="Times New Roman"/>
              </w:rPr>
              <w:t>ș</w:t>
            </w:r>
            <w:r w:rsidR="00917989" w:rsidRPr="008C5F1C">
              <w:rPr>
                <w:rFonts w:ascii="Times New Roman" w:hAnsi="Times New Roman" w:cs="Times New Roman"/>
              </w:rPr>
              <w:t>i cu cei ai mediului privat,. În condi</w:t>
            </w:r>
            <w:r w:rsidR="00E22FF2" w:rsidRPr="008C5F1C">
              <w:rPr>
                <w:rFonts w:ascii="Times New Roman" w:hAnsi="Times New Roman" w:cs="Times New Roman"/>
              </w:rPr>
              <w:t>ț</w:t>
            </w:r>
            <w:r w:rsidR="00917989" w:rsidRPr="008C5F1C">
              <w:rPr>
                <w:rFonts w:ascii="Times New Roman" w:hAnsi="Times New Roman" w:cs="Times New Roman"/>
              </w:rPr>
              <w:t xml:space="preserve">iile speciale ale crizei medicale, </w:t>
            </w:r>
            <w:r w:rsidRPr="008C5F1C">
              <w:rPr>
                <w:rFonts w:ascii="Times New Roman" w:hAnsi="Times New Roman" w:cs="Times New Roman"/>
              </w:rPr>
              <w:t xml:space="preserve">ADR </w:t>
            </w:r>
            <w:r w:rsidR="00917989" w:rsidRPr="008C5F1C">
              <w:rPr>
                <w:rFonts w:ascii="Times New Roman" w:hAnsi="Times New Roman" w:cs="Times New Roman"/>
              </w:rPr>
              <w:t xml:space="preserve">Nord-Vest </w:t>
            </w:r>
            <w:r w:rsidRPr="008C5F1C">
              <w:rPr>
                <w:rFonts w:ascii="Times New Roman" w:hAnsi="Times New Roman" w:cs="Times New Roman"/>
              </w:rPr>
              <w:t>a coordonat organizarea un</w:t>
            </w:r>
            <w:r w:rsidR="00917989" w:rsidRPr="008C5F1C">
              <w:rPr>
                <w:rFonts w:ascii="Times New Roman" w:hAnsi="Times New Roman" w:cs="Times New Roman"/>
              </w:rPr>
              <w:t>or</w:t>
            </w:r>
            <w:r w:rsidRPr="008C5F1C">
              <w:rPr>
                <w:rFonts w:ascii="Times New Roman" w:hAnsi="Times New Roman" w:cs="Times New Roman"/>
              </w:rPr>
              <w:t xml:space="preserve"> consult</w:t>
            </w:r>
            <w:r w:rsidR="00BA7827" w:rsidRPr="008C5F1C">
              <w:rPr>
                <w:rFonts w:ascii="Times New Roman" w:hAnsi="Times New Roman" w:cs="Times New Roman"/>
              </w:rPr>
              <w:t>ă</w:t>
            </w:r>
            <w:r w:rsidRPr="008C5F1C">
              <w:rPr>
                <w:rFonts w:ascii="Times New Roman" w:hAnsi="Times New Roman" w:cs="Times New Roman"/>
              </w:rPr>
              <w:t>ri publice</w:t>
            </w:r>
            <w:r w:rsidR="00917989" w:rsidRPr="008C5F1C">
              <w:rPr>
                <w:rFonts w:ascii="Times New Roman" w:hAnsi="Times New Roman" w:cs="Times New Roman"/>
              </w:rPr>
              <w:t xml:space="preserve"> </w:t>
            </w:r>
            <w:r w:rsidRPr="008C5F1C">
              <w:rPr>
                <w:rFonts w:ascii="Times New Roman" w:hAnsi="Times New Roman" w:cs="Times New Roman"/>
              </w:rPr>
              <w:t xml:space="preserve">articulate </w:t>
            </w:r>
            <w:r w:rsidR="00917989" w:rsidRPr="008C5F1C">
              <w:rPr>
                <w:rFonts w:ascii="Times New Roman" w:hAnsi="Times New Roman" w:cs="Times New Roman"/>
              </w:rPr>
              <w:t xml:space="preserve">mai ales </w:t>
            </w:r>
            <w:r w:rsidRPr="008C5F1C">
              <w:rPr>
                <w:rFonts w:ascii="Times New Roman" w:hAnsi="Times New Roman" w:cs="Times New Roman"/>
              </w:rPr>
              <w:t xml:space="preserve">pe o serie de întâlniri </w:t>
            </w:r>
            <w:r w:rsidR="00917989" w:rsidRPr="008C5F1C">
              <w:rPr>
                <w:rFonts w:ascii="Times New Roman" w:hAnsi="Times New Roman" w:cs="Times New Roman"/>
              </w:rPr>
              <w:t xml:space="preserve">în mediul online </w:t>
            </w:r>
            <w:r w:rsidR="00106240" w:rsidRPr="008C5F1C">
              <w:rPr>
                <w:rFonts w:ascii="Times New Roman" w:hAnsi="Times New Roman" w:cs="Times New Roman"/>
              </w:rPr>
              <w:t>ș</w:t>
            </w:r>
            <w:r w:rsidR="00917989" w:rsidRPr="008C5F1C">
              <w:rPr>
                <w:rFonts w:ascii="Times New Roman" w:hAnsi="Times New Roman" w:cs="Times New Roman"/>
              </w:rPr>
              <w:t>i consult</w:t>
            </w:r>
            <w:r w:rsidR="00BA7827" w:rsidRPr="008C5F1C">
              <w:rPr>
                <w:rFonts w:ascii="Times New Roman" w:hAnsi="Times New Roman" w:cs="Times New Roman"/>
              </w:rPr>
              <w:t>ă</w:t>
            </w:r>
            <w:r w:rsidR="00917989" w:rsidRPr="008C5F1C">
              <w:rPr>
                <w:rFonts w:ascii="Times New Roman" w:hAnsi="Times New Roman" w:cs="Times New Roman"/>
              </w:rPr>
              <w:t>ri scrise</w:t>
            </w:r>
            <w:r w:rsidRPr="008C5F1C">
              <w:rPr>
                <w:rFonts w:ascii="Times New Roman" w:hAnsi="Times New Roman" w:cs="Times New Roman"/>
              </w:rPr>
              <w:t>, care s</w:t>
            </w:r>
            <w:r w:rsidR="00BA7827" w:rsidRPr="008C5F1C">
              <w:rPr>
                <w:rFonts w:ascii="Times New Roman" w:hAnsi="Times New Roman" w:cs="Times New Roman"/>
              </w:rPr>
              <w:t>ă</w:t>
            </w:r>
            <w:r w:rsidRPr="008C5F1C">
              <w:rPr>
                <w:rFonts w:ascii="Times New Roman" w:hAnsi="Times New Roman" w:cs="Times New Roman"/>
              </w:rPr>
              <w:t xml:space="preserve"> faciliteze identificarea nevoilor, maparea proiectelor prioritare </w:t>
            </w:r>
            <w:r w:rsidR="00106240" w:rsidRPr="008C5F1C">
              <w:rPr>
                <w:rFonts w:ascii="Times New Roman" w:hAnsi="Times New Roman" w:cs="Times New Roman"/>
              </w:rPr>
              <w:t>ș</w:t>
            </w:r>
            <w:r w:rsidRPr="008C5F1C">
              <w:rPr>
                <w:rFonts w:ascii="Times New Roman" w:hAnsi="Times New Roman" w:cs="Times New Roman"/>
              </w:rPr>
              <w:t>i în</w:t>
            </w:r>
            <w:r w:rsidR="00E22FF2" w:rsidRPr="008C5F1C">
              <w:rPr>
                <w:rFonts w:ascii="Times New Roman" w:hAnsi="Times New Roman" w:cs="Times New Roman"/>
              </w:rPr>
              <w:t>ț</w:t>
            </w:r>
            <w:r w:rsidRPr="008C5F1C">
              <w:rPr>
                <w:rFonts w:ascii="Times New Roman" w:hAnsi="Times New Roman" w:cs="Times New Roman"/>
              </w:rPr>
              <w:t xml:space="preserve">elegerea stadiului lor de maturitate, schimbul de idei </w:t>
            </w:r>
            <w:r w:rsidR="00106240" w:rsidRPr="008C5F1C">
              <w:rPr>
                <w:rFonts w:ascii="Times New Roman" w:hAnsi="Times New Roman" w:cs="Times New Roman"/>
              </w:rPr>
              <w:t>ș</w:t>
            </w:r>
            <w:r w:rsidRPr="008C5F1C">
              <w:rPr>
                <w:rFonts w:ascii="Times New Roman" w:hAnsi="Times New Roman" w:cs="Times New Roman"/>
              </w:rPr>
              <w:t>i atingerea unui consens în ceea ce prive</w:t>
            </w:r>
            <w:r w:rsidR="00106240" w:rsidRPr="008C5F1C">
              <w:rPr>
                <w:rFonts w:ascii="Times New Roman" w:hAnsi="Times New Roman" w:cs="Times New Roman"/>
              </w:rPr>
              <w:t>ș</w:t>
            </w:r>
            <w:r w:rsidRPr="008C5F1C">
              <w:rPr>
                <w:rFonts w:ascii="Times New Roman" w:hAnsi="Times New Roman" w:cs="Times New Roman"/>
              </w:rPr>
              <w:t>te priorit</w:t>
            </w:r>
            <w:r w:rsidR="00BA7827" w:rsidRPr="008C5F1C">
              <w:rPr>
                <w:rFonts w:ascii="Times New Roman" w:hAnsi="Times New Roman" w:cs="Times New Roman"/>
              </w:rPr>
              <w:t>ă</w:t>
            </w:r>
            <w:r w:rsidR="00E22FF2" w:rsidRPr="008C5F1C">
              <w:rPr>
                <w:rFonts w:ascii="Times New Roman" w:hAnsi="Times New Roman" w:cs="Times New Roman"/>
              </w:rPr>
              <w:t>ț</w:t>
            </w:r>
            <w:r w:rsidRPr="008C5F1C">
              <w:rPr>
                <w:rFonts w:ascii="Times New Roman" w:hAnsi="Times New Roman" w:cs="Times New Roman"/>
              </w:rPr>
              <w:t>ile de finan</w:t>
            </w:r>
            <w:r w:rsidR="00E22FF2" w:rsidRPr="008C5F1C">
              <w:rPr>
                <w:rFonts w:ascii="Times New Roman" w:hAnsi="Times New Roman" w:cs="Times New Roman"/>
              </w:rPr>
              <w:t>ț</w:t>
            </w:r>
            <w:r w:rsidRPr="008C5F1C">
              <w:rPr>
                <w:rFonts w:ascii="Times New Roman" w:hAnsi="Times New Roman" w:cs="Times New Roman"/>
              </w:rPr>
              <w:t xml:space="preserve">are pentru perioada de programare 2021-2027. </w:t>
            </w:r>
          </w:p>
          <w:p w14:paraId="59D2144B" w14:textId="784E2496" w:rsidR="00FA297D" w:rsidRPr="008C5F1C" w:rsidRDefault="00FA297D" w:rsidP="00FA297D">
            <w:pPr>
              <w:autoSpaceDE w:val="0"/>
              <w:autoSpaceDN w:val="0"/>
              <w:adjustRightInd w:val="0"/>
              <w:spacing w:after="120" w:line="240" w:lineRule="auto"/>
              <w:jc w:val="both"/>
              <w:rPr>
                <w:rFonts w:ascii="Times New Roman" w:hAnsi="Times New Roman" w:cs="Times New Roman"/>
              </w:rPr>
            </w:pPr>
            <w:r w:rsidRPr="008C5F1C">
              <w:rPr>
                <w:rFonts w:ascii="Times New Roman" w:hAnsi="Times New Roman" w:cs="Times New Roman"/>
              </w:rPr>
              <w:lastRenderedPageBreak/>
              <w:t>Întâlnirile s-au derulat în contextul preg</w:t>
            </w:r>
            <w:r w:rsidR="00BA7827" w:rsidRPr="008C5F1C">
              <w:rPr>
                <w:rFonts w:ascii="Times New Roman" w:hAnsi="Times New Roman" w:cs="Times New Roman"/>
              </w:rPr>
              <w:t>ă</w:t>
            </w:r>
            <w:r w:rsidRPr="008C5F1C">
              <w:rPr>
                <w:rFonts w:ascii="Times New Roman" w:hAnsi="Times New Roman" w:cs="Times New Roman"/>
              </w:rPr>
              <w:t>tirii Strategiei de Dezvoltare Regional</w:t>
            </w:r>
            <w:r w:rsidR="00BA7827" w:rsidRPr="008C5F1C">
              <w:rPr>
                <w:rFonts w:ascii="Times New Roman" w:hAnsi="Times New Roman" w:cs="Times New Roman"/>
              </w:rPr>
              <w:t>ă</w:t>
            </w:r>
            <w:r w:rsidRPr="008C5F1C">
              <w:rPr>
                <w:rFonts w:ascii="Times New Roman" w:hAnsi="Times New Roman" w:cs="Times New Roman"/>
              </w:rPr>
              <w:t xml:space="preserve"> </w:t>
            </w:r>
            <w:r w:rsidR="00917989" w:rsidRPr="008C5F1C">
              <w:rPr>
                <w:rFonts w:ascii="Times New Roman" w:hAnsi="Times New Roman" w:cs="Times New Roman"/>
              </w:rPr>
              <w:t>din cadrul Planului de Dezvoltare Regional</w:t>
            </w:r>
            <w:r w:rsidR="00BA7827" w:rsidRPr="008C5F1C">
              <w:rPr>
                <w:rFonts w:ascii="Times New Roman" w:hAnsi="Times New Roman" w:cs="Times New Roman"/>
              </w:rPr>
              <w:t>ă</w:t>
            </w:r>
            <w:r w:rsidR="00917989" w:rsidRPr="008C5F1C">
              <w:rPr>
                <w:rFonts w:ascii="Times New Roman" w:hAnsi="Times New Roman" w:cs="Times New Roman"/>
              </w:rPr>
              <w:t xml:space="preserve"> </w:t>
            </w:r>
            <w:r w:rsidRPr="008C5F1C">
              <w:rPr>
                <w:rFonts w:ascii="Times New Roman" w:hAnsi="Times New Roman" w:cs="Times New Roman"/>
              </w:rPr>
              <w:t>(</w:t>
            </w:r>
            <w:r w:rsidR="00917989" w:rsidRPr="008C5F1C">
              <w:rPr>
                <w:rFonts w:ascii="Times New Roman" w:hAnsi="Times New Roman" w:cs="Times New Roman"/>
              </w:rPr>
              <w:t>P</w:t>
            </w:r>
            <w:r w:rsidRPr="008C5F1C">
              <w:rPr>
                <w:rFonts w:ascii="Times New Roman" w:hAnsi="Times New Roman" w:cs="Times New Roman"/>
              </w:rPr>
              <w:t>DR) 2021-2027</w:t>
            </w:r>
            <w:r w:rsidR="00220438" w:rsidRPr="008C5F1C">
              <w:rPr>
                <w:rFonts w:ascii="Times New Roman" w:hAnsi="Times New Roman" w:cs="Times New Roman"/>
              </w:rPr>
              <w:t xml:space="preserve">, a Strategiei Regionale de Mobilitate Urbană Durabilă și Orașe Inteligente, a Strategiei de Specializare Inteligentă Nord-Vest și </w:t>
            </w:r>
            <w:r w:rsidRPr="008C5F1C">
              <w:rPr>
                <w:rFonts w:ascii="Times New Roman" w:hAnsi="Times New Roman" w:cs="Times New Roman"/>
              </w:rPr>
              <w:t>au avut o contribu</w:t>
            </w:r>
            <w:r w:rsidR="00E22FF2" w:rsidRPr="008C5F1C">
              <w:rPr>
                <w:rFonts w:ascii="Times New Roman" w:hAnsi="Times New Roman" w:cs="Times New Roman"/>
              </w:rPr>
              <w:t>ț</w:t>
            </w:r>
            <w:r w:rsidRPr="008C5F1C">
              <w:rPr>
                <w:rFonts w:ascii="Times New Roman" w:hAnsi="Times New Roman" w:cs="Times New Roman"/>
              </w:rPr>
              <w:t>ie puternic</w:t>
            </w:r>
            <w:r w:rsidR="00BA7827" w:rsidRPr="008C5F1C">
              <w:rPr>
                <w:rFonts w:ascii="Times New Roman" w:hAnsi="Times New Roman" w:cs="Times New Roman"/>
              </w:rPr>
              <w:t>ă</w:t>
            </w:r>
            <w:r w:rsidRPr="008C5F1C">
              <w:rPr>
                <w:rFonts w:ascii="Times New Roman" w:hAnsi="Times New Roman" w:cs="Times New Roman"/>
              </w:rPr>
              <w:t xml:space="preserve"> în ceea ce prive</w:t>
            </w:r>
            <w:r w:rsidR="00106240" w:rsidRPr="008C5F1C">
              <w:rPr>
                <w:rFonts w:ascii="Times New Roman" w:hAnsi="Times New Roman" w:cs="Times New Roman"/>
              </w:rPr>
              <w:t>ș</w:t>
            </w:r>
            <w:r w:rsidRPr="008C5F1C">
              <w:rPr>
                <w:rFonts w:ascii="Times New Roman" w:hAnsi="Times New Roman" w:cs="Times New Roman"/>
              </w:rPr>
              <w:t>te împ</w:t>
            </w:r>
            <w:r w:rsidR="00BA7827" w:rsidRPr="008C5F1C">
              <w:rPr>
                <w:rFonts w:ascii="Times New Roman" w:hAnsi="Times New Roman" w:cs="Times New Roman"/>
              </w:rPr>
              <w:t>ă</w:t>
            </w:r>
            <w:r w:rsidRPr="008C5F1C">
              <w:rPr>
                <w:rFonts w:ascii="Times New Roman" w:hAnsi="Times New Roman" w:cs="Times New Roman"/>
              </w:rPr>
              <w:t>rt</w:t>
            </w:r>
            <w:r w:rsidR="00BA7827" w:rsidRPr="008C5F1C">
              <w:rPr>
                <w:rFonts w:ascii="Times New Roman" w:hAnsi="Times New Roman" w:cs="Times New Roman"/>
              </w:rPr>
              <w:t>ă</w:t>
            </w:r>
            <w:r w:rsidR="00106240" w:rsidRPr="008C5F1C">
              <w:rPr>
                <w:rFonts w:ascii="Times New Roman" w:hAnsi="Times New Roman" w:cs="Times New Roman"/>
              </w:rPr>
              <w:t>ș</w:t>
            </w:r>
            <w:r w:rsidRPr="008C5F1C">
              <w:rPr>
                <w:rFonts w:ascii="Times New Roman" w:hAnsi="Times New Roman" w:cs="Times New Roman"/>
              </w:rPr>
              <w:t>irea liniilor directoare strategice ale noii program</w:t>
            </w:r>
            <w:r w:rsidR="00BA7827" w:rsidRPr="008C5F1C">
              <w:rPr>
                <w:rFonts w:ascii="Times New Roman" w:hAnsi="Times New Roman" w:cs="Times New Roman"/>
              </w:rPr>
              <w:t>ă</w:t>
            </w:r>
            <w:r w:rsidRPr="008C5F1C">
              <w:rPr>
                <w:rFonts w:ascii="Times New Roman" w:hAnsi="Times New Roman" w:cs="Times New Roman"/>
              </w:rPr>
              <w:t>ri, permi</w:t>
            </w:r>
            <w:r w:rsidR="00E22FF2" w:rsidRPr="008C5F1C">
              <w:rPr>
                <w:rFonts w:ascii="Times New Roman" w:hAnsi="Times New Roman" w:cs="Times New Roman"/>
              </w:rPr>
              <w:t>ț</w:t>
            </w:r>
            <w:r w:rsidRPr="008C5F1C">
              <w:rPr>
                <w:rFonts w:ascii="Times New Roman" w:hAnsi="Times New Roman" w:cs="Times New Roman"/>
              </w:rPr>
              <w:t xml:space="preserve">ând, de asemenea, încadrarea POR într-un cadru mai larg, în care sunt plasate </w:t>
            </w:r>
            <w:r w:rsidR="00106240" w:rsidRPr="008C5F1C">
              <w:rPr>
                <w:rFonts w:ascii="Times New Roman" w:hAnsi="Times New Roman" w:cs="Times New Roman"/>
              </w:rPr>
              <w:t>ș</w:t>
            </w:r>
            <w:r w:rsidRPr="008C5F1C">
              <w:rPr>
                <w:rFonts w:ascii="Times New Roman" w:hAnsi="Times New Roman" w:cs="Times New Roman"/>
              </w:rPr>
              <w:t>i politicile obi</w:t>
            </w:r>
            <w:r w:rsidR="00106240" w:rsidRPr="008C5F1C">
              <w:rPr>
                <w:rFonts w:ascii="Times New Roman" w:hAnsi="Times New Roman" w:cs="Times New Roman"/>
              </w:rPr>
              <w:t>ș</w:t>
            </w:r>
            <w:r w:rsidRPr="008C5F1C">
              <w:rPr>
                <w:rFonts w:ascii="Times New Roman" w:hAnsi="Times New Roman" w:cs="Times New Roman"/>
              </w:rPr>
              <w:t>nuite derulate în diferite contexte institu</w:t>
            </w:r>
            <w:r w:rsidR="00E22FF2" w:rsidRPr="008C5F1C">
              <w:rPr>
                <w:rFonts w:ascii="Times New Roman" w:hAnsi="Times New Roman" w:cs="Times New Roman"/>
              </w:rPr>
              <w:t>ț</w:t>
            </w:r>
            <w:r w:rsidRPr="008C5F1C">
              <w:rPr>
                <w:rFonts w:ascii="Times New Roman" w:hAnsi="Times New Roman" w:cs="Times New Roman"/>
              </w:rPr>
              <w:t>ionale.</w:t>
            </w:r>
          </w:p>
          <w:p w14:paraId="6B6169B2" w14:textId="77777777" w:rsidR="00877537" w:rsidRPr="008C5F1C" w:rsidRDefault="00B80770" w:rsidP="00877537">
            <w:pPr>
              <w:autoSpaceDE w:val="0"/>
              <w:autoSpaceDN w:val="0"/>
              <w:adjustRightInd w:val="0"/>
              <w:spacing w:after="120" w:line="240" w:lineRule="auto"/>
              <w:jc w:val="both"/>
              <w:rPr>
                <w:rFonts w:ascii="Times New Roman" w:hAnsi="Times New Roman" w:cs="Times New Roman"/>
              </w:rPr>
            </w:pPr>
            <w:r w:rsidRPr="008C5F1C">
              <w:rPr>
                <w:rFonts w:ascii="Times New Roman" w:hAnsi="Times New Roman" w:cs="Times New Roman"/>
              </w:rPr>
              <w:t>La nivel regional, pentru realizarea PDR 2021-2027, s-au re-activat Comitetul Regional de Planificare (CRP)</w:t>
            </w:r>
            <w:r w:rsidR="00877537" w:rsidRPr="008C5F1C">
              <w:rPr>
                <w:rFonts w:ascii="Times New Roman" w:hAnsi="Times New Roman" w:cs="Times New Roman"/>
              </w:rPr>
              <w:t>,</w:t>
            </w:r>
            <w:r w:rsidRPr="008C5F1C">
              <w:rPr>
                <w:rFonts w:ascii="Times New Roman" w:hAnsi="Times New Roman" w:cs="Times New Roman"/>
              </w:rPr>
              <w:t xml:space="preserve"> Grupurile Tematice Regionale (GTR)</w:t>
            </w:r>
            <w:r w:rsidR="00877537" w:rsidRPr="008C5F1C">
              <w:rPr>
                <w:rFonts w:ascii="Times New Roman" w:hAnsi="Times New Roman" w:cs="Times New Roman"/>
              </w:rPr>
              <w:t xml:space="preserve"> </w:t>
            </w:r>
            <w:r w:rsidR="00106240" w:rsidRPr="008C5F1C">
              <w:rPr>
                <w:rFonts w:ascii="Times New Roman" w:hAnsi="Times New Roman" w:cs="Times New Roman"/>
              </w:rPr>
              <w:t>ș</w:t>
            </w:r>
            <w:r w:rsidR="00877537" w:rsidRPr="008C5F1C">
              <w:rPr>
                <w:rFonts w:ascii="Times New Roman" w:hAnsi="Times New Roman" w:cs="Times New Roman"/>
              </w:rPr>
              <w:t xml:space="preserve">i Grupurile Locale Sub-Regionale (GLSR), organisme cu rol consultativ. </w:t>
            </w:r>
          </w:p>
          <w:p w14:paraId="1320B373" w14:textId="77777777" w:rsidR="00877537" w:rsidRPr="008C5F1C" w:rsidRDefault="00877537" w:rsidP="00877537">
            <w:pPr>
              <w:autoSpaceDE w:val="0"/>
              <w:autoSpaceDN w:val="0"/>
              <w:adjustRightInd w:val="0"/>
              <w:spacing w:after="120" w:line="240" w:lineRule="auto"/>
              <w:jc w:val="both"/>
              <w:rPr>
                <w:rFonts w:ascii="Times New Roman" w:hAnsi="Times New Roman" w:cs="Times New Roman"/>
              </w:rPr>
            </w:pPr>
            <w:r w:rsidRPr="008C5F1C">
              <w:rPr>
                <w:rFonts w:ascii="Times New Roman" w:hAnsi="Times New Roman" w:cs="Times New Roman"/>
              </w:rPr>
              <w:t>CRP avizeaz</w:t>
            </w:r>
            <w:r w:rsidR="00BA7827" w:rsidRPr="008C5F1C">
              <w:rPr>
                <w:rFonts w:ascii="Times New Roman" w:hAnsi="Times New Roman" w:cs="Times New Roman"/>
              </w:rPr>
              <w:t>ă</w:t>
            </w:r>
            <w:r w:rsidRPr="008C5F1C">
              <w:rPr>
                <w:rFonts w:ascii="Times New Roman" w:hAnsi="Times New Roman" w:cs="Times New Roman"/>
              </w:rPr>
              <w:t xml:space="preserve"> analizele economice </w:t>
            </w:r>
            <w:r w:rsidR="00106240" w:rsidRPr="008C5F1C">
              <w:rPr>
                <w:rFonts w:ascii="Times New Roman" w:hAnsi="Times New Roman" w:cs="Times New Roman"/>
              </w:rPr>
              <w:t>ș</w:t>
            </w:r>
            <w:r w:rsidRPr="008C5F1C">
              <w:rPr>
                <w:rFonts w:ascii="Times New Roman" w:hAnsi="Times New Roman" w:cs="Times New Roman"/>
              </w:rPr>
              <w:t>i sociale elaborate în scopul fundament</w:t>
            </w:r>
            <w:r w:rsidR="00BA7827" w:rsidRPr="008C5F1C">
              <w:rPr>
                <w:rFonts w:ascii="Times New Roman" w:hAnsi="Times New Roman" w:cs="Times New Roman"/>
              </w:rPr>
              <w:t>ă</w:t>
            </w:r>
            <w:r w:rsidRPr="008C5F1C">
              <w:rPr>
                <w:rFonts w:ascii="Times New Roman" w:hAnsi="Times New Roman" w:cs="Times New Roman"/>
              </w:rPr>
              <w:t>rii strategiei de dezvoltare regionale a PDR, programarea financiar</w:t>
            </w:r>
            <w:r w:rsidR="00BA7827" w:rsidRPr="008C5F1C">
              <w:rPr>
                <w:rFonts w:ascii="Times New Roman" w:hAnsi="Times New Roman" w:cs="Times New Roman"/>
              </w:rPr>
              <w:t>ă</w:t>
            </w:r>
            <w:r w:rsidRPr="008C5F1C">
              <w:rPr>
                <w:rFonts w:ascii="Times New Roman" w:hAnsi="Times New Roman" w:cs="Times New Roman"/>
              </w:rPr>
              <w:t xml:space="preserve"> orientativ</w:t>
            </w:r>
            <w:r w:rsidR="00BA7827" w:rsidRPr="008C5F1C">
              <w:rPr>
                <w:rFonts w:ascii="Times New Roman" w:hAnsi="Times New Roman" w:cs="Times New Roman"/>
              </w:rPr>
              <w:t>ă</w:t>
            </w:r>
            <w:r w:rsidRPr="008C5F1C">
              <w:rPr>
                <w:rFonts w:ascii="Times New Roman" w:hAnsi="Times New Roman" w:cs="Times New Roman"/>
              </w:rPr>
              <w:t xml:space="preserve"> a obiectivelor prioritare de dezvoltare; rapoartele strategice de monitorizare a PDR, care vor fi supuse aprob</w:t>
            </w:r>
            <w:r w:rsidR="00BA7827" w:rsidRPr="008C5F1C">
              <w:rPr>
                <w:rFonts w:ascii="Times New Roman" w:hAnsi="Times New Roman" w:cs="Times New Roman"/>
              </w:rPr>
              <w:t>ă</w:t>
            </w:r>
            <w:r w:rsidRPr="008C5F1C">
              <w:rPr>
                <w:rFonts w:ascii="Times New Roman" w:hAnsi="Times New Roman" w:cs="Times New Roman"/>
              </w:rPr>
              <w:t>rii CDR;</w:t>
            </w:r>
            <w:r w:rsidR="00EA0602" w:rsidRPr="008C5F1C">
              <w:rPr>
                <w:rFonts w:ascii="Times New Roman" w:hAnsi="Times New Roman" w:cs="Times New Roman"/>
              </w:rPr>
              <w:t xml:space="preserve"> </w:t>
            </w:r>
            <w:r w:rsidRPr="008C5F1C">
              <w:rPr>
                <w:rFonts w:ascii="Times New Roman" w:hAnsi="Times New Roman" w:cs="Times New Roman"/>
              </w:rPr>
              <w:t>lista orientativ</w:t>
            </w:r>
            <w:r w:rsidR="00BA7827" w:rsidRPr="008C5F1C">
              <w:rPr>
                <w:rFonts w:ascii="Times New Roman" w:hAnsi="Times New Roman" w:cs="Times New Roman"/>
              </w:rPr>
              <w:t>ă</w:t>
            </w:r>
            <w:r w:rsidRPr="008C5F1C">
              <w:rPr>
                <w:rFonts w:ascii="Times New Roman" w:hAnsi="Times New Roman" w:cs="Times New Roman"/>
              </w:rPr>
              <w:t xml:space="preserve"> a proiectelor strategice din PDR identificate la nivelul  regiunii.</w:t>
            </w:r>
          </w:p>
          <w:p w14:paraId="6890F7E6" w14:textId="77777777" w:rsidR="00B80770" w:rsidRPr="008C5F1C" w:rsidRDefault="00877537" w:rsidP="00877537">
            <w:pPr>
              <w:autoSpaceDE w:val="0"/>
              <w:autoSpaceDN w:val="0"/>
              <w:adjustRightInd w:val="0"/>
              <w:spacing w:after="120" w:line="240" w:lineRule="auto"/>
              <w:jc w:val="both"/>
              <w:rPr>
                <w:rFonts w:ascii="Times New Roman" w:hAnsi="Times New Roman" w:cs="Times New Roman"/>
              </w:rPr>
            </w:pPr>
            <w:r w:rsidRPr="008C5F1C">
              <w:rPr>
                <w:rFonts w:ascii="Times New Roman" w:hAnsi="Times New Roman" w:cs="Times New Roman"/>
              </w:rPr>
              <w:t xml:space="preserve">S-au stabilit </w:t>
            </w:r>
            <w:r w:rsidR="00106240" w:rsidRPr="008C5F1C">
              <w:rPr>
                <w:rFonts w:ascii="Times New Roman" w:hAnsi="Times New Roman" w:cs="Times New Roman"/>
              </w:rPr>
              <w:t>ș</w:t>
            </w:r>
            <w:r w:rsidRPr="008C5F1C">
              <w:rPr>
                <w:rFonts w:ascii="Times New Roman" w:hAnsi="Times New Roman" w:cs="Times New Roman"/>
              </w:rPr>
              <w:t>ase GTR-uri, pe urm</w:t>
            </w:r>
            <w:r w:rsidR="00BA7827" w:rsidRPr="008C5F1C">
              <w:rPr>
                <w:rFonts w:ascii="Times New Roman" w:hAnsi="Times New Roman" w:cs="Times New Roman"/>
              </w:rPr>
              <w:t>ă</w:t>
            </w:r>
            <w:r w:rsidRPr="008C5F1C">
              <w:rPr>
                <w:rFonts w:ascii="Times New Roman" w:hAnsi="Times New Roman" w:cs="Times New Roman"/>
              </w:rPr>
              <w:t>toarele tematici: Specializare inteligent</w:t>
            </w:r>
            <w:r w:rsidR="00BA7827" w:rsidRPr="008C5F1C">
              <w:rPr>
                <w:rFonts w:ascii="Times New Roman" w:hAnsi="Times New Roman" w:cs="Times New Roman"/>
              </w:rPr>
              <w:t>ă</w:t>
            </w:r>
            <w:r w:rsidRPr="008C5F1C">
              <w:rPr>
                <w:rFonts w:ascii="Times New Roman" w:hAnsi="Times New Roman" w:cs="Times New Roman"/>
              </w:rPr>
              <w:t xml:space="preserve">, digitalizare </w:t>
            </w:r>
            <w:r w:rsidR="00106240" w:rsidRPr="008C5F1C">
              <w:rPr>
                <w:rFonts w:ascii="Times New Roman" w:hAnsi="Times New Roman" w:cs="Times New Roman"/>
              </w:rPr>
              <w:t>ș</w:t>
            </w:r>
            <w:r w:rsidRPr="008C5F1C">
              <w:rPr>
                <w:rFonts w:ascii="Times New Roman" w:hAnsi="Times New Roman" w:cs="Times New Roman"/>
              </w:rPr>
              <w:t>i competitivitate economic</w:t>
            </w:r>
            <w:r w:rsidR="00BA7827" w:rsidRPr="008C5F1C">
              <w:rPr>
                <w:rFonts w:ascii="Times New Roman" w:hAnsi="Times New Roman" w:cs="Times New Roman"/>
              </w:rPr>
              <w:t>ă</w:t>
            </w:r>
            <w:r w:rsidRPr="008C5F1C">
              <w:rPr>
                <w:rFonts w:ascii="Times New Roman" w:hAnsi="Times New Roman" w:cs="Times New Roman"/>
              </w:rPr>
              <w:t xml:space="preserve">, Mobilitate </w:t>
            </w:r>
            <w:r w:rsidR="00106240" w:rsidRPr="008C5F1C">
              <w:rPr>
                <w:rFonts w:ascii="Times New Roman" w:hAnsi="Times New Roman" w:cs="Times New Roman"/>
              </w:rPr>
              <w:t>ș</w:t>
            </w:r>
            <w:r w:rsidRPr="008C5F1C">
              <w:rPr>
                <w:rFonts w:ascii="Times New Roman" w:hAnsi="Times New Roman" w:cs="Times New Roman"/>
              </w:rPr>
              <w:t>i infrastructur</w:t>
            </w:r>
            <w:r w:rsidR="00BA7827" w:rsidRPr="008C5F1C">
              <w:rPr>
                <w:rFonts w:ascii="Times New Roman" w:hAnsi="Times New Roman" w:cs="Times New Roman"/>
              </w:rPr>
              <w:t>ă</w:t>
            </w:r>
            <w:r w:rsidRPr="008C5F1C">
              <w:rPr>
                <w:rFonts w:ascii="Times New Roman" w:hAnsi="Times New Roman" w:cs="Times New Roman"/>
              </w:rPr>
              <w:t xml:space="preserve"> de transport, Dezvoltare teritorial</w:t>
            </w:r>
            <w:r w:rsidR="00BA7827" w:rsidRPr="008C5F1C">
              <w:rPr>
                <w:rFonts w:ascii="Times New Roman" w:hAnsi="Times New Roman" w:cs="Times New Roman"/>
              </w:rPr>
              <w:t>ă</w:t>
            </w:r>
            <w:r w:rsidRPr="008C5F1C">
              <w:rPr>
                <w:rFonts w:ascii="Times New Roman" w:hAnsi="Times New Roman" w:cs="Times New Roman"/>
              </w:rPr>
              <w:t xml:space="preserve"> integrat</w:t>
            </w:r>
            <w:r w:rsidR="00BA7827" w:rsidRPr="008C5F1C">
              <w:rPr>
                <w:rFonts w:ascii="Times New Roman" w:hAnsi="Times New Roman" w:cs="Times New Roman"/>
              </w:rPr>
              <w:t>ă</w:t>
            </w:r>
            <w:r w:rsidRPr="008C5F1C">
              <w:rPr>
                <w:rFonts w:ascii="Times New Roman" w:hAnsi="Times New Roman" w:cs="Times New Roman"/>
              </w:rPr>
              <w:t xml:space="preserve"> </w:t>
            </w:r>
            <w:r w:rsidR="00106240" w:rsidRPr="008C5F1C">
              <w:rPr>
                <w:rFonts w:ascii="Times New Roman" w:hAnsi="Times New Roman" w:cs="Times New Roman"/>
              </w:rPr>
              <w:t>ș</w:t>
            </w:r>
            <w:r w:rsidRPr="008C5F1C">
              <w:rPr>
                <w:rFonts w:ascii="Times New Roman" w:hAnsi="Times New Roman" w:cs="Times New Roman"/>
              </w:rPr>
              <w:t>i agricultur</w:t>
            </w:r>
            <w:r w:rsidR="00BA7827" w:rsidRPr="008C5F1C">
              <w:rPr>
                <w:rFonts w:ascii="Times New Roman" w:hAnsi="Times New Roman" w:cs="Times New Roman"/>
              </w:rPr>
              <w:t>ă</w:t>
            </w:r>
            <w:r w:rsidRPr="008C5F1C">
              <w:rPr>
                <w:rFonts w:ascii="Times New Roman" w:hAnsi="Times New Roman" w:cs="Times New Roman"/>
              </w:rPr>
              <w:t>, For</w:t>
            </w:r>
            <w:r w:rsidR="00E22FF2" w:rsidRPr="008C5F1C">
              <w:rPr>
                <w:rFonts w:ascii="Times New Roman" w:hAnsi="Times New Roman" w:cs="Times New Roman"/>
              </w:rPr>
              <w:t>ț</w:t>
            </w:r>
            <w:r w:rsidRPr="008C5F1C">
              <w:rPr>
                <w:rFonts w:ascii="Times New Roman" w:hAnsi="Times New Roman" w:cs="Times New Roman"/>
              </w:rPr>
              <w:t>a de munc</w:t>
            </w:r>
            <w:r w:rsidR="00BA7827" w:rsidRPr="008C5F1C">
              <w:rPr>
                <w:rFonts w:ascii="Times New Roman" w:hAnsi="Times New Roman" w:cs="Times New Roman"/>
              </w:rPr>
              <w:t>ă</w:t>
            </w:r>
            <w:r w:rsidRPr="008C5F1C">
              <w:rPr>
                <w:rFonts w:ascii="Times New Roman" w:hAnsi="Times New Roman" w:cs="Times New Roman"/>
              </w:rPr>
              <w:t>, incluziune social</w:t>
            </w:r>
            <w:r w:rsidR="00BA7827" w:rsidRPr="008C5F1C">
              <w:rPr>
                <w:rFonts w:ascii="Times New Roman" w:hAnsi="Times New Roman" w:cs="Times New Roman"/>
              </w:rPr>
              <w:t>ă</w:t>
            </w:r>
            <w:r w:rsidRPr="008C5F1C">
              <w:rPr>
                <w:rFonts w:ascii="Times New Roman" w:hAnsi="Times New Roman" w:cs="Times New Roman"/>
              </w:rPr>
              <w:t>, educa</w:t>
            </w:r>
            <w:r w:rsidR="00E22FF2" w:rsidRPr="008C5F1C">
              <w:rPr>
                <w:rFonts w:ascii="Times New Roman" w:hAnsi="Times New Roman" w:cs="Times New Roman"/>
              </w:rPr>
              <w:t>ț</w:t>
            </w:r>
            <w:r w:rsidRPr="008C5F1C">
              <w:rPr>
                <w:rFonts w:ascii="Times New Roman" w:hAnsi="Times New Roman" w:cs="Times New Roman"/>
              </w:rPr>
              <w:t xml:space="preserve">ie </w:t>
            </w:r>
            <w:r w:rsidR="00106240" w:rsidRPr="008C5F1C">
              <w:rPr>
                <w:rFonts w:ascii="Times New Roman" w:hAnsi="Times New Roman" w:cs="Times New Roman"/>
              </w:rPr>
              <w:t>ș</w:t>
            </w:r>
            <w:r w:rsidRPr="008C5F1C">
              <w:rPr>
                <w:rFonts w:ascii="Times New Roman" w:hAnsi="Times New Roman" w:cs="Times New Roman"/>
              </w:rPr>
              <w:t>i s</w:t>
            </w:r>
            <w:r w:rsidR="00BA7827" w:rsidRPr="008C5F1C">
              <w:rPr>
                <w:rFonts w:ascii="Times New Roman" w:hAnsi="Times New Roman" w:cs="Times New Roman"/>
              </w:rPr>
              <w:t>ă</w:t>
            </w:r>
            <w:r w:rsidRPr="008C5F1C">
              <w:rPr>
                <w:rFonts w:ascii="Times New Roman" w:hAnsi="Times New Roman" w:cs="Times New Roman"/>
              </w:rPr>
              <w:t>n</w:t>
            </w:r>
            <w:r w:rsidR="00BA7827" w:rsidRPr="008C5F1C">
              <w:rPr>
                <w:rFonts w:ascii="Times New Roman" w:hAnsi="Times New Roman" w:cs="Times New Roman"/>
              </w:rPr>
              <w:t>ă</w:t>
            </w:r>
            <w:r w:rsidRPr="008C5F1C">
              <w:rPr>
                <w:rFonts w:ascii="Times New Roman" w:hAnsi="Times New Roman" w:cs="Times New Roman"/>
              </w:rPr>
              <w:t>tate, Eficien</w:t>
            </w:r>
            <w:r w:rsidR="00E22FF2" w:rsidRPr="008C5F1C">
              <w:rPr>
                <w:rFonts w:ascii="Times New Roman" w:hAnsi="Times New Roman" w:cs="Times New Roman"/>
              </w:rPr>
              <w:t>ț</w:t>
            </w:r>
            <w:r w:rsidR="00BA7827" w:rsidRPr="008C5F1C">
              <w:rPr>
                <w:rFonts w:ascii="Times New Roman" w:hAnsi="Times New Roman" w:cs="Times New Roman"/>
              </w:rPr>
              <w:t>ă</w:t>
            </w:r>
            <w:r w:rsidRPr="008C5F1C">
              <w:rPr>
                <w:rFonts w:ascii="Times New Roman" w:hAnsi="Times New Roman" w:cs="Times New Roman"/>
              </w:rPr>
              <w:t xml:space="preserve"> energetic</w:t>
            </w:r>
            <w:r w:rsidR="00BA7827" w:rsidRPr="008C5F1C">
              <w:rPr>
                <w:rFonts w:ascii="Times New Roman" w:hAnsi="Times New Roman" w:cs="Times New Roman"/>
              </w:rPr>
              <w:t>ă</w:t>
            </w:r>
            <w:r w:rsidRPr="008C5F1C">
              <w:rPr>
                <w:rFonts w:ascii="Times New Roman" w:hAnsi="Times New Roman" w:cs="Times New Roman"/>
              </w:rPr>
              <w:t xml:space="preserve"> </w:t>
            </w:r>
            <w:r w:rsidR="00106240" w:rsidRPr="008C5F1C">
              <w:rPr>
                <w:rFonts w:ascii="Times New Roman" w:hAnsi="Times New Roman" w:cs="Times New Roman"/>
              </w:rPr>
              <w:t>ș</w:t>
            </w:r>
            <w:r w:rsidRPr="008C5F1C">
              <w:rPr>
                <w:rFonts w:ascii="Times New Roman" w:hAnsi="Times New Roman" w:cs="Times New Roman"/>
              </w:rPr>
              <w:t>i tranzi</w:t>
            </w:r>
            <w:r w:rsidR="00E22FF2" w:rsidRPr="008C5F1C">
              <w:rPr>
                <w:rFonts w:ascii="Times New Roman" w:hAnsi="Times New Roman" w:cs="Times New Roman"/>
              </w:rPr>
              <w:t>ț</w:t>
            </w:r>
            <w:r w:rsidRPr="008C5F1C">
              <w:rPr>
                <w:rFonts w:ascii="Times New Roman" w:hAnsi="Times New Roman" w:cs="Times New Roman"/>
              </w:rPr>
              <w:t>ia c</w:t>
            </w:r>
            <w:r w:rsidR="00BA7827" w:rsidRPr="008C5F1C">
              <w:rPr>
                <w:rFonts w:ascii="Times New Roman" w:hAnsi="Times New Roman" w:cs="Times New Roman"/>
              </w:rPr>
              <w:t>ă</w:t>
            </w:r>
            <w:r w:rsidRPr="008C5F1C">
              <w:rPr>
                <w:rFonts w:ascii="Times New Roman" w:hAnsi="Times New Roman" w:cs="Times New Roman"/>
              </w:rPr>
              <w:t>tre o economie circular</w:t>
            </w:r>
            <w:r w:rsidR="00BA7827" w:rsidRPr="008C5F1C">
              <w:rPr>
                <w:rFonts w:ascii="Times New Roman" w:hAnsi="Times New Roman" w:cs="Times New Roman"/>
              </w:rPr>
              <w:t>ă</w:t>
            </w:r>
            <w:r w:rsidRPr="008C5F1C">
              <w:rPr>
                <w:rFonts w:ascii="Times New Roman" w:hAnsi="Times New Roman" w:cs="Times New Roman"/>
              </w:rPr>
              <w:t>, Dezvoltare urban</w:t>
            </w:r>
            <w:r w:rsidR="00BA7827" w:rsidRPr="008C5F1C">
              <w:rPr>
                <w:rFonts w:ascii="Times New Roman" w:hAnsi="Times New Roman" w:cs="Times New Roman"/>
              </w:rPr>
              <w:t>ă</w:t>
            </w:r>
            <w:r w:rsidRPr="008C5F1C">
              <w:rPr>
                <w:rFonts w:ascii="Times New Roman" w:hAnsi="Times New Roman" w:cs="Times New Roman"/>
              </w:rPr>
              <w:t xml:space="preserve"> durabil</w:t>
            </w:r>
            <w:r w:rsidR="00BA7827" w:rsidRPr="008C5F1C">
              <w:rPr>
                <w:rFonts w:ascii="Times New Roman" w:hAnsi="Times New Roman" w:cs="Times New Roman"/>
              </w:rPr>
              <w:t>ă</w:t>
            </w:r>
            <w:r w:rsidRPr="008C5F1C">
              <w:rPr>
                <w:rFonts w:ascii="Times New Roman" w:hAnsi="Times New Roman" w:cs="Times New Roman"/>
              </w:rPr>
              <w:t xml:space="preserve"> </w:t>
            </w:r>
            <w:r w:rsidR="00106240" w:rsidRPr="008C5F1C">
              <w:rPr>
                <w:rFonts w:ascii="Times New Roman" w:hAnsi="Times New Roman" w:cs="Times New Roman"/>
              </w:rPr>
              <w:t>ș</w:t>
            </w:r>
            <w:r w:rsidRPr="008C5F1C">
              <w:rPr>
                <w:rFonts w:ascii="Times New Roman" w:hAnsi="Times New Roman" w:cs="Times New Roman"/>
              </w:rPr>
              <w:t>i ora</w:t>
            </w:r>
            <w:r w:rsidR="00106240" w:rsidRPr="008C5F1C">
              <w:rPr>
                <w:rFonts w:ascii="Times New Roman" w:hAnsi="Times New Roman" w:cs="Times New Roman"/>
              </w:rPr>
              <w:t>ș</w:t>
            </w:r>
            <w:r w:rsidRPr="008C5F1C">
              <w:rPr>
                <w:rFonts w:ascii="Times New Roman" w:hAnsi="Times New Roman" w:cs="Times New Roman"/>
              </w:rPr>
              <w:t>e inteligente.</w:t>
            </w:r>
          </w:p>
          <w:p w14:paraId="1C832A71" w14:textId="5DFAB48A" w:rsidR="00FA297D" w:rsidRPr="008C5F1C" w:rsidRDefault="00FA297D" w:rsidP="00FA297D">
            <w:pPr>
              <w:autoSpaceDE w:val="0"/>
              <w:autoSpaceDN w:val="0"/>
              <w:adjustRightInd w:val="0"/>
              <w:spacing w:after="120" w:line="240" w:lineRule="auto"/>
              <w:jc w:val="both"/>
              <w:rPr>
                <w:rFonts w:ascii="Times New Roman" w:hAnsi="Times New Roman" w:cs="Times New Roman"/>
              </w:rPr>
            </w:pPr>
            <w:r w:rsidRPr="008C5F1C">
              <w:rPr>
                <w:rFonts w:ascii="Times New Roman" w:hAnsi="Times New Roman" w:cs="Times New Roman"/>
              </w:rPr>
              <w:t>De asemenea, la nivel tematic, consult</w:t>
            </w:r>
            <w:r w:rsidR="00BA7827" w:rsidRPr="008C5F1C">
              <w:rPr>
                <w:rFonts w:ascii="Times New Roman" w:hAnsi="Times New Roman" w:cs="Times New Roman"/>
              </w:rPr>
              <w:t>ă</w:t>
            </w:r>
            <w:r w:rsidRPr="008C5F1C">
              <w:rPr>
                <w:rFonts w:ascii="Times New Roman" w:hAnsi="Times New Roman" w:cs="Times New Roman"/>
              </w:rPr>
              <w:t>rile cu privire la priorit</w:t>
            </w:r>
            <w:r w:rsidR="00BA7827" w:rsidRPr="008C5F1C">
              <w:rPr>
                <w:rFonts w:ascii="Times New Roman" w:hAnsi="Times New Roman" w:cs="Times New Roman"/>
              </w:rPr>
              <w:t>ă</w:t>
            </w:r>
            <w:r w:rsidR="00E22FF2" w:rsidRPr="008C5F1C">
              <w:rPr>
                <w:rFonts w:ascii="Times New Roman" w:hAnsi="Times New Roman" w:cs="Times New Roman"/>
              </w:rPr>
              <w:t>ț</w:t>
            </w:r>
            <w:r w:rsidRPr="008C5F1C">
              <w:rPr>
                <w:rFonts w:ascii="Times New Roman" w:hAnsi="Times New Roman" w:cs="Times New Roman"/>
              </w:rPr>
              <w:t>ile de finan</w:t>
            </w:r>
            <w:r w:rsidR="00E22FF2" w:rsidRPr="008C5F1C">
              <w:rPr>
                <w:rFonts w:ascii="Times New Roman" w:hAnsi="Times New Roman" w:cs="Times New Roman"/>
              </w:rPr>
              <w:t>ț</w:t>
            </w:r>
            <w:r w:rsidRPr="008C5F1C">
              <w:rPr>
                <w:rFonts w:ascii="Times New Roman" w:hAnsi="Times New Roman" w:cs="Times New Roman"/>
              </w:rPr>
              <w:t>are pentru POR N</w:t>
            </w:r>
            <w:r w:rsidR="008055DD" w:rsidRPr="008C5F1C">
              <w:rPr>
                <w:rFonts w:ascii="Times New Roman" w:hAnsi="Times New Roman" w:cs="Times New Roman"/>
              </w:rPr>
              <w:t>ord-</w:t>
            </w:r>
            <w:r w:rsidRPr="008C5F1C">
              <w:rPr>
                <w:rFonts w:ascii="Times New Roman" w:hAnsi="Times New Roman" w:cs="Times New Roman"/>
              </w:rPr>
              <w:t>V</w:t>
            </w:r>
            <w:r w:rsidR="008055DD" w:rsidRPr="008C5F1C">
              <w:rPr>
                <w:rFonts w:ascii="Times New Roman" w:hAnsi="Times New Roman" w:cs="Times New Roman"/>
              </w:rPr>
              <w:t>est</w:t>
            </w:r>
            <w:r w:rsidRPr="008C5F1C">
              <w:rPr>
                <w:rFonts w:ascii="Times New Roman" w:hAnsi="Times New Roman" w:cs="Times New Roman"/>
              </w:rPr>
              <w:t xml:space="preserve"> au fost derulate ca parte a preg</w:t>
            </w:r>
            <w:r w:rsidR="00BA7827" w:rsidRPr="008C5F1C">
              <w:rPr>
                <w:rFonts w:ascii="Times New Roman" w:hAnsi="Times New Roman" w:cs="Times New Roman"/>
              </w:rPr>
              <w:t>ă</w:t>
            </w:r>
            <w:r w:rsidRPr="008C5F1C">
              <w:rPr>
                <w:rFonts w:ascii="Times New Roman" w:hAnsi="Times New Roman" w:cs="Times New Roman"/>
              </w:rPr>
              <w:t>tirii cadrului strategic pentru diferite sectoare, dup</w:t>
            </w:r>
            <w:r w:rsidR="00BA7827" w:rsidRPr="008C5F1C">
              <w:rPr>
                <w:rFonts w:ascii="Times New Roman" w:hAnsi="Times New Roman" w:cs="Times New Roman"/>
              </w:rPr>
              <w:t>ă</w:t>
            </w:r>
            <w:r w:rsidRPr="008C5F1C">
              <w:rPr>
                <w:rFonts w:ascii="Times New Roman" w:hAnsi="Times New Roman" w:cs="Times New Roman"/>
              </w:rPr>
              <w:t xml:space="preserve"> cum urmeaz</w:t>
            </w:r>
            <w:r w:rsidR="00BA7827" w:rsidRPr="008C5F1C">
              <w:rPr>
                <w:rFonts w:ascii="Times New Roman" w:hAnsi="Times New Roman" w:cs="Times New Roman"/>
              </w:rPr>
              <w:t>ă</w:t>
            </w:r>
            <w:r w:rsidRPr="008C5F1C">
              <w:rPr>
                <w:rFonts w:ascii="Times New Roman" w:hAnsi="Times New Roman" w:cs="Times New Roman"/>
              </w:rPr>
              <w:t>:</w:t>
            </w:r>
          </w:p>
          <w:p w14:paraId="6EFFFC80" w14:textId="403E9306" w:rsidR="00FA297D" w:rsidRPr="008C5F1C" w:rsidRDefault="00FA297D" w:rsidP="00FA297D">
            <w:pPr>
              <w:autoSpaceDE w:val="0"/>
              <w:autoSpaceDN w:val="0"/>
              <w:adjustRightInd w:val="0"/>
              <w:spacing w:after="120" w:line="240" w:lineRule="auto"/>
              <w:jc w:val="both"/>
              <w:rPr>
                <w:rFonts w:ascii="Times New Roman" w:hAnsi="Times New Roman" w:cs="Times New Roman"/>
              </w:rPr>
            </w:pPr>
            <w:r w:rsidRPr="008C5F1C">
              <w:rPr>
                <w:rFonts w:ascii="Times New Roman" w:hAnsi="Times New Roman" w:cs="Times New Roman"/>
              </w:rPr>
              <w:t xml:space="preserve">- Cercetare, dezvoltare </w:t>
            </w:r>
            <w:r w:rsidR="00106240" w:rsidRPr="008C5F1C">
              <w:rPr>
                <w:rFonts w:ascii="Times New Roman" w:hAnsi="Times New Roman" w:cs="Times New Roman"/>
              </w:rPr>
              <w:t>ș</w:t>
            </w:r>
            <w:r w:rsidRPr="008C5F1C">
              <w:rPr>
                <w:rFonts w:ascii="Times New Roman" w:hAnsi="Times New Roman" w:cs="Times New Roman"/>
              </w:rPr>
              <w:t xml:space="preserve">i inovare – nevoile </w:t>
            </w:r>
            <w:r w:rsidR="00106240" w:rsidRPr="008C5F1C">
              <w:rPr>
                <w:rFonts w:ascii="Times New Roman" w:hAnsi="Times New Roman" w:cs="Times New Roman"/>
              </w:rPr>
              <w:t>ș</w:t>
            </w:r>
            <w:r w:rsidRPr="008C5F1C">
              <w:rPr>
                <w:rFonts w:ascii="Times New Roman" w:hAnsi="Times New Roman" w:cs="Times New Roman"/>
              </w:rPr>
              <w:t>i priorit</w:t>
            </w:r>
            <w:r w:rsidR="00BA7827" w:rsidRPr="008C5F1C">
              <w:rPr>
                <w:rFonts w:ascii="Times New Roman" w:hAnsi="Times New Roman" w:cs="Times New Roman"/>
              </w:rPr>
              <w:t>ă</w:t>
            </w:r>
            <w:r w:rsidR="00E22FF2" w:rsidRPr="008C5F1C">
              <w:rPr>
                <w:rFonts w:ascii="Times New Roman" w:hAnsi="Times New Roman" w:cs="Times New Roman"/>
              </w:rPr>
              <w:t>ț</w:t>
            </w:r>
            <w:r w:rsidRPr="008C5F1C">
              <w:rPr>
                <w:rFonts w:ascii="Times New Roman" w:hAnsi="Times New Roman" w:cs="Times New Roman"/>
              </w:rPr>
              <w:t>ile de finan</w:t>
            </w:r>
            <w:r w:rsidR="00E22FF2" w:rsidRPr="008C5F1C">
              <w:rPr>
                <w:rFonts w:ascii="Times New Roman" w:hAnsi="Times New Roman" w:cs="Times New Roman"/>
              </w:rPr>
              <w:t>ț</w:t>
            </w:r>
            <w:r w:rsidRPr="008C5F1C">
              <w:rPr>
                <w:rFonts w:ascii="Times New Roman" w:hAnsi="Times New Roman" w:cs="Times New Roman"/>
              </w:rPr>
              <w:t>are pentru POR N</w:t>
            </w:r>
            <w:r w:rsidR="008055DD" w:rsidRPr="008C5F1C">
              <w:rPr>
                <w:rFonts w:ascii="Times New Roman" w:hAnsi="Times New Roman" w:cs="Times New Roman"/>
              </w:rPr>
              <w:t>ord-</w:t>
            </w:r>
            <w:r w:rsidRPr="008C5F1C">
              <w:rPr>
                <w:rFonts w:ascii="Times New Roman" w:hAnsi="Times New Roman" w:cs="Times New Roman"/>
              </w:rPr>
              <w:t>V</w:t>
            </w:r>
            <w:r w:rsidR="008055DD" w:rsidRPr="008C5F1C">
              <w:rPr>
                <w:rFonts w:ascii="Times New Roman" w:hAnsi="Times New Roman" w:cs="Times New Roman"/>
              </w:rPr>
              <w:t>est</w:t>
            </w:r>
            <w:r w:rsidRPr="008C5F1C">
              <w:rPr>
                <w:rFonts w:ascii="Times New Roman" w:hAnsi="Times New Roman" w:cs="Times New Roman"/>
              </w:rPr>
              <w:t xml:space="preserve"> au fost identificate </w:t>
            </w:r>
            <w:r w:rsidR="00106240" w:rsidRPr="008C5F1C">
              <w:rPr>
                <w:rFonts w:ascii="Times New Roman" w:hAnsi="Times New Roman" w:cs="Times New Roman"/>
              </w:rPr>
              <w:t>ș</w:t>
            </w:r>
            <w:r w:rsidRPr="008C5F1C">
              <w:rPr>
                <w:rFonts w:ascii="Times New Roman" w:hAnsi="Times New Roman" w:cs="Times New Roman"/>
              </w:rPr>
              <w:t>i agreate ca parte a procesului de elaborare a Strategiei Regionale pentru Specializare Inteligent</w:t>
            </w:r>
            <w:r w:rsidR="00BA7827" w:rsidRPr="008C5F1C">
              <w:rPr>
                <w:rFonts w:ascii="Times New Roman" w:hAnsi="Times New Roman" w:cs="Times New Roman"/>
              </w:rPr>
              <w:t>ă</w:t>
            </w:r>
            <w:r w:rsidRPr="008C5F1C">
              <w:rPr>
                <w:rFonts w:ascii="Times New Roman" w:hAnsi="Times New Roman" w:cs="Times New Roman"/>
              </w:rPr>
              <w:t xml:space="preserve"> a regiunii.</w:t>
            </w:r>
            <w:r w:rsidR="00BD6464" w:rsidRPr="008C5F1C">
              <w:rPr>
                <w:rFonts w:ascii="Times New Roman" w:hAnsi="Times New Roman" w:cs="Times New Roman"/>
              </w:rPr>
              <w:t xml:space="preserve"> </w:t>
            </w:r>
          </w:p>
          <w:p w14:paraId="6D86B754" w14:textId="68DE8600" w:rsidR="00FA297D" w:rsidRPr="008C5F1C" w:rsidRDefault="00FA297D" w:rsidP="00FA297D">
            <w:pPr>
              <w:autoSpaceDE w:val="0"/>
              <w:autoSpaceDN w:val="0"/>
              <w:adjustRightInd w:val="0"/>
              <w:spacing w:after="120" w:line="240" w:lineRule="auto"/>
              <w:jc w:val="both"/>
              <w:rPr>
                <w:rFonts w:ascii="Times New Roman" w:hAnsi="Times New Roman" w:cs="Times New Roman"/>
              </w:rPr>
            </w:pPr>
            <w:r w:rsidRPr="008C5F1C">
              <w:rPr>
                <w:rFonts w:ascii="Times New Roman" w:hAnsi="Times New Roman" w:cs="Times New Roman"/>
              </w:rPr>
              <w:t xml:space="preserve">- Mobilitate </w:t>
            </w:r>
            <w:r w:rsidR="00106240" w:rsidRPr="008C5F1C">
              <w:rPr>
                <w:rFonts w:ascii="Times New Roman" w:hAnsi="Times New Roman" w:cs="Times New Roman"/>
              </w:rPr>
              <w:t>ș</w:t>
            </w:r>
            <w:r w:rsidRPr="008C5F1C">
              <w:rPr>
                <w:rFonts w:ascii="Times New Roman" w:hAnsi="Times New Roman" w:cs="Times New Roman"/>
              </w:rPr>
              <w:t>i Ora</w:t>
            </w:r>
            <w:r w:rsidR="00106240" w:rsidRPr="008C5F1C">
              <w:rPr>
                <w:rFonts w:ascii="Times New Roman" w:hAnsi="Times New Roman" w:cs="Times New Roman"/>
              </w:rPr>
              <w:t>ș</w:t>
            </w:r>
            <w:r w:rsidRPr="008C5F1C">
              <w:rPr>
                <w:rFonts w:ascii="Times New Roman" w:hAnsi="Times New Roman" w:cs="Times New Roman"/>
              </w:rPr>
              <w:t xml:space="preserve">e Inteligente - nevoile </w:t>
            </w:r>
            <w:r w:rsidR="00106240" w:rsidRPr="008C5F1C">
              <w:rPr>
                <w:rFonts w:ascii="Times New Roman" w:hAnsi="Times New Roman" w:cs="Times New Roman"/>
              </w:rPr>
              <w:t>ș</w:t>
            </w:r>
            <w:r w:rsidRPr="008C5F1C">
              <w:rPr>
                <w:rFonts w:ascii="Times New Roman" w:hAnsi="Times New Roman" w:cs="Times New Roman"/>
              </w:rPr>
              <w:t>i priorit</w:t>
            </w:r>
            <w:r w:rsidR="00BA7827" w:rsidRPr="008C5F1C">
              <w:rPr>
                <w:rFonts w:ascii="Times New Roman" w:hAnsi="Times New Roman" w:cs="Times New Roman"/>
              </w:rPr>
              <w:t>ă</w:t>
            </w:r>
            <w:r w:rsidR="00E22FF2" w:rsidRPr="008C5F1C">
              <w:rPr>
                <w:rFonts w:ascii="Times New Roman" w:hAnsi="Times New Roman" w:cs="Times New Roman"/>
              </w:rPr>
              <w:t>ț</w:t>
            </w:r>
            <w:r w:rsidRPr="008C5F1C">
              <w:rPr>
                <w:rFonts w:ascii="Times New Roman" w:hAnsi="Times New Roman" w:cs="Times New Roman"/>
              </w:rPr>
              <w:t>ile de finan</w:t>
            </w:r>
            <w:r w:rsidR="00E22FF2" w:rsidRPr="008C5F1C">
              <w:rPr>
                <w:rFonts w:ascii="Times New Roman" w:hAnsi="Times New Roman" w:cs="Times New Roman"/>
              </w:rPr>
              <w:t>ț</w:t>
            </w:r>
            <w:r w:rsidRPr="008C5F1C">
              <w:rPr>
                <w:rFonts w:ascii="Times New Roman" w:hAnsi="Times New Roman" w:cs="Times New Roman"/>
              </w:rPr>
              <w:t>are pentru POR N</w:t>
            </w:r>
            <w:r w:rsidR="008055DD" w:rsidRPr="008C5F1C">
              <w:rPr>
                <w:rFonts w:ascii="Times New Roman" w:hAnsi="Times New Roman" w:cs="Times New Roman"/>
              </w:rPr>
              <w:t>ord-</w:t>
            </w:r>
            <w:r w:rsidRPr="008C5F1C">
              <w:rPr>
                <w:rFonts w:ascii="Times New Roman" w:hAnsi="Times New Roman" w:cs="Times New Roman"/>
              </w:rPr>
              <w:t>V</w:t>
            </w:r>
            <w:r w:rsidR="008055DD" w:rsidRPr="008C5F1C">
              <w:rPr>
                <w:rFonts w:ascii="Times New Roman" w:hAnsi="Times New Roman" w:cs="Times New Roman"/>
              </w:rPr>
              <w:t>est</w:t>
            </w:r>
            <w:r w:rsidRPr="008C5F1C">
              <w:rPr>
                <w:rFonts w:ascii="Times New Roman" w:hAnsi="Times New Roman" w:cs="Times New Roman"/>
              </w:rPr>
              <w:t xml:space="preserve"> au fost identificate </w:t>
            </w:r>
            <w:r w:rsidR="00106240" w:rsidRPr="008C5F1C">
              <w:rPr>
                <w:rFonts w:ascii="Times New Roman" w:hAnsi="Times New Roman" w:cs="Times New Roman"/>
              </w:rPr>
              <w:t>ș</w:t>
            </w:r>
            <w:r w:rsidRPr="008C5F1C">
              <w:rPr>
                <w:rFonts w:ascii="Times New Roman" w:hAnsi="Times New Roman" w:cs="Times New Roman"/>
              </w:rPr>
              <w:t xml:space="preserve">i agreate ca parte a procesului de elaborare a Strategiei </w:t>
            </w:r>
            <w:r w:rsidR="00220438" w:rsidRPr="008C5F1C">
              <w:rPr>
                <w:rFonts w:ascii="Times New Roman" w:hAnsi="Times New Roman" w:cs="Times New Roman"/>
              </w:rPr>
              <w:t>R</w:t>
            </w:r>
            <w:r w:rsidRPr="008C5F1C">
              <w:rPr>
                <w:rFonts w:ascii="Times New Roman" w:hAnsi="Times New Roman" w:cs="Times New Roman"/>
              </w:rPr>
              <w:t xml:space="preserve">egionale de Mobilitate </w:t>
            </w:r>
            <w:r w:rsidR="00220438" w:rsidRPr="008C5F1C">
              <w:rPr>
                <w:rFonts w:ascii="Times New Roman" w:hAnsi="Times New Roman" w:cs="Times New Roman"/>
              </w:rPr>
              <w:t xml:space="preserve">Urbană Durabilă </w:t>
            </w:r>
            <w:r w:rsidR="00106240" w:rsidRPr="008C5F1C">
              <w:rPr>
                <w:rFonts w:ascii="Times New Roman" w:hAnsi="Times New Roman" w:cs="Times New Roman"/>
              </w:rPr>
              <w:t>ș</w:t>
            </w:r>
            <w:r w:rsidRPr="008C5F1C">
              <w:rPr>
                <w:rFonts w:ascii="Times New Roman" w:hAnsi="Times New Roman" w:cs="Times New Roman"/>
              </w:rPr>
              <w:t>i Ora</w:t>
            </w:r>
            <w:r w:rsidR="00106240" w:rsidRPr="008C5F1C">
              <w:rPr>
                <w:rFonts w:ascii="Times New Roman" w:hAnsi="Times New Roman" w:cs="Times New Roman"/>
              </w:rPr>
              <w:t>ș</w:t>
            </w:r>
            <w:r w:rsidRPr="008C5F1C">
              <w:rPr>
                <w:rFonts w:ascii="Times New Roman" w:hAnsi="Times New Roman" w:cs="Times New Roman"/>
              </w:rPr>
              <w:t>e Inteligente</w:t>
            </w:r>
            <w:r w:rsidR="00A87DEB" w:rsidRPr="008C5F1C">
              <w:rPr>
                <w:rFonts w:ascii="Times New Roman" w:hAnsi="Times New Roman" w:cs="Times New Roman"/>
              </w:rPr>
              <w:t>.</w:t>
            </w:r>
          </w:p>
          <w:p w14:paraId="64340308" w14:textId="25E944F8" w:rsidR="00FA297D" w:rsidRPr="008C5F1C" w:rsidRDefault="00FA297D" w:rsidP="00FA297D">
            <w:pPr>
              <w:autoSpaceDE w:val="0"/>
              <w:autoSpaceDN w:val="0"/>
              <w:adjustRightInd w:val="0"/>
              <w:spacing w:after="120" w:line="240" w:lineRule="auto"/>
              <w:jc w:val="both"/>
              <w:rPr>
                <w:rFonts w:ascii="Times New Roman" w:hAnsi="Times New Roman" w:cs="Times New Roman"/>
              </w:rPr>
            </w:pPr>
            <w:r w:rsidRPr="008C5F1C">
              <w:rPr>
                <w:rFonts w:ascii="Times New Roman" w:hAnsi="Times New Roman" w:cs="Times New Roman"/>
              </w:rPr>
              <w:t>Pentru a da posibilitatea oric</w:t>
            </w:r>
            <w:r w:rsidR="00BA7827" w:rsidRPr="008C5F1C">
              <w:rPr>
                <w:rFonts w:ascii="Times New Roman" w:hAnsi="Times New Roman" w:cs="Times New Roman"/>
              </w:rPr>
              <w:t>ă</w:t>
            </w:r>
            <w:r w:rsidRPr="008C5F1C">
              <w:rPr>
                <w:rFonts w:ascii="Times New Roman" w:hAnsi="Times New Roman" w:cs="Times New Roman"/>
              </w:rPr>
              <w:t>ror factori interesa</w:t>
            </w:r>
            <w:r w:rsidR="00E22FF2" w:rsidRPr="008C5F1C">
              <w:rPr>
                <w:rFonts w:ascii="Times New Roman" w:hAnsi="Times New Roman" w:cs="Times New Roman"/>
              </w:rPr>
              <w:t>ț</w:t>
            </w:r>
            <w:r w:rsidRPr="008C5F1C">
              <w:rPr>
                <w:rFonts w:ascii="Times New Roman" w:hAnsi="Times New Roman" w:cs="Times New Roman"/>
              </w:rPr>
              <w:t>i de a-</w:t>
            </w:r>
            <w:r w:rsidR="00106240" w:rsidRPr="008C5F1C">
              <w:rPr>
                <w:rFonts w:ascii="Times New Roman" w:hAnsi="Times New Roman" w:cs="Times New Roman"/>
              </w:rPr>
              <w:t>ș</w:t>
            </w:r>
            <w:r w:rsidRPr="008C5F1C">
              <w:rPr>
                <w:rFonts w:ascii="Times New Roman" w:hAnsi="Times New Roman" w:cs="Times New Roman"/>
              </w:rPr>
              <w:t xml:space="preserve">i exprima opinia cu privire la viitorul cadru strategic </w:t>
            </w:r>
            <w:r w:rsidR="00106240" w:rsidRPr="008C5F1C">
              <w:rPr>
                <w:rFonts w:ascii="Times New Roman" w:hAnsi="Times New Roman" w:cs="Times New Roman"/>
              </w:rPr>
              <w:t>ș</w:t>
            </w:r>
            <w:r w:rsidRPr="008C5F1C">
              <w:rPr>
                <w:rFonts w:ascii="Times New Roman" w:hAnsi="Times New Roman" w:cs="Times New Roman"/>
              </w:rPr>
              <w:t>i opera</w:t>
            </w:r>
            <w:r w:rsidR="00E22FF2" w:rsidRPr="008C5F1C">
              <w:rPr>
                <w:rFonts w:ascii="Times New Roman" w:hAnsi="Times New Roman" w:cs="Times New Roman"/>
              </w:rPr>
              <w:t>ț</w:t>
            </w:r>
            <w:r w:rsidRPr="008C5F1C">
              <w:rPr>
                <w:rFonts w:ascii="Times New Roman" w:hAnsi="Times New Roman" w:cs="Times New Roman"/>
              </w:rPr>
              <w:t>ional, a fost activat</w:t>
            </w:r>
            <w:r w:rsidR="00BA7827" w:rsidRPr="008C5F1C">
              <w:rPr>
                <w:rFonts w:ascii="Times New Roman" w:hAnsi="Times New Roman" w:cs="Times New Roman"/>
              </w:rPr>
              <w:t>ă</w:t>
            </w:r>
            <w:r w:rsidRPr="008C5F1C">
              <w:rPr>
                <w:rFonts w:ascii="Times New Roman" w:hAnsi="Times New Roman" w:cs="Times New Roman"/>
              </w:rPr>
              <w:t xml:space="preserve"> </w:t>
            </w:r>
            <w:r w:rsidR="00106240" w:rsidRPr="008C5F1C">
              <w:rPr>
                <w:rFonts w:ascii="Times New Roman" w:hAnsi="Times New Roman" w:cs="Times New Roman"/>
              </w:rPr>
              <w:t>ș</w:t>
            </w:r>
            <w:r w:rsidRPr="008C5F1C">
              <w:rPr>
                <w:rFonts w:ascii="Times New Roman" w:hAnsi="Times New Roman" w:cs="Times New Roman"/>
              </w:rPr>
              <w:t xml:space="preserve">i o consultare online pe portalul  </w:t>
            </w:r>
            <w:r w:rsidR="00EE0813" w:rsidRPr="008C5F1C">
              <w:rPr>
                <w:rFonts w:ascii="Times New Roman" w:hAnsi="Times New Roman" w:cs="Times New Roman"/>
              </w:rPr>
              <w:t>ADR Nord-Vest</w:t>
            </w:r>
            <w:r w:rsidR="00CD0572" w:rsidRPr="008C5F1C">
              <w:rPr>
                <w:rFonts w:ascii="Times New Roman" w:hAnsi="Times New Roman" w:cs="Times New Roman"/>
              </w:rPr>
              <w:t xml:space="preserve">, cei </w:t>
            </w:r>
            <w:proofErr w:type="spellStart"/>
            <w:r w:rsidR="00CD0572" w:rsidRPr="008C5F1C">
              <w:rPr>
                <w:rFonts w:ascii="Times New Roman" w:hAnsi="Times New Roman" w:cs="Times New Roman"/>
              </w:rPr>
              <w:t>interesati</w:t>
            </w:r>
            <w:proofErr w:type="spellEnd"/>
            <w:r w:rsidR="00CD0572" w:rsidRPr="008C5F1C">
              <w:rPr>
                <w:rFonts w:ascii="Times New Roman" w:hAnsi="Times New Roman" w:cs="Times New Roman"/>
              </w:rPr>
              <w:t xml:space="preserve"> put</w:t>
            </w:r>
            <w:r w:rsidR="00444996" w:rsidRPr="008C5F1C">
              <w:rPr>
                <w:rFonts w:ascii="Times New Roman" w:hAnsi="Times New Roman" w:cs="Times New Roman"/>
              </w:rPr>
              <w:t>â</w:t>
            </w:r>
            <w:r w:rsidR="00CD0572" w:rsidRPr="008C5F1C">
              <w:rPr>
                <w:rFonts w:ascii="Times New Roman" w:hAnsi="Times New Roman" w:cs="Times New Roman"/>
              </w:rPr>
              <w:t xml:space="preserve">nd transmite </w:t>
            </w:r>
            <w:r w:rsidRPr="008C5F1C">
              <w:rPr>
                <w:rFonts w:ascii="Times New Roman" w:hAnsi="Times New Roman" w:cs="Times New Roman"/>
              </w:rPr>
              <w:t xml:space="preserve"> puncte de vedere cu privire la con</w:t>
            </w:r>
            <w:r w:rsidR="00E22FF2" w:rsidRPr="008C5F1C">
              <w:rPr>
                <w:rFonts w:ascii="Times New Roman" w:hAnsi="Times New Roman" w:cs="Times New Roman"/>
              </w:rPr>
              <w:t>ț</w:t>
            </w:r>
            <w:r w:rsidRPr="008C5F1C">
              <w:rPr>
                <w:rFonts w:ascii="Times New Roman" w:hAnsi="Times New Roman" w:cs="Times New Roman"/>
              </w:rPr>
              <w:t xml:space="preserve">inutul programului. </w:t>
            </w:r>
          </w:p>
          <w:p w14:paraId="3A652AF0" w14:textId="77777777" w:rsidR="00FA297D" w:rsidRPr="008C5F1C" w:rsidRDefault="00FA297D" w:rsidP="00FA297D">
            <w:pPr>
              <w:autoSpaceDE w:val="0"/>
              <w:autoSpaceDN w:val="0"/>
              <w:adjustRightInd w:val="0"/>
              <w:spacing w:after="0" w:line="240" w:lineRule="auto"/>
              <w:jc w:val="both"/>
              <w:rPr>
                <w:rFonts w:ascii="Times New Roman" w:hAnsi="Times New Roman" w:cs="Times New Roman"/>
              </w:rPr>
            </w:pPr>
          </w:p>
          <w:p w14:paraId="562D1BA4" w14:textId="7B59EFBE" w:rsidR="00FA297D" w:rsidRPr="008C5F1C" w:rsidRDefault="00FA297D" w:rsidP="00FA297D">
            <w:pPr>
              <w:autoSpaceDE w:val="0"/>
              <w:autoSpaceDN w:val="0"/>
              <w:adjustRightInd w:val="0"/>
              <w:spacing w:after="120" w:line="240" w:lineRule="auto"/>
              <w:jc w:val="both"/>
              <w:rPr>
                <w:rFonts w:ascii="Times New Roman" w:hAnsi="Times New Roman" w:cs="Times New Roman"/>
                <w:i/>
                <w:iCs/>
              </w:rPr>
            </w:pPr>
            <w:r w:rsidRPr="008C5F1C">
              <w:rPr>
                <w:rFonts w:ascii="Times New Roman" w:hAnsi="Times New Roman" w:cs="Times New Roman"/>
                <w:i/>
                <w:iCs/>
              </w:rPr>
              <w:t>Parteneriat în vederea implement</w:t>
            </w:r>
            <w:r w:rsidR="00BA7827" w:rsidRPr="008C5F1C">
              <w:rPr>
                <w:rFonts w:ascii="Times New Roman" w:hAnsi="Times New Roman" w:cs="Times New Roman"/>
                <w:i/>
                <w:iCs/>
              </w:rPr>
              <w:t>ă</w:t>
            </w:r>
            <w:r w:rsidRPr="008C5F1C">
              <w:rPr>
                <w:rFonts w:ascii="Times New Roman" w:hAnsi="Times New Roman" w:cs="Times New Roman"/>
                <w:i/>
                <w:iCs/>
              </w:rPr>
              <w:t>rii POR N</w:t>
            </w:r>
            <w:r w:rsidR="008055DD" w:rsidRPr="008C5F1C">
              <w:rPr>
                <w:rFonts w:ascii="Times New Roman" w:hAnsi="Times New Roman" w:cs="Times New Roman"/>
                <w:i/>
                <w:iCs/>
              </w:rPr>
              <w:t>ord-</w:t>
            </w:r>
            <w:r w:rsidRPr="008C5F1C">
              <w:rPr>
                <w:rFonts w:ascii="Times New Roman" w:hAnsi="Times New Roman" w:cs="Times New Roman"/>
                <w:i/>
                <w:iCs/>
              </w:rPr>
              <w:t>V</w:t>
            </w:r>
            <w:r w:rsidR="008055DD" w:rsidRPr="008C5F1C">
              <w:rPr>
                <w:rFonts w:ascii="Times New Roman" w:hAnsi="Times New Roman" w:cs="Times New Roman"/>
                <w:i/>
                <w:iCs/>
              </w:rPr>
              <w:t>est</w:t>
            </w:r>
            <w:r w:rsidRPr="008C5F1C">
              <w:rPr>
                <w:rFonts w:ascii="Times New Roman" w:hAnsi="Times New Roman" w:cs="Times New Roman"/>
                <w:i/>
                <w:iCs/>
              </w:rPr>
              <w:t xml:space="preserve"> 2021-2027</w:t>
            </w:r>
          </w:p>
          <w:p w14:paraId="1B8A5658" w14:textId="07B22E34" w:rsidR="00FA297D" w:rsidRPr="008C5F1C" w:rsidRDefault="00FA297D" w:rsidP="00FA297D">
            <w:pPr>
              <w:autoSpaceDE w:val="0"/>
              <w:autoSpaceDN w:val="0"/>
              <w:adjustRightInd w:val="0"/>
              <w:spacing w:after="120" w:line="240" w:lineRule="auto"/>
              <w:jc w:val="both"/>
              <w:rPr>
                <w:rFonts w:ascii="Times New Roman" w:hAnsi="Times New Roman" w:cs="Times New Roman"/>
              </w:rPr>
            </w:pPr>
            <w:r w:rsidRPr="008C5F1C">
              <w:rPr>
                <w:rFonts w:ascii="Times New Roman" w:hAnsi="Times New Roman" w:cs="Times New Roman"/>
              </w:rPr>
              <w:t>Cadrul partenerial dezvoltat în perioada de preg</w:t>
            </w:r>
            <w:r w:rsidR="00BA7827" w:rsidRPr="008C5F1C">
              <w:rPr>
                <w:rFonts w:ascii="Times New Roman" w:hAnsi="Times New Roman" w:cs="Times New Roman"/>
              </w:rPr>
              <w:t>ă</w:t>
            </w:r>
            <w:r w:rsidRPr="008C5F1C">
              <w:rPr>
                <w:rFonts w:ascii="Times New Roman" w:hAnsi="Times New Roman" w:cs="Times New Roman"/>
              </w:rPr>
              <w:t>tire a POR N</w:t>
            </w:r>
            <w:r w:rsidR="008055DD" w:rsidRPr="008C5F1C">
              <w:rPr>
                <w:rFonts w:ascii="Times New Roman" w:hAnsi="Times New Roman" w:cs="Times New Roman"/>
              </w:rPr>
              <w:t>ord-</w:t>
            </w:r>
            <w:r w:rsidRPr="008C5F1C">
              <w:rPr>
                <w:rFonts w:ascii="Times New Roman" w:hAnsi="Times New Roman" w:cs="Times New Roman"/>
              </w:rPr>
              <w:t>V</w:t>
            </w:r>
            <w:r w:rsidR="008055DD" w:rsidRPr="008C5F1C">
              <w:rPr>
                <w:rFonts w:ascii="Times New Roman" w:hAnsi="Times New Roman" w:cs="Times New Roman"/>
              </w:rPr>
              <w:t>est</w:t>
            </w:r>
            <w:r w:rsidRPr="008C5F1C">
              <w:rPr>
                <w:rFonts w:ascii="Times New Roman" w:hAnsi="Times New Roman" w:cs="Times New Roman"/>
              </w:rPr>
              <w:t xml:space="preserve"> va r</w:t>
            </w:r>
            <w:r w:rsidR="00BA7827" w:rsidRPr="008C5F1C">
              <w:rPr>
                <w:rFonts w:ascii="Times New Roman" w:hAnsi="Times New Roman" w:cs="Times New Roman"/>
              </w:rPr>
              <w:t>ă</w:t>
            </w:r>
            <w:r w:rsidRPr="008C5F1C">
              <w:rPr>
                <w:rFonts w:ascii="Times New Roman" w:hAnsi="Times New Roman" w:cs="Times New Roman"/>
              </w:rPr>
              <w:t>mâne opera</w:t>
            </w:r>
            <w:r w:rsidR="00E22FF2" w:rsidRPr="008C5F1C">
              <w:rPr>
                <w:rFonts w:ascii="Times New Roman" w:hAnsi="Times New Roman" w:cs="Times New Roman"/>
              </w:rPr>
              <w:t>ț</w:t>
            </w:r>
            <w:r w:rsidRPr="008C5F1C">
              <w:rPr>
                <w:rFonts w:ascii="Times New Roman" w:hAnsi="Times New Roman" w:cs="Times New Roman"/>
              </w:rPr>
              <w:t xml:space="preserve">ional </w:t>
            </w:r>
            <w:r w:rsidR="00106240" w:rsidRPr="008C5F1C">
              <w:rPr>
                <w:rFonts w:ascii="Times New Roman" w:hAnsi="Times New Roman" w:cs="Times New Roman"/>
              </w:rPr>
              <w:t>ș</w:t>
            </w:r>
            <w:r w:rsidRPr="008C5F1C">
              <w:rPr>
                <w:rFonts w:ascii="Times New Roman" w:hAnsi="Times New Roman" w:cs="Times New Roman"/>
              </w:rPr>
              <w:t>i pe durata implement</w:t>
            </w:r>
            <w:r w:rsidR="00BA7827" w:rsidRPr="008C5F1C">
              <w:rPr>
                <w:rFonts w:ascii="Times New Roman" w:hAnsi="Times New Roman" w:cs="Times New Roman"/>
              </w:rPr>
              <w:t>ă</w:t>
            </w:r>
            <w:r w:rsidRPr="008C5F1C">
              <w:rPr>
                <w:rFonts w:ascii="Times New Roman" w:hAnsi="Times New Roman" w:cs="Times New Roman"/>
              </w:rPr>
              <w:t>rii programului. Coordonarea institu</w:t>
            </w:r>
            <w:r w:rsidR="00E22FF2" w:rsidRPr="008C5F1C">
              <w:rPr>
                <w:rFonts w:ascii="Times New Roman" w:hAnsi="Times New Roman" w:cs="Times New Roman"/>
              </w:rPr>
              <w:t>ț</w:t>
            </w:r>
            <w:r w:rsidRPr="008C5F1C">
              <w:rPr>
                <w:rFonts w:ascii="Times New Roman" w:hAnsi="Times New Roman" w:cs="Times New Roman"/>
              </w:rPr>
              <w:t>ional</w:t>
            </w:r>
            <w:r w:rsidR="00BA7827" w:rsidRPr="008C5F1C">
              <w:rPr>
                <w:rFonts w:ascii="Times New Roman" w:hAnsi="Times New Roman" w:cs="Times New Roman"/>
              </w:rPr>
              <w:t>ă</w:t>
            </w:r>
            <w:r w:rsidRPr="008C5F1C">
              <w:rPr>
                <w:rFonts w:ascii="Times New Roman" w:hAnsi="Times New Roman" w:cs="Times New Roman"/>
              </w:rPr>
              <w:t xml:space="preserve"> implic</w:t>
            </w:r>
            <w:r w:rsidR="00BA7827" w:rsidRPr="008C5F1C">
              <w:rPr>
                <w:rFonts w:ascii="Times New Roman" w:hAnsi="Times New Roman" w:cs="Times New Roman"/>
              </w:rPr>
              <w:t>ă</w:t>
            </w:r>
            <w:r w:rsidRPr="008C5F1C">
              <w:rPr>
                <w:rFonts w:ascii="Times New Roman" w:hAnsi="Times New Roman" w:cs="Times New Roman"/>
              </w:rPr>
              <w:t xml:space="preserve"> atât nivelul na</w:t>
            </w:r>
            <w:r w:rsidR="00E22FF2" w:rsidRPr="008C5F1C">
              <w:rPr>
                <w:rFonts w:ascii="Times New Roman" w:hAnsi="Times New Roman" w:cs="Times New Roman"/>
              </w:rPr>
              <w:t>ț</w:t>
            </w:r>
            <w:r w:rsidRPr="008C5F1C">
              <w:rPr>
                <w:rFonts w:ascii="Times New Roman" w:hAnsi="Times New Roman" w:cs="Times New Roman"/>
              </w:rPr>
              <w:t xml:space="preserve">ional, cât </w:t>
            </w:r>
            <w:r w:rsidR="00106240" w:rsidRPr="008C5F1C">
              <w:rPr>
                <w:rFonts w:ascii="Times New Roman" w:hAnsi="Times New Roman" w:cs="Times New Roman"/>
              </w:rPr>
              <w:t>ș</w:t>
            </w:r>
            <w:r w:rsidRPr="008C5F1C">
              <w:rPr>
                <w:rFonts w:ascii="Times New Roman" w:hAnsi="Times New Roman" w:cs="Times New Roman"/>
              </w:rPr>
              <w:t xml:space="preserve">i nivelul regional </w:t>
            </w:r>
            <w:r w:rsidR="00106240" w:rsidRPr="008C5F1C">
              <w:rPr>
                <w:rFonts w:ascii="Times New Roman" w:hAnsi="Times New Roman" w:cs="Times New Roman"/>
              </w:rPr>
              <w:t>ș</w:t>
            </w:r>
            <w:r w:rsidRPr="008C5F1C">
              <w:rPr>
                <w:rFonts w:ascii="Times New Roman" w:hAnsi="Times New Roman" w:cs="Times New Roman"/>
              </w:rPr>
              <w:t xml:space="preserve">i local. </w:t>
            </w:r>
          </w:p>
          <w:p w14:paraId="251F39CC" w14:textId="77777777" w:rsidR="00FA297D" w:rsidRPr="008C5F1C" w:rsidRDefault="00FA297D" w:rsidP="00FA297D">
            <w:pPr>
              <w:autoSpaceDE w:val="0"/>
              <w:autoSpaceDN w:val="0"/>
              <w:adjustRightInd w:val="0"/>
              <w:spacing w:after="120" w:line="240" w:lineRule="auto"/>
              <w:jc w:val="both"/>
              <w:rPr>
                <w:rFonts w:ascii="Times New Roman" w:hAnsi="Times New Roman" w:cs="Times New Roman"/>
              </w:rPr>
            </w:pPr>
            <w:r w:rsidRPr="008C5F1C">
              <w:rPr>
                <w:rFonts w:ascii="Times New Roman" w:hAnsi="Times New Roman" w:cs="Times New Roman"/>
              </w:rPr>
              <w:t>Partenerii vor fi selecta</w:t>
            </w:r>
            <w:r w:rsidR="00E22FF2" w:rsidRPr="008C5F1C">
              <w:rPr>
                <w:rFonts w:ascii="Times New Roman" w:hAnsi="Times New Roman" w:cs="Times New Roman"/>
              </w:rPr>
              <w:t>ț</w:t>
            </w:r>
            <w:r w:rsidRPr="008C5F1C">
              <w:rPr>
                <w:rFonts w:ascii="Times New Roman" w:hAnsi="Times New Roman" w:cs="Times New Roman"/>
              </w:rPr>
              <w:t xml:space="preserve">i în mod transparent, </w:t>
            </w:r>
            <w:r w:rsidR="00E22FF2" w:rsidRPr="008C5F1C">
              <w:rPr>
                <w:rFonts w:ascii="Times New Roman" w:hAnsi="Times New Roman" w:cs="Times New Roman"/>
              </w:rPr>
              <w:t>ț</w:t>
            </w:r>
            <w:r w:rsidRPr="008C5F1C">
              <w:rPr>
                <w:rFonts w:ascii="Times New Roman" w:hAnsi="Times New Roman" w:cs="Times New Roman"/>
              </w:rPr>
              <w:t>inând cont de experien</w:t>
            </w:r>
            <w:r w:rsidR="00E22FF2" w:rsidRPr="008C5F1C">
              <w:rPr>
                <w:rFonts w:ascii="Times New Roman" w:hAnsi="Times New Roman" w:cs="Times New Roman"/>
              </w:rPr>
              <w:t>ț</w:t>
            </w:r>
            <w:r w:rsidRPr="008C5F1C">
              <w:rPr>
                <w:rFonts w:ascii="Times New Roman" w:hAnsi="Times New Roman" w:cs="Times New Roman"/>
              </w:rPr>
              <w:t xml:space="preserve">a acestora în perioada de programare 2014-2020 </w:t>
            </w:r>
            <w:r w:rsidR="00106240" w:rsidRPr="008C5F1C">
              <w:rPr>
                <w:rFonts w:ascii="Times New Roman" w:hAnsi="Times New Roman" w:cs="Times New Roman"/>
              </w:rPr>
              <w:t>ș</w:t>
            </w:r>
            <w:r w:rsidRPr="008C5F1C">
              <w:rPr>
                <w:rFonts w:ascii="Times New Roman" w:hAnsi="Times New Roman" w:cs="Times New Roman"/>
              </w:rPr>
              <w:t>i de implicarea lor în procesul de programare 2021-2027, în linie cu principiile stabilite la nivel na</w:t>
            </w:r>
            <w:r w:rsidR="00E22FF2" w:rsidRPr="008C5F1C">
              <w:rPr>
                <w:rFonts w:ascii="Times New Roman" w:hAnsi="Times New Roman" w:cs="Times New Roman"/>
              </w:rPr>
              <w:t>ț</w:t>
            </w:r>
            <w:r w:rsidRPr="008C5F1C">
              <w:rPr>
                <w:rFonts w:ascii="Times New Roman" w:hAnsi="Times New Roman" w:cs="Times New Roman"/>
              </w:rPr>
              <w:t>ional privind func</w:t>
            </w:r>
            <w:r w:rsidR="00E22FF2" w:rsidRPr="008C5F1C">
              <w:rPr>
                <w:rFonts w:ascii="Times New Roman" w:hAnsi="Times New Roman" w:cs="Times New Roman"/>
              </w:rPr>
              <w:t>ț</w:t>
            </w:r>
            <w:r w:rsidRPr="008C5F1C">
              <w:rPr>
                <w:rFonts w:ascii="Times New Roman" w:hAnsi="Times New Roman" w:cs="Times New Roman"/>
              </w:rPr>
              <w:t xml:space="preserve">ionarea structurilor parteneriale, </w:t>
            </w:r>
            <w:r w:rsidR="00106240" w:rsidRPr="008C5F1C">
              <w:rPr>
                <w:rFonts w:ascii="Times New Roman" w:hAnsi="Times New Roman" w:cs="Times New Roman"/>
              </w:rPr>
              <w:t>ș</w:t>
            </w:r>
            <w:r w:rsidRPr="008C5F1C">
              <w:rPr>
                <w:rFonts w:ascii="Times New Roman" w:hAnsi="Times New Roman" w:cs="Times New Roman"/>
              </w:rPr>
              <w:t xml:space="preserve">i anume: </w:t>
            </w:r>
          </w:p>
          <w:p w14:paraId="39F91A0E" w14:textId="77777777" w:rsidR="00FA297D" w:rsidRPr="008C5F1C" w:rsidRDefault="00FA297D" w:rsidP="00FA297D">
            <w:pPr>
              <w:autoSpaceDE w:val="0"/>
              <w:autoSpaceDN w:val="0"/>
              <w:adjustRightInd w:val="0"/>
              <w:spacing w:after="120" w:line="240" w:lineRule="auto"/>
              <w:jc w:val="both"/>
              <w:rPr>
                <w:rFonts w:ascii="Times New Roman" w:hAnsi="Times New Roman" w:cs="Times New Roman"/>
              </w:rPr>
            </w:pPr>
            <w:r w:rsidRPr="008C5F1C">
              <w:rPr>
                <w:rFonts w:ascii="Times New Roman" w:hAnsi="Times New Roman" w:cs="Times New Roman"/>
                <w:i/>
                <w:iCs/>
              </w:rPr>
              <w:t>Principiul reprezentativit</w:t>
            </w:r>
            <w:r w:rsidR="00BA7827" w:rsidRPr="008C5F1C">
              <w:rPr>
                <w:rFonts w:ascii="Times New Roman" w:hAnsi="Times New Roman" w:cs="Times New Roman"/>
                <w:i/>
                <w:iCs/>
              </w:rPr>
              <w:t>ă</w:t>
            </w:r>
            <w:r w:rsidR="00E22FF2" w:rsidRPr="008C5F1C">
              <w:rPr>
                <w:rFonts w:ascii="Times New Roman" w:hAnsi="Times New Roman" w:cs="Times New Roman"/>
                <w:i/>
                <w:iCs/>
              </w:rPr>
              <w:t>ț</w:t>
            </w:r>
            <w:r w:rsidRPr="008C5F1C">
              <w:rPr>
                <w:rFonts w:ascii="Times New Roman" w:hAnsi="Times New Roman" w:cs="Times New Roman"/>
                <w:i/>
                <w:iCs/>
              </w:rPr>
              <w:t>ii</w:t>
            </w:r>
            <w:r w:rsidRPr="008C5F1C">
              <w:rPr>
                <w:rFonts w:ascii="Times New Roman" w:hAnsi="Times New Roman" w:cs="Times New Roman"/>
              </w:rPr>
              <w:t xml:space="preserve"> – sunt implica</w:t>
            </w:r>
            <w:r w:rsidR="00E22FF2" w:rsidRPr="008C5F1C">
              <w:rPr>
                <w:rFonts w:ascii="Times New Roman" w:hAnsi="Times New Roman" w:cs="Times New Roman"/>
              </w:rPr>
              <w:t>ț</w:t>
            </w:r>
            <w:r w:rsidRPr="008C5F1C">
              <w:rPr>
                <w:rFonts w:ascii="Times New Roman" w:hAnsi="Times New Roman" w:cs="Times New Roman"/>
              </w:rPr>
              <w:t>i membrii cei mai reprezentativi din perspectiva ariei geografice, astfel încât s</w:t>
            </w:r>
            <w:r w:rsidR="00BA7827" w:rsidRPr="008C5F1C">
              <w:rPr>
                <w:rFonts w:ascii="Times New Roman" w:hAnsi="Times New Roman" w:cs="Times New Roman"/>
              </w:rPr>
              <w:t>ă</w:t>
            </w:r>
            <w:r w:rsidRPr="008C5F1C">
              <w:rPr>
                <w:rFonts w:ascii="Times New Roman" w:hAnsi="Times New Roman" w:cs="Times New Roman"/>
              </w:rPr>
              <w:t xml:space="preserve"> existe o reprezentare corect</w:t>
            </w:r>
            <w:r w:rsidR="00BA7827" w:rsidRPr="008C5F1C">
              <w:rPr>
                <w:rFonts w:ascii="Times New Roman" w:hAnsi="Times New Roman" w:cs="Times New Roman"/>
              </w:rPr>
              <w:t>ă</w:t>
            </w:r>
            <w:r w:rsidRPr="008C5F1C">
              <w:rPr>
                <w:rFonts w:ascii="Times New Roman" w:hAnsi="Times New Roman" w:cs="Times New Roman"/>
              </w:rPr>
              <w:t xml:space="preserve"> </w:t>
            </w:r>
            <w:r w:rsidR="00106240" w:rsidRPr="008C5F1C">
              <w:rPr>
                <w:rFonts w:ascii="Times New Roman" w:hAnsi="Times New Roman" w:cs="Times New Roman"/>
              </w:rPr>
              <w:t>ș</w:t>
            </w:r>
            <w:r w:rsidRPr="008C5F1C">
              <w:rPr>
                <w:rFonts w:ascii="Times New Roman" w:hAnsi="Times New Roman" w:cs="Times New Roman"/>
              </w:rPr>
              <w:t>i echilibrat</w:t>
            </w:r>
            <w:r w:rsidR="00BA7827" w:rsidRPr="008C5F1C">
              <w:rPr>
                <w:rFonts w:ascii="Times New Roman" w:hAnsi="Times New Roman" w:cs="Times New Roman"/>
              </w:rPr>
              <w:t>ă</w:t>
            </w:r>
            <w:r w:rsidRPr="008C5F1C">
              <w:rPr>
                <w:rFonts w:ascii="Times New Roman" w:hAnsi="Times New Roman" w:cs="Times New Roman"/>
              </w:rPr>
              <w:t xml:space="preserve"> a jude</w:t>
            </w:r>
            <w:r w:rsidR="00E22FF2" w:rsidRPr="008C5F1C">
              <w:rPr>
                <w:rFonts w:ascii="Times New Roman" w:hAnsi="Times New Roman" w:cs="Times New Roman"/>
              </w:rPr>
              <w:t>ț</w:t>
            </w:r>
            <w:r w:rsidRPr="008C5F1C">
              <w:rPr>
                <w:rFonts w:ascii="Times New Roman" w:hAnsi="Times New Roman" w:cs="Times New Roman"/>
              </w:rPr>
              <w:t xml:space="preserve">elor, municipiilor </w:t>
            </w:r>
            <w:r w:rsidR="00106240" w:rsidRPr="008C5F1C">
              <w:rPr>
                <w:rFonts w:ascii="Times New Roman" w:hAnsi="Times New Roman" w:cs="Times New Roman"/>
              </w:rPr>
              <w:t>ș</w:t>
            </w:r>
            <w:r w:rsidRPr="008C5F1C">
              <w:rPr>
                <w:rFonts w:ascii="Times New Roman" w:hAnsi="Times New Roman" w:cs="Times New Roman"/>
              </w:rPr>
              <w:t>i ora</w:t>
            </w:r>
            <w:r w:rsidR="00106240" w:rsidRPr="008C5F1C">
              <w:rPr>
                <w:rFonts w:ascii="Times New Roman" w:hAnsi="Times New Roman" w:cs="Times New Roman"/>
              </w:rPr>
              <w:t>ș</w:t>
            </w:r>
            <w:r w:rsidRPr="008C5F1C">
              <w:rPr>
                <w:rFonts w:ascii="Times New Roman" w:hAnsi="Times New Roman" w:cs="Times New Roman"/>
              </w:rPr>
              <w:t>elor din regiune; Partenerii implica</w:t>
            </w:r>
            <w:r w:rsidR="00E22FF2" w:rsidRPr="008C5F1C">
              <w:rPr>
                <w:rFonts w:ascii="Times New Roman" w:hAnsi="Times New Roman" w:cs="Times New Roman"/>
              </w:rPr>
              <w:t>ț</w:t>
            </w:r>
            <w:r w:rsidRPr="008C5F1C">
              <w:rPr>
                <w:rFonts w:ascii="Times New Roman" w:hAnsi="Times New Roman" w:cs="Times New Roman"/>
              </w:rPr>
              <w:t>i se remarc</w:t>
            </w:r>
            <w:r w:rsidR="00BA7827" w:rsidRPr="008C5F1C">
              <w:rPr>
                <w:rFonts w:ascii="Times New Roman" w:hAnsi="Times New Roman" w:cs="Times New Roman"/>
              </w:rPr>
              <w:t>ă</w:t>
            </w:r>
            <w:r w:rsidRPr="008C5F1C">
              <w:rPr>
                <w:rFonts w:ascii="Times New Roman" w:hAnsi="Times New Roman" w:cs="Times New Roman"/>
              </w:rPr>
              <w:t xml:space="preserve"> prin  realiz</w:t>
            </w:r>
            <w:r w:rsidR="00BA7827" w:rsidRPr="008C5F1C">
              <w:rPr>
                <w:rFonts w:ascii="Times New Roman" w:hAnsi="Times New Roman" w:cs="Times New Roman"/>
              </w:rPr>
              <w:t>ă</w:t>
            </w:r>
            <w:r w:rsidRPr="008C5F1C">
              <w:rPr>
                <w:rFonts w:ascii="Times New Roman" w:hAnsi="Times New Roman" w:cs="Times New Roman"/>
              </w:rPr>
              <w:t>rile notabile din domeniile lor de expertiz</w:t>
            </w:r>
            <w:r w:rsidR="00BA7827" w:rsidRPr="008C5F1C">
              <w:rPr>
                <w:rFonts w:ascii="Times New Roman" w:hAnsi="Times New Roman" w:cs="Times New Roman"/>
              </w:rPr>
              <w:t>ă</w:t>
            </w:r>
            <w:r w:rsidRPr="008C5F1C">
              <w:rPr>
                <w:rFonts w:ascii="Times New Roman" w:hAnsi="Times New Roman" w:cs="Times New Roman"/>
              </w:rPr>
              <w:t>, experien</w:t>
            </w:r>
            <w:r w:rsidR="00E22FF2" w:rsidRPr="008C5F1C">
              <w:rPr>
                <w:rFonts w:ascii="Times New Roman" w:hAnsi="Times New Roman" w:cs="Times New Roman"/>
              </w:rPr>
              <w:t>ț</w:t>
            </w:r>
            <w:r w:rsidRPr="008C5F1C">
              <w:rPr>
                <w:rFonts w:ascii="Times New Roman" w:hAnsi="Times New Roman" w:cs="Times New Roman"/>
              </w:rPr>
              <w:t xml:space="preserve">a </w:t>
            </w:r>
            <w:r w:rsidR="00106240" w:rsidRPr="008C5F1C">
              <w:rPr>
                <w:rFonts w:ascii="Times New Roman" w:hAnsi="Times New Roman" w:cs="Times New Roman"/>
              </w:rPr>
              <w:t>ș</w:t>
            </w:r>
            <w:r w:rsidRPr="008C5F1C">
              <w:rPr>
                <w:rFonts w:ascii="Times New Roman" w:hAnsi="Times New Roman" w:cs="Times New Roman"/>
              </w:rPr>
              <w:t>i know-how-</w:t>
            </w:r>
            <w:proofErr w:type="spellStart"/>
            <w:r w:rsidRPr="008C5F1C">
              <w:rPr>
                <w:rFonts w:ascii="Times New Roman" w:hAnsi="Times New Roman" w:cs="Times New Roman"/>
              </w:rPr>
              <w:t>ul</w:t>
            </w:r>
            <w:proofErr w:type="spellEnd"/>
            <w:r w:rsidRPr="008C5F1C">
              <w:rPr>
                <w:rFonts w:ascii="Times New Roman" w:hAnsi="Times New Roman" w:cs="Times New Roman"/>
              </w:rPr>
              <w:t xml:space="preserve"> personalului, experien</w:t>
            </w:r>
            <w:r w:rsidR="00E22FF2" w:rsidRPr="008C5F1C">
              <w:rPr>
                <w:rFonts w:ascii="Times New Roman" w:hAnsi="Times New Roman" w:cs="Times New Roman"/>
              </w:rPr>
              <w:t>ț</w:t>
            </w:r>
            <w:r w:rsidRPr="008C5F1C">
              <w:rPr>
                <w:rFonts w:ascii="Times New Roman" w:hAnsi="Times New Roman" w:cs="Times New Roman"/>
              </w:rPr>
              <w:t xml:space="preserve">a </w:t>
            </w:r>
            <w:r w:rsidR="00106240" w:rsidRPr="008C5F1C">
              <w:rPr>
                <w:rFonts w:ascii="Times New Roman" w:hAnsi="Times New Roman" w:cs="Times New Roman"/>
              </w:rPr>
              <w:t>ș</w:t>
            </w:r>
            <w:r w:rsidRPr="008C5F1C">
              <w:rPr>
                <w:rFonts w:ascii="Times New Roman" w:hAnsi="Times New Roman" w:cs="Times New Roman"/>
              </w:rPr>
              <w:t>i vizibilitatea regional</w:t>
            </w:r>
            <w:r w:rsidR="00BA7827" w:rsidRPr="008C5F1C">
              <w:rPr>
                <w:rFonts w:ascii="Times New Roman" w:hAnsi="Times New Roman" w:cs="Times New Roman"/>
              </w:rPr>
              <w:t>ă</w:t>
            </w:r>
            <w:r w:rsidRPr="008C5F1C">
              <w:rPr>
                <w:rFonts w:ascii="Times New Roman" w:hAnsi="Times New Roman" w:cs="Times New Roman"/>
              </w:rPr>
              <w:t xml:space="preserve"> </w:t>
            </w:r>
            <w:r w:rsidR="00106240" w:rsidRPr="008C5F1C">
              <w:rPr>
                <w:rFonts w:ascii="Times New Roman" w:hAnsi="Times New Roman" w:cs="Times New Roman"/>
              </w:rPr>
              <w:t>ș</w:t>
            </w:r>
            <w:r w:rsidRPr="008C5F1C">
              <w:rPr>
                <w:rFonts w:ascii="Times New Roman" w:hAnsi="Times New Roman" w:cs="Times New Roman"/>
              </w:rPr>
              <w:t>i na</w:t>
            </w:r>
            <w:r w:rsidR="00E22FF2" w:rsidRPr="008C5F1C">
              <w:rPr>
                <w:rFonts w:ascii="Times New Roman" w:hAnsi="Times New Roman" w:cs="Times New Roman"/>
              </w:rPr>
              <w:t>ț</w:t>
            </w:r>
            <w:r w:rsidRPr="008C5F1C">
              <w:rPr>
                <w:rFonts w:ascii="Times New Roman" w:hAnsi="Times New Roman" w:cs="Times New Roman"/>
              </w:rPr>
              <w:t>ional</w:t>
            </w:r>
            <w:r w:rsidR="00BA7827" w:rsidRPr="008C5F1C">
              <w:rPr>
                <w:rFonts w:ascii="Times New Roman" w:hAnsi="Times New Roman" w:cs="Times New Roman"/>
              </w:rPr>
              <w:t>ă</w:t>
            </w:r>
            <w:r w:rsidRPr="008C5F1C">
              <w:rPr>
                <w:rFonts w:ascii="Times New Roman" w:hAnsi="Times New Roman" w:cs="Times New Roman"/>
              </w:rPr>
              <w:t xml:space="preserve"> etc. Partenerii implica</w:t>
            </w:r>
            <w:r w:rsidR="00E22FF2" w:rsidRPr="008C5F1C">
              <w:rPr>
                <w:rFonts w:ascii="Times New Roman" w:hAnsi="Times New Roman" w:cs="Times New Roman"/>
              </w:rPr>
              <w:t>ț</w:t>
            </w:r>
            <w:r w:rsidRPr="008C5F1C">
              <w:rPr>
                <w:rFonts w:ascii="Times New Roman" w:hAnsi="Times New Roman" w:cs="Times New Roman"/>
              </w:rPr>
              <w:t>i vor acoperi toate domeniile finan</w:t>
            </w:r>
            <w:r w:rsidR="00E22FF2" w:rsidRPr="008C5F1C">
              <w:rPr>
                <w:rFonts w:ascii="Times New Roman" w:hAnsi="Times New Roman" w:cs="Times New Roman"/>
              </w:rPr>
              <w:t>ț</w:t>
            </w:r>
            <w:r w:rsidRPr="008C5F1C">
              <w:rPr>
                <w:rFonts w:ascii="Times New Roman" w:hAnsi="Times New Roman" w:cs="Times New Roman"/>
              </w:rPr>
              <w:t xml:space="preserve">ate prin </w:t>
            </w:r>
          </w:p>
          <w:p w14:paraId="246967D9" w14:textId="77777777" w:rsidR="00FA297D" w:rsidRPr="008C5F1C" w:rsidRDefault="00FA297D" w:rsidP="00FA297D">
            <w:pPr>
              <w:autoSpaceDE w:val="0"/>
              <w:autoSpaceDN w:val="0"/>
              <w:adjustRightInd w:val="0"/>
              <w:spacing w:after="120" w:line="240" w:lineRule="auto"/>
              <w:jc w:val="both"/>
              <w:rPr>
                <w:rFonts w:ascii="Times New Roman" w:hAnsi="Times New Roman" w:cs="Times New Roman"/>
              </w:rPr>
            </w:pPr>
            <w:r w:rsidRPr="008C5F1C">
              <w:rPr>
                <w:rFonts w:ascii="Times New Roman" w:hAnsi="Times New Roman" w:cs="Times New Roman"/>
                <w:i/>
                <w:iCs/>
              </w:rPr>
              <w:t>Principiul simetriei</w:t>
            </w:r>
            <w:r w:rsidRPr="008C5F1C">
              <w:rPr>
                <w:rFonts w:ascii="Times New Roman" w:hAnsi="Times New Roman" w:cs="Times New Roman"/>
              </w:rPr>
              <w:t xml:space="preserve"> - sunt implica</w:t>
            </w:r>
            <w:r w:rsidR="00E22FF2" w:rsidRPr="008C5F1C">
              <w:rPr>
                <w:rFonts w:ascii="Times New Roman" w:hAnsi="Times New Roman" w:cs="Times New Roman"/>
              </w:rPr>
              <w:t>ț</w:t>
            </w:r>
            <w:r w:rsidRPr="008C5F1C">
              <w:rPr>
                <w:rFonts w:ascii="Times New Roman" w:hAnsi="Times New Roman" w:cs="Times New Roman"/>
              </w:rPr>
              <w:t>i reprezentan</w:t>
            </w:r>
            <w:r w:rsidR="00E22FF2" w:rsidRPr="008C5F1C">
              <w:rPr>
                <w:rFonts w:ascii="Times New Roman" w:hAnsi="Times New Roman" w:cs="Times New Roman"/>
              </w:rPr>
              <w:t>ț</w:t>
            </w:r>
            <w:r w:rsidRPr="008C5F1C">
              <w:rPr>
                <w:rFonts w:ascii="Times New Roman" w:hAnsi="Times New Roman" w:cs="Times New Roman"/>
              </w:rPr>
              <w:t>i ai diferitelor categorii de p</w:t>
            </w:r>
            <w:r w:rsidR="00BA7827" w:rsidRPr="008C5F1C">
              <w:rPr>
                <w:rFonts w:ascii="Times New Roman" w:hAnsi="Times New Roman" w:cs="Times New Roman"/>
              </w:rPr>
              <w:t>ă</w:t>
            </w:r>
            <w:r w:rsidRPr="008C5F1C">
              <w:rPr>
                <w:rFonts w:ascii="Times New Roman" w:hAnsi="Times New Roman" w:cs="Times New Roman"/>
              </w:rPr>
              <w:t>r</w:t>
            </w:r>
            <w:r w:rsidR="00E22FF2" w:rsidRPr="008C5F1C">
              <w:rPr>
                <w:rFonts w:ascii="Times New Roman" w:hAnsi="Times New Roman" w:cs="Times New Roman"/>
              </w:rPr>
              <w:t>ț</w:t>
            </w:r>
            <w:r w:rsidRPr="008C5F1C">
              <w:rPr>
                <w:rFonts w:ascii="Times New Roman" w:hAnsi="Times New Roman" w:cs="Times New Roman"/>
              </w:rPr>
              <w:t xml:space="preserve">i interesate, din mediul public, privat, academic </w:t>
            </w:r>
            <w:r w:rsidR="00106240" w:rsidRPr="008C5F1C">
              <w:rPr>
                <w:rFonts w:ascii="Times New Roman" w:hAnsi="Times New Roman" w:cs="Times New Roman"/>
              </w:rPr>
              <w:t>ș</w:t>
            </w:r>
            <w:r w:rsidRPr="008C5F1C">
              <w:rPr>
                <w:rFonts w:ascii="Times New Roman" w:hAnsi="Times New Roman" w:cs="Times New Roman"/>
              </w:rPr>
              <w:t>i asociativ. Principiul simetriei nu presupune ca num</w:t>
            </w:r>
            <w:r w:rsidR="00BA7827" w:rsidRPr="008C5F1C">
              <w:rPr>
                <w:rFonts w:ascii="Times New Roman" w:hAnsi="Times New Roman" w:cs="Times New Roman"/>
              </w:rPr>
              <w:t>ă</w:t>
            </w:r>
            <w:r w:rsidRPr="008C5F1C">
              <w:rPr>
                <w:rFonts w:ascii="Times New Roman" w:hAnsi="Times New Roman" w:cs="Times New Roman"/>
              </w:rPr>
              <w:t>rul partenerilor apar</w:t>
            </w:r>
            <w:r w:rsidR="00E22FF2" w:rsidRPr="008C5F1C">
              <w:rPr>
                <w:rFonts w:ascii="Times New Roman" w:hAnsi="Times New Roman" w:cs="Times New Roman"/>
              </w:rPr>
              <w:t>ț</w:t>
            </w:r>
            <w:r w:rsidRPr="008C5F1C">
              <w:rPr>
                <w:rFonts w:ascii="Times New Roman" w:hAnsi="Times New Roman" w:cs="Times New Roman"/>
              </w:rPr>
              <w:t>inând fiec</w:t>
            </w:r>
            <w:r w:rsidR="00BA7827" w:rsidRPr="008C5F1C">
              <w:rPr>
                <w:rFonts w:ascii="Times New Roman" w:hAnsi="Times New Roman" w:cs="Times New Roman"/>
              </w:rPr>
              <w:t>ă</w:t>
            </w:r>
            <w:r w:rsidRPr="008C5F1C">
              <w:rPr>
                <w:rFonts w:ascii="Times New Roman" w:hAnsi="Times New Roman" w:cs="Times New Roman"/>
              </w:rPr>
              <w:t>rei categorii de entit</w:t>
            </w:r>
            <w:r w:rsidR="00BA7827" w:rsidRPr="008C5F1C">
              <w:rPr>
                <w:rFonts w:ascii="Times New Roman" w:hAnsi="Times New Roman" w:cs="Times New Roman"/>
              </w:rPr>
              <w:t>ă</w:t>
            </w:r>
            <w:r w:rsidR="00E22FF2" w:rsidRPr="008C5F1C">
              <w:rPr>
                <w:rFonts w:ascii="Times New Roman" w:hAnsi="Times New Roman" w:cs="Times New Roman"/>
              </w:rPr>
              <w:t>ț</w:t>
            </w:r>
            <w:r w:rsidRPr="008C5F1C">
              <w:rPr>
                <w:rFonts w:ascii="Times New Roman" w:hAnsi="Times New Roman" w:cs="Times New Roman"/>
              </w:rPr>
              <w:t>i s</w:t>
            </w:r>
            <w:r w:rsidR="00BA7827" w:rsidRPr="008C5F1C">
              <w:rPr>
                <w:rFonts w:ascii="Times New Roman" w:hAnsi="Times New Roman" w:cs="Times New Roman"/>
              </w:rPr>
              <w:t>ă</w:t>
            </w:r>
            <w:r w:rsidRPr="008C5F1C">
              <w:rPr>
                <w:rFonts w:ascii="Times New Roman" w:hAnsi="Times New Roman" w:cs="Times New Roman"/>
              </w:rPr>
              <w:t xml:space="preserve"> fie egal (ponderile fiind dictate de specificul domeniului ex sectorul competitivitate poate avea mai mul</w:t>
            </w:r>
            <w:r w:rsidR="00E22FF2" w:rsidRPr="008C5F1C">
              <w:rPr>
                <w:rFonts w:ascii="Times New Roman" w:hAnsi="Times New Roman" w:cs="Times New Roman"/>
              </w:rPr>
              <w:t>ț</w:t>
            </w:r>
            <w:r w:rsidRPr="008C5F1C">
              <w:rPr>
                <w:rFonts w:ascii="Times New Roman" w:hAnsi="Times New Roman" w:cs="Times New Roman"/>
              </w:rPr>
              <w:t>i agen</w:t>
            </w:r>
            <w:r w:rsidR="00E22FF2" w:rsidRPr="008C5F1C">
              <w:rPr>
                <w:rFonts w:ascii="Times New Roman" w:hAnsi="Times New Roman" w:cs="Times New Roman"/>
              </w:rPr>
              <w:t>ț</w:t>
            </w:r>
            <w:r w:rsidRPr="008C5F1C">
              <w:rPr>
                <w:rFonts w:ascii="Times New Roman" w:hAnsi="Times New Roman" w:cs="Times New Roman"/>
              </w:rPr>
              <w:t>i economici, iar sectorul ora</w:t>
            </w:r>
            <w:r w:rsidR="00106240" w:rsidRPr="008C5F1C">
              <w:rPr>
                <w:rFonts w:ascii="Times New Roman" w:hAnsi="Times New Roman" w:cs="Times New Roman"/>
              </w:rPr>
              <w:t>ș</w:t>
            </w:r>
            <w:r w:rsidRPr="008C5F1C">
              <w:rPr>
                <w:rFonts w:ascii="Times New Roman" w:hAnsi="Times New Roman" w:cs="Times New Roman"/>
              </w:rPr>
              <w:t xml:space="preserve">e </w:t>
            </w:r>
            <w:proofErr w:type="spellStart"/>
            <w:r w:rsidRPr="008C5F1C">
              <w:rPr>
                <w:rFonts w:ascii="Times New Roman" w:hAnsi="Times New Roman" w:cs="Times New Roman"/>
              </w:rPr>
              <w:t>smart</w:t>
            </w:r>
            <w:proofErr w:type="spellEnd"/>
            <w:r w:rsidRPr="008C5F1C">
              <w:rPr>
                <w:rFonts w:ascii="Times New Roman" w:hAnsi="Times New Roman" w:cs="Times New Roman"/>
              </w:rPr>
              <w:t xml:space="preserve"> mai multe autorit</w:t>
            </w:r>
            <w:r w:rsidR="00BA7827" w:rsidRPr="008C5F1C">
              <w:rPr>
                <w:rFonts w:ascii="Times New Roman" w:hAnsi="Times New Roman" w:cs="Times New Roman"/>
              </w:rPr>
              <w:t>ă</w:t>
            </w:r>
            <w:r w:rsidR="00E22FF2" w:rsidRPr="008C5F1C">
              <w:rPr>
                <w:rFonts w:ascii="Times New Roman" w:hAnsi="Times New Roman" w:cs="Times New Roman"/>
              </w:rPr>
              <w:t>ț</w:t>
            </w:r>
            <w:r w:rsidRPr="008C5F1C">
              <w:rPr>
                <w:rFonts w:ascii="Times New Roman" w:hAnsi="Times New Roman" w:cs="Times New Roman"/>
              </w:rPr>
              <w:t>i publice), ci ca interesele tuturor poten</w:t>
            </w:r>
            <w:r w:rsidR="00E22FF2" w:rsidRPr="008C5F1C">
              <w:rPr>
                <w:rFonts w:ascii="Times New Roman" w:hAnsi="Times New Roman" w:cs="Times New Roman"/>
              </w:rPr>
              <w:t>ț</w:t>
            </w:r>
            <w:r w:rsidRPr="008C5F1C">
              <w:rPr>
                <w:rFonts w:ascii="Times New Roman" w:hAnsi="Times New Roman" w:cs="Times New Roman"/>
              </w:rPr>
              <w:t>ialilor beneficiari direc</w:t>
            </w:r>
            <w:r w:rsidR="00E22FF2" w:rsidRPr="008C5F1C">
              <w:rPr>
                <w:rFonts w:ascii="Times New Roman" w:hAnsi="Times New Roman" w:cs="Times New Roman"/>
              </w:rPr>
              <w:t>ț</w:t>
            </w:r>
            <w:r w:rsidRPr="008C5F1C">
              <w:rPr>
                <w:rFonts w:ascii="Times New Roman" w:hAnsi="Times New Roman" w:cs="Times New Roman"/>
              </w:rPr>
              <w:t>i sau indirec</w:t>
            </w:r>
            <w:r w:rsidR="00E22FF2" w:rsidRPr="008C5F1C">
              <w:rPr>
                <w:rFonts w:ascii="Times New Roman" w:hAnsi="Times New Roman" w:cs="Times New Roman"/>
              </w:rPr>
              <w:t>ț</w:t>
            </w:r>
            <w:r w:rsidRPr="008C5F1C">
              <w:rPr>
                <w:rFonts w:ascii="Times New Roman" w:hAnsi="Times New Roman" w:cs="Times New Roman"/>
              </w:rPr>
              <w:t>i s</w:t>
            </w:r>
            <w:r w:rsidR="00BA7827" w:rsidRPr="008C5F1C">
              <w:rPr>
                <w:rFonts w:ascii="Times New Roman" w:hAnsi="Times New Roman" w:cs="Times New Roman"/>
              </w:rPr>
              <w:t>ă</w:t>
            </w:r>
            <w:r w:rsidRPr="008C5F1C">
              <w:rPr>
                <w:rFonts w:ascii="Times New Roman" w:hAnsi="Times New Roman" w:cs="Times New Roman"/>
              </w:rPr>
              <w:t xml:space="preserve"> fie reprezentate</w:t>
            </w:r>
          </w:p>
          <w:p w14:paraId="7AC1C4B9" w14:textId="77777777" w:rsidR="00FA297D" w:rsidRPr="008C5F1C" w:rsidRDefault="00FA297D" w:rsidP="00FA297D">
            <w:pPr>
              <w:autoSpaceDE w:val="0"/>
              <w:autoSpaceDN w:val="0"/>
              <w:adjustRightInd w:val="0"/>
              <w:spacing w:after="120" w:line="240" w:lineRule="auto"/>
              <w:jc w:val="both"/>
              <w:rPr>
                <w:rFonts w:ascii="Times New Roman" w:hAnsi="Times New Roman" w:cs="Times New Roman"/>
              </w:rPr>
            </w:pPr>
            <w:r w:rsidRPr="008C5F1C">
              <w:rPr>
                <w:rFonts w:ascii="Times New Roman" w:hAnsi="Times New Roman" w:cs="Times New Roman"/>
                <w:i/>
                <w:iCs/>
              </w:rPr>
              <w:t>Principiul consensualit</w:t>
            </w:r>
            <w:r w:rsidR="00BA7827" w:rsidRPr="008C5F1C">
              <w:rPr>
                <w:rFonts w:ascii="Times New Roman" w:hAnsi="Times New Roman" w:cs="Times New Roman"/>
                <w:i/>
                <w:iCs/>
              </w:rPr>
              <w:t>ă</w:t>
            </w:r>
            <w:r w:rsidR="00E22FF2" w:rsidRPr="008C5F1C">
              <w:rPr>
                <w:rFonts w:ascii="Times New Roman" w:hAnsi="Times New Roman" w:cs="Times New Roman"/>
                <w:i/>
                <w:iCs/>
              </w:rPr>
              <w:t>ț</w:t>
            </w:r>
            <w:r w:rsidRPr="008C5F1C">
              <w:rPr>
                <w:rFonts w:ascii="Times New Roman" w:hAnsi="Times New Roman" w:cs="Times New Roman"/>
                <w:i/>
                <w:iCs/>
              </w:rPr>
              <w:t>ii</w:t>
            </w:r>
            <w:r w:rsidRPr="008C5F1C">
              <w:rPr>
                <w:rFonts w:ascii="Times New Roman" w:hAnsi="Times New Roman" w:cs="Times New Roman"/>
              </w:rPr>
              <w:t xml:space="preserve"> - în cadrul fiec</w:t>
            </w:r>
            <w:r w:rsidR="00BA7827" w:rsidRPr="008C5F1C">
              <w:rPr>
                <w:rFonts w:ascii="Times New Roman" w:hAnsi="Times New Roman" w:cs="Times New Roman"/>
              </w:rPr>
              <w:t>ă</w:t>
            </w:r>
            <w:r w:rsidRPr="008C5F1C">
              <w:rPr>
                <w:rFonts w:ascii="Times New Roman" w:hAnsi="Times New Roman" w:cs="Times New Roman"/>
              </w:rPr>
              <w:t>rei structuri parteneriale se vor depune toate eforturile pentru atingerea consensului între parteneri se prezum</w:t>
            </w:r>
            <w:r w:rsidR="00BA7827" w:rsidRPr="008C5F1C">
              <w:rPr>
                <w:rFonts w:ascii="Times New Roman" w:hAnsi="Times New Roman" w:cs="Times New Roman"/>
              </w:rPr>
              <w:t>ă</w:t>
            </w:r>
            <w:r w:rsidRPr="008C5F1C">
              <w:rPr>
                <w:rFonts w:ascii="Times New Roman" w:hAnsi="Times New Roman" w:cs="Times New Roman"/>
              </w:rPr>
              <w:t xml:space="preserve"> faptul c</w:t>
            </w:r>
            <w:r w:rsidR="00BA7827" w:rsidRPr="008C5F1C">
              <w:rPr>
                <w:rFonts w:ascii="Times New Roman" w:hAnsi="Times New Roman" w:cs="Times New Roman"/>
              </w:rPr>
              <w:t>ă</w:t>
            </w:r>
            <w:r w:rsidRPr="008C5F1C">
              <w:rPr>
                <w:rFonts w:ascii="Times New Roman" w:hAnsi="Times New Roman" w:cs="Times New Roman"/>
              </w:rPr>
              <w:t xml:space="preserve"> atingerea consensului reprezint</w:t>
            </w:r>
            <w:r w:rsidR="00BA7827" w:rsidRPr="008C5F1C">
              <w:rPr>
                <w:rFonts w:ascii="Times New Roman" w:hAnsi="Times New Roman" w:cs="Times New Roman"/>
              </w:rPr>
              <w:t>ă</w:t>
            </w:r>
            <w:r w:rsidRPr="008C5F1C">
              <w:rPr>
                <w:rFonts w:ascii="Times New Roman" w:hAnsi="Times New Roman" w:cs="Times New Roman"/>
              </w:rPr>
              <w:t xml:space="preserve"> punctul de echilibru în care interesele tuturor p</w:t>
            </w:r>
            <w:r w:rsidR="00BA7827" w:rsidRPr="008C5F1C">
              <w:rPr>
                <w:rFonts w:ascii="Times New Roman" w:hAnsi="Times New Roman" w:cs="Times New Roman"/>
              </w:rPr>
              <w:t>ă</w:t>
            </w:r>
            <w:r w:rsidRPr="008C5F1C">
              <w:rPr>
                <w:rFonts w:ascii="Times New Roman" w:hAnsi="Times New Roman" w:cs="Times New Roman"/>
              </w:rPr>
              <w:t>r</w:t>
            </w:r>
            <w:r w:rsidR="00E22FF2" w:rsidRPr="008C5F1C">
              <w:rPr>
                <w:rFonts w:ascii="Times New Roman" w:hAnsi="Times New Roman" w:cs="Times New Roman"/>
              </w:rPr>
              <w:t>ț</w:t>
            </w:r>
            <w:r w:rsidRPr="008C5F1C">
              <w:rPr>
                <w:rFonts w:ascii="Times New Roman" w:hAnsi="Times New Roman" w:cs="Times New Roman"/>
              </w:rPr>
              <w:t>ilor reprezentate în structura partenerial</w:t>
            </w:r>
            <w:r w:rsidR="00BA7827" w:rsidRPr="008C5F1C">
              <w:rPr>
                <w:rFonts w:ascii="Times New Roman" w:hAnsi="Times New Roman" w:cs="Times New Roman"/>
              </w:rPr>
              <w:t>ă</w:t>
            </w:r>
            <w:r w:rsidRPr="008C5F1C">
              <w:rPr>
                <w:rFonts w:ascii="Times New Roman" w:hAnsi="Times New Roman" w:cs="Times New Roman"/>
              </w:rPr>
              <w:t xml:space="preserve"> sunt satisf</w:t>
            </w:r>
            <w:r w:rsidR="00BA7827" w:rsidRPr="008C5F1C">
              <w:rPr>
                <w:rFonts w:ascii="Times New Roman" w:hAnsi="Times New Roman" w:cs="Times New Roman"/>
              </w:rPr>
              <w:t>ă</w:t>
            </w:r>
            <w:r w:rsidRPr="008C5F1C">
              <w:rPr>
                <w:rFonts w:ascii="Times New Roman" w:hAnsi="Times New Roman" w:cs="Times New Roman"/>
              </w:rPr>
              <w:t>cute în mod rezonabil</w:t>
            </w:r>
          </w:p>
          <w:p w14:paraId="76A4E5B0" w14:textId="77777777" w:rsidR="00FA297D" w:rsidRPr="008C5F1C" w:rsidRDefault="00FA297D" w:rsidP="00FA297D">
            <w:pPr>
              <w:autoSpaceDE w:val="0"/>
              <w:autoSpaceDN w:val="0"/>
              <w:adjustRightInd w:val="0"/>
              <w:spacing w:after="120" w:line="240" w:lineRule="auto"/>
              <w:jc w:val="both"/>
              <w:rPr>
                <w:rFonts w:ascii="Times New Roman" w:hAnsi="Times New Roman" w:cs="Times New Roman"/>
              </w:rPr>
            </w:pPr>
            <w:r w:rsidRPr="008C5F1C">
              <w:rPr>
                <w:rFonts w:ascii="Times New Roman" w:hAnsi="Times New Roman" w:cs="Times New Roman"/>
                <w:i/>
                <w:iCs/>
              </w:rPr>
              <w:lastRenderedPageBreak/>
              <w:t>Principiul implic</w:t>
            </w:r>
            <w:r w:rsidR="00BA7827" w:rsidRPr="008C5F1C">
              <w:rPr>
                <w:rFonts w:ascii="Times New Roman" w:hAnsi="Times New Roman" w:cs="Times New Roman"/>
                <w:i/>
                <w:iCs/>
              </w:rPr>
              <w:t>ă</w:t>
            </w:r>
            <w:r w:rsidRPr="008C5F1C">
              <w:rPr>
                <w:rFonts w:ascii="Times New Roman" w:hAnsi="Times New Roman" w:cs="Times New Roman"/>
                <w:i/>
                <w:iCs/>
              </w:rPr>
              <w:t>rii active</w:t>
            </w:r>
            <w:r w:rsidRPr="008C5F1C">
              <w:rPr>
                <w:rFonts w:ascii="Times New Roman" w:hAnsi="Times New Roman" w:cs="Times New Roman"/>
              </w:rPr>
              <w:t xml:space="preserve"> - fiecare partener are obliga</w:t>
            </w:r>
            <w:r w:rsidR="00E22FF2" w:rsidRPr="008C5F1C">
              <w:rPr>
                <w:rFonts w:ascii="Times New Roman" w:hAnsi="Times New Roman" w:cs="Times New Roman"/>
              </w:rPr>
              <w:t>ț</w:t>
            </w:r>
            <w:r w:rsidRPr="008C5F1C">
              <w:rPr>
                <w:rFonts w:ascii="Times New Roman" w:hAnsi="Times New Roman" w:cs="Times New Roman"/>
              </w:rPr>
              <w:t xml:space="preserve">ia de a participa la reuniunile grupurilor de lucru din care face parte </w:t>
            </w:r>
            <w:r w:rsidR="00106240" w:rsidRPr="008C5F1C">
              <w:rPr>
                <w:rFonts w:ascii="Times New Roman" w:hAnsi="Times New Roman" w:cs="Times New Roman"/>
              </w:rPr>
              <w:t>ș</w:t>
            </w:r>
            <w:r w:rsidRPr="008C5F1C">
              <w:rPr>
                <w:rFonts w:ascii="Times New Roman" w:hAnsi="Times New Roman" w:cs="Times New Roman"/>
              </w:rPr>
              <w:t>i de a face toate eforturile ca reprezentantul/reprezentan</w:t>
            </w:r>
            <w:r w:rsidR="00E22FF2" w:rsidRPr="008C5F1C">
              <w:rPr>
                <w:rFonts w:ascii="Times New Roman" w:hAnsi="Times New Roman" w:cs="Times New Roman"/>
              </w:rPr>
              <w:t>ț</w:t>
            </w:r>
            <w:r w:rsidRPr="008C5F1C">
              <w:rPr>
                <w:rFonts w:ascii="Times New Roman" w:hAnsi="Times New Roman" w:cs="Times New Roman"/>
              </w:rPr>
              <w:t>ii s</w:t>
            </w:r>
            <w:r w:rsidR="00BA7827" w:rsidRPr="008C5F1C">
              <w:rPr>
                <w:rFonts w:ascii="Times New Roman" w:hAnsi="Times New Roman" w:cs="Times New Roman"/>
              </w:rPr>
              <w:t>ă</w:t>
            </w:r>
            <w:r w:rsidRPr="008C5F1C">
              <w:rPr>
                <w:rFonts w:ascii="Times New Roman" w:hAnsi="Times New Roman" w:cs="Times New Roman"/>
              </w:rPr>
              <w:t>i desemna</w:t>
            </w:r>
            <w:r w:rsidR="00E22FF2" w:rsidRPr="008C5F1C">
              <w:rPr>
                <w:rFonts w:ascii="Times New Roman" w:hAnsi="Times New Roman" w:cs="Times New Roman"/>
              </w:rPr>
              <w:t>ț</w:t>
            </w:r>
            <w:r w:rsidRPr="008C5F1C">
              <w:rPr>
                <w:rFonts w:ascii="Times New Roman" w:hAnsi="Times New Roman" w:cs="Times New Roman"/>
              </w:rPr>
              <w:t>i s</w:t>
            </w:r>
            <w:r w:rsidR="00BA7827" w:rsidRPr="008C5F1C">
              <w:rPr>
                <w:rFonts w:ascii="Times New Roman" w:hAnsi="Times New Roman" w:cs="Times New Roman"/>
              </w:rPr>
              <w:t>ă</w:t>
            </w:r>
            <w:r w:rsidRPr="008C5F1C">
              <w:rPr>
                <w:rFonts w:ascii="Times New Roman" w:hAnsi="Times New Roman" w:cs="Times New Roman"/>
              </w:rPr>
              <w:t xml:space="preserve"> aib</w:t>
            </w:r>
            <w:r w:rsidR="00BA7827" w:rsidRPr="008C5F1C">
              <w:rPr>
                <w:rFonts w:ascii="Times New Roman" w:hAnsi="Times New Roman" w:cs="Times New Roman"/>
              </w:rPr>
              <w:t>ă</w:t>
            </w:r>
            <w:r w:rsidRPr="008C5F1C">
              <w:rPr>
                <w:rFonts w:ascii="Times New Roman" w:hAnsi="Times New Roman" w:cs="Times New Roman"/>
              </w:rPr>
              <w:t xml:space="preserve"> continuitate în particip</w:t>
            </w:r>
            <w:r w:rsidR="00BA7827" w:rsidRPr="008C5F1C">
              <w:rPr>
                <w:rFonts w:ascii="Times New Roman" w:hAnsi="Times New Roman" w:cs="Times New Roman"/>
              </w:rPr>
              <w:t>ă</w:t>
            </w:r>
            <w:r w:rsidRPr="008C5F1C">
              <w:rPr>
                <w:rFonts w:ascii="Times New Roman" w:hAnsi="Times New Roman" w:cs="Times New Roman"/>
              </w:rPr>
              <w:t>ri (evitarea înlocuirii exper</w:t>
            </w:r>
            <w:r w:rsidR="00E22FF2" w:rsidRPr="008C5F1C">
              <w:rPr>
                <w:rFonts w:ascii="Times New Roman" w:hAnsi="Times New Roman" w:cs="Times New Roman"/>
              </w:rPr>
              <w:t>ț</w:t>
            </w:r>
            <w:r w:rsidRPr="008C5F1C">
              <w:rPr>
                <w:rFonts w:ascii="Times New Roman" w:hAnsi="Times New Roman" w:cs="Times New Roman"/>
              </w:rPr>
              <w:t xml:space="preserve">ilor în mod regulat </w:t>
            </w:r>
            <w:r w:rsidR="00106240" w:rsidRPr="008C5F1C">
              <w:rPr>
                <w:rFonts w:ascii="Times New Roman" w:hAnsi="Times New Roman" w:cs="Times New Roman"/>
              </w:rPr>
              <w:t>ș</w:t>
            </w:r>
            <w:r w:rsidRPr="008C5F1C">
              <w:rPr>
                <w:rFonts w:ascii="Times New Roman" w:hAnsi="Times New Roman" w:cs="Times New Roman"/>
              </w:rPr>
              <w:t>i frecvent); în cadrul reuniunilor, reprezentan</w:t>
            </w:r>
            <w:r w:rsidR="00E22FF2" w:rsidRPr="008C5F1C">
              <w:rPr>
                <w:rFonts w:ascii="Times New Roman" w:hAnsi="Times New Roman" w:cs="Times New Roman"/>
              </w:rPr>
              <w:t>ț</w:t>
            </w:r>
            <w:r w:rsidRPr="008C5F1C">
              <w:rPr>
                <w:rFonts w:ascii="Times New Roman" w:hAnsi="Times New Roman" w:cs="Times New Roman"/>
              </w:rPr>
              <w:t>ii entit</w:t>
            </w:r>
            <w:r w:rsidR="00BA7827" w:rsidRPr="008C5F1C">
              <w:rPr>
                <w:rFonts w:ascii="Times New Roman" w:hAnsi="Times New Roman" w:cs="Times New Roman"/>
              </w:rPr>
              <w:t>ă</w:t>
            </w:r>
            <w:r w:rsidR="00E22FF2" w:rsidRPr="008C5F1C">
              <w:rPr>
                <w:rFonts w:ascii="Times New Roman" w:hAnsi="Times New Roman" w:cs="Times New Roman"/>
              </w:rPr>
              <w:t>ț</w:t>
            </w:r>
            <w:r w:rsidRPr="008C5F1C">
              <w:rPr>
                <w:rFonts w:ascii="Times New Roman" w:hAnsi="Times New Roman" w:cs="Times New Roman"/>
              </w:rPr>
              <w:t>ilor participante se vor implica activ în dezbateri, exprimând puncte de vedere, idei, sugestii, propuneri etc</w:t>
            </w:r>
          </w:p>
          <w:p w14:paraId="2F0C9423" w14:textId="77777777" w:rsidR="00FA297D" w:rsidRPr="008C5F1C" w:rsidRDefault="00FA297D" w:rsidP="00FA297D">
            <w:pPr>
              <w:autoSpaceDE w:val="0"/>
              <w:autoSpaceDN w:val="0"/>
              <w:adjustRightInd w:val="0"/>
              <w:spacing w:after="120" w:line="240" w:lineRule="auto"/>
              <w:jc w:val="both"/>
              <w:rPr>
                <w:rFonts w:ascii="Times New Roman" w:hAnsi="Times New Roman" w:cs="Times New Roman"/>
              </w:rPr>
            </w:pPr>
            <w:r w:rsidRPr="008C5F1C">
              <w:rPr>
                <w:rFonts w:ascii="Times New Roman" w:hAnsi="Times New Roman" w:cs="Times New Roman"/>
                <w:i/>
                <w:iCs/>
              </w:rPr>
              <w:t>Principiul responsabilit</w:t>
            </w:r>
            <w:r w:rsidR="00BA7827" w:rsidRPr="008C5F1C">
              <w:rPr>
                <w:rFonts w:ascii="Times New Roman" w:hAnsi="Times New Roman" w:cs="Times New Roman"/>
                <w:i/>
                <w:iCs/>
              </w:rPr>
              <w:t>ă</w:t>
            </w:r>
            <w:r w:rsidR="00E22FF2" w:rsidRPr="008C5F1C">
              <w:rPr>
                <w:rFonts w:ascii="Times New Roman" w:hAnsi="Times New Roman" w:cs="Times New Roman"/>
                <w:i/>
                <w:iCs/>
              </w:rPr>
              <w:t>ț</w:t>
            </w:r>
            <w:r w:rsidRPr="008C5F1C">
              <w:rPr>
                <w:rFonts w:ascii="Times New Roman" w:hAnsi="Times New Roman" w:cs="Times New Roman"/>
                <w:i/>
                <w:iCs/>
              </w:rPr>
              <w:t>ii</w:t>
            </w:r>
            <w:r w:rsidRPr="008C5F1C">
              <w:rPr>
                <w:rFonts w:ascii="Times New Roman" w:hAnsi="Times New Roman" w:cs="Times New Roman"/>
              </w:rPr>
              <w:t xml:space="preserve"> - partenerii au obliga</w:t>
            </w:r>
            <w:r w:rsidR="00E22FF2" w:rsidRPr="008C5F1C">
              <w:rPr>
                <w:rFonts w:ascii="Times New Roman" w:hAnsi="Times New Roman" w:cs="Times New Roman"/>
              </w:rPr>
              <w:t>ț</w:t>
            </w:r>
            <w:r w:rsidRPr="008C5F1C">
              <w:rPr>
                <w:rFonts w:ascii="Times New Roman" w:hAnsi="Times New Roman" w:cs="Times New Roman"/>
              </w:rPr>
              <w:t>ia de a depune toate eforturile pentru a adopta o conduit</w:t>
            </w:r>
            <w:r w:rsidR="00BA7827" w:rsidRPr="008C5F1C">
              <w:rPr>
                <w:rFonts w:ascii="Times New Roman" w:hAnsi="Times New Roman" w:cs="Times New Roman"/>
              </w:rPr>
              <w:t>ă</w:t>
            </w:r>
            <w:r w:rsidRPr="008C5F1C">
              <w:rPr>
                <w:rFonts w:ascii="Times New Roman" w:hAnsi="Times New Roman" w:cs="Times New Roman"/>
              </w:rPr>
              <w:t xml:space="preserve"> responsabil</w:t>
            </w:r>
            <w:r w:rsidR="00BA7827" w:rsidRPr="008C5F1C">
              <w:rPr>
                <w:rFonts w:ascii="Times New Roman" w:hAnsi="Times New Roman" w:cs="Times New Roman"/>
              </w:rPr>
              <w:t>ă</w:t>
            </w:r>
            <w:r w:rsidRPr="008C5F1C">
              <w:rPr>
                <w:rFonts w:ascii="Times New Roman" w:hAnsi="Times New Roman" w:cs="Times New Roman"/>
              </w:rPr>
              <w:t xml:space="preserve"> în raport cu celelalte p</w:t>
            </w:r>
            <w:r w:rsidR="00BA7827" w:rsidRPr="008C5F1C">
              <w:rPr>
                <w:rFonts w:ascii="Times New Roman" w:hAnsi="Times New Roman" w:cs="Times New Roman"/>
              </w:rPr>
              <w:t>ă</w:t>
            </w:r>
            <w:r w:rsidRPr="008C5F1C">
              <w:rPr>
                <w:rFonts w:ascii="Times New Roman" w:hAnsi="Times New Roman" w:cs="Times New Roman"/>
              </w:rPr>
              <w:t>r</w:t>
            </w:r>
            <w:r w:rsidR="00E22FF2" w:rsidRPr="008C5F1C">
              <w:rPr>
                <w:rFonts w:ascii="Times New Roman" w:hAnsi="Times New Roman" w:cs="Times New Roman"/>
              </w:rPr>
              <w:t>ț</w:t>
            </w:r>
            <w:r w:rsidRPr="008C5F1C">
              <w:rPr>
                <w:rFonts w:ascii="Times New Roman" w:hAnsi="Times New Roman" w:cs="Times New Roman"/>
              </w:rPr>
              <w:t>i participante la lucr</w:t>
            </w:r>
            <w:r w:rsidR="00BA7827" w:rsidRPr="008C5F1C">
              <w:rPr>
                <w:rFonts w:ascii="Times New Roman" w:hAnsi="Times New Roman" w:cs="Times New Roman"/>
              </w:rPr>
              <w:t>ă</w:t>
            </w:r>
            <w:r w:rsidRPr="008C5F1C">
              <w:rPr>
                <w:rFonts w:ascii="Times New Roman" w:hAnsi="Times New Roman" w:cs="Times New Roman"/>
              </w:rPr>
              <w:t xml:space="preserve">rile structurilor parteneriale din care fac parte </w:t>
            </w:r>
          </w:p>
          <w:p w14:paraId="109BDEA8" w14:textId="15228EEF" w:rsidR="00FA297D" w:rsidRPr="008C5F1C" w:rsidRDefault="00EE459B" w:rsidP="00FA297D">
            <w:pPr>
              <w:autoSpaceDE w:val="0"/>
              <w:autoSpaceDN w:val="0"/>
              <w:adjustRightInd w:val="0"/>
              <w:spacing w:after="120" w:line="240" w:lineRule="auto"/>
              <w:jc w:val="both"/>
              <w:rPr>
                <w:rFonts w:ascii="Times New Roman" w:hAnsi="Times New Roman" w:cs="Times New Roman"/>
              </w:rPr>
            </w:pPr>
            <w:r w:rsidRPr="008C5F1C">
              <w:rPr>
                <w:rFonts w:ascii="Times New Roman" w:hAnsi="Times New Roman" w:cs="Times New Roman"/>
              </w:rPr>
              <w:t>ADR N</w:t>
            </w:r>
            <w:r w:rsidR="00FF3575" w:rsidRPr="008C5F1C">
              <w:rPr>
                <w:rFonts w:ascii="Times New Roman" w:hAnsi="Times New Roman" w:cs="Times New Roman"/>
              </w:rPr>
              <w:t>ord-Vest</w:t>
            </w:r>
            <w:r w:rsidR="00FA297D" w:rsidRPr="008C5F1C">
              <w:rPr>
                <w:rFonts w:ascii="Times New Roman" w:hAnsi="Times New Roman" w:cs="Times New Roman"/>
              </w:rPr>
              <w:t>, în calitate de AM POR NV, va implica partenerii în monitorizarea, evaluarea performan</w:t>
            </w:r>
            <w:r w:rsidR="00E22FF2" w:rsidRPr="008C5F1C">
              <w:rPr>
                <w:rFonts w:ascii="Times New Roman" w:hAnsi="Times New Roman" w:cs="Times New Roman"/>
              </w:rPr>
              <w:t>ț</w:t>
            </w:r>
            <w:r w:rsidR="00FA297D" w:rsidRPr="008C5F1C">
              <w:rPr>
                <w:rFonts w:ascii="Times New Roman" w:hAnsi="Times New Roman" w:cs="Times New Roman"/>
              </w:rPr>
              <w:t xml:space="preserve">elor, evaluarea </w:t>
            </w:r>
            <w:r w:rsidR="00106240" w:rsidRPr="008C5F1C">
              <w:rPr>
                <w:rFonts w:ascii="Times New Roman" w:hAnsi="Times New Roman" w:cs="Times New Roman"/>
              </w:rPr>
              <w:t>ș</w:t>
            </w:r>
            <w:r w:rsidR="00FA297D" w:rsidRPr="008C5F1C">
              <w:rPr>
                <w:rFonts w:ascii="Times New Roman" w:hAnsi="Times New Roman" w:cs="Times New Roman"/>
              </w:rPr>
              <w:t>i preg</w:t>
            </w:r>
            <w:r w:rsidR="00BA7827" w:rsidRPr="008C5F1C">
              <w:rPr>
                <w:rFonts w:ascii="Times New Roman" w:hAnsi="Times New Roman" w:cs="Times New Roman"/>
              </w:rPr>
              <w:t>ă</w:t>
            </w:r>
            <w:r w:rsidR="00FA297D" w:rsidRPr="008C5F1C">
              <w:rPr>
                <w:rFonts w:ascii="Times New Roman" w:hAnsi="Times New Roman" w:cs="Times New Roman"/>
              </w:rPr>
              <w:t>tirea implement</w:t>
            </w:r>
            <w:r w:rsidR="00BA7827" w:rsidRPr="008C5F1C">
              <w:rPr>
                <w:rFonts w:ascii="Times New Roman" w:hAnsi="Times New Roman" w:cs="Times New Roman"/>
              </w:rPr>
              <w:t>ă</w:t>
            </w:r>
            <w:r w:rsidR="00FA297D" w:rsidRPr="008C5F1C">
              <w:rPr>
                <w:rFonts w:ascii="Times New Roman" w:hAnsi="Times New Roman" w:cs="Times New Roman"/>
              </w:rPr>
              <w:t xml:space="preserve">rii anuale a rapoartelor programelor, sub responsabilitatea CM </w:t>
            </w:r>
            <w:r w:rsidR="00106240" w:rsidRPr="008C5F1C">
              <w:rPr>
                <w:rFonts w:ascii="Times New Roman" w:hAnsi="Times New Roman" w:cs="Times New Roman"/>
              </w:rPr>
              <w:t>ș</w:t>
            </w:r>
            <w:r w:rsidR="00FA297D" w:rsidRPr="008C5F1C">
              <w:rPr>
                <w:rFonts w:ascii="Times New Roman" w:hAnsi="Times New Roman" w:cs="Times New Roman"/>
              </w:rPr>
              <w:t>i, dup</w:t>
            </w:r>
            <w:r w:rsidR="00BA7827" w:rsidRPr="008C5F1C">
              <w:rPr>
                <w:rFonts w:ascii="Times New Roman" w:hAnsi="Times New Roman" w:cs="Times New Roman"/>
              </w:rPr>
              <w:t>ă</w:t>
            </w:r>
            <w:r w:rsidR="00FA297D" w:rsidRPr="008C5F1C">
              <w:rPr>
                <w:rFonts w:ascii="Times New Roman" w:hAnsi="Times New Roman" w:cs="Times New Roman"/>
              </w:rPr>
              <w:t xml:space="preserve"> caz, prin grupuri de lucru specifice înfiin</w:t>
            </w:r>
            <w:r w:rsidR="00E22FF2" w:rsidRPr="008C5F1C">
              <w:rPr>
                <w:rFonts w:ascii="Times New Roman" w:hAnsi="Times New Roman" w:cs="Times New Roman"/>
              </w:rPr>
              <w:t>ț</w:t>
            </w:r>
            <w:r w:rsidR="00FA297D" w:rsidRPr="008C5F1C">
              <w:rPr>
                <w:rFonts w:ascii="Times New Roman" w:hAnsi="Times New Roman" w:cs="Times New Roman"/>
              </w:rPr>
              <w:t>ate de comitetele de monitorizare în acest scop.</w:t>
            </w:r>
          </w:p>
          <w:p w14:paraId="46B981A3" w14:textId="65D1A415" w:rsidR="006D095F" w:rsidRPr="008C5F1C" w:rsidRDefault="00FA297D" w:rsidP="00FA297D">
            <w:pPr>
              <w:spacing w:after="120" w:line="240" w:lineRule="auto"/>
              <w:jc w:val="both"/>
              <w:rPr>
                <w:rFonts w:ascii="Times New Roman" w:hAnsi="Times New Roman" w:cs="Times New Roman"/>
              </w:rPr>
            </w:pPr>
            <w:r w:rsidRPr="008C5F1C">
              <w:rPr>
                <w:rFonts w:ascii="Times New Roman" w:hAnsi="Times New Roman" w:cs="Times New Roman"/>
              </w:rPr>
              <w:t>Fondurile de asisten</w:t>
            </w:r>
            <w:r w:rsidR="00E22FF2" w:rsidRPr="008C5F1C">
              <w:rPr>
                <w:rFonts w:ascii="Times New Roman" w:hAnsi="Times New Roman" w:cs="Times New Roman"/>
              </w:rPr>
              <w:t>ț</w:t>
            </w:r>
            <w:r w:rsidR="00BA7827" w:rsidRPr="008C5F1C">
              <w:rPr>
                <w:rFonts w:ascii="Times New Roman" w:hAnsi="Times New Roman" w:cs="Times New Roman"/>
              </w:rPr>
              <w:t>ă</w:t>
            </w:r>
            <w:r w:rsidRPr="008C5F1C">
              <w:rPr>
                <w:rFonts w:ascii="Times New Roman" w:hAnsi="Times New Roman" w:cs="Times New Roman"/>
              </w:rPr>
              <w:t xml:space="preserve"> tehnic</w:t>
            </w:r>
            <w:r w:rsidR="00BA7827" w:rsidRPr="008C5F1C">
              <w:rPr>
                <w:rFonts w:ascii="Times New Roman" w:hAnsi="Times New Roman" w:cs="Times New Roman"/>
              </w:rPr>
              <w:t>ă</w:t>
            </w:r>
            <w:r w:rsidRPr="008C5F1C">
              <w:rPr>
                <w:rFonts w:ascii="Times New Roman" w:hAnsi="Times New Roman" w:cs="Times New Roman"/>
              </w:rPr>
              <w:t xml:space="preserve"> vor fi utilizate pentru a asigura formarea necesar</w:t>
            </w:r>
            <w:r w:rsidR="00BA7827" w:rsidRPr="008C5F1C">
              <w:rPr>
                <w:rFonts w:ascii="Times New Roman" w:hAnsi="Times New Roman" w:cs="Times New Roman"/>
              </w:rPr>
              <w:t>ă</w:t>
            </w:r>
            <w:r w:rsidRPr="008C5F1C">
              <w:rPr>
                <w:rFonts w:ascii="Times New Roman" w:hAnsi="Times New Roman" w:cs="Times New Roman"/>
              </w:rPr>
              <w:t xml:space="preserve"> a partenerilor pentru a participa la elaborarea, implementarea, monitorizarea </w:t>
            </w:r>
            <w:r w:rsidR="00106240" w:rsidRPr="008C5F1C">
              <w:rPr>
                <w:rFonts w:ascii="Times New Roman" w:hAnsi="Times New Roman" w:cs="Times New Roman"/>
              </w:rPr>
              <w:t>ș</w:t>
            </w:r>
            <w:r w:rsidRPr="008C5F1C">
              <w:rPr>
                <w:rFonts w:ascii="Times New Roman" w:hAnsi="Times New Roman" w:cs="Times New Roman"/>
              </w:rPr>
              <w:t>i evaluarea programelor. Sprijinul va lua forma unor ateliere specifice, unor sesiuni de formare, preg</w:t>
            </w:r>
            <w:r w:rsidR="00BA7827" w:rsidRPr="008C5F1C">
              <w:rPr>
                <w:rFonts w:ascii="Times New Roman" w:hAnsi="Times New Roman" w:cs="Times New Roman"/>
              </w:rPr>
              <w:t>ă</w:t>
            </w:r>
            <w:r w:rsidRPr="008C5F1C">
              <w:rPr>
                <w:rFonts w:ascii="Times New Roman" w:hAnsi="Times New Roman" w:cs="Times New Roman"/>
              </w:rPr>
              <w:t xml:space="preserve">tire </w:t>
            </w:r>
            <w:r w:rsidR="00106240" w:rsidRPr="008C5F1C">
              <w:rPr>
                <w:rFonts w:ascii="Times New Roman" w:hAnsi="Times New Roman" w:cs="Times New Roman"/>
              </w:rPr>
              <w:t>ș</w:t>
            </w:r>
            <w:r w:rsidRPr="008C5F1C">
              <w:rPr>
                <w:rFonts w:ascii="Times New Roman" w:hAnsi="Times New Roman" w:cs="Times New Roman"/>
              </w:rPr>
              <w:t>i sprijin.</w:t>
            </w:r>
          </w:p>
        </w:tc>
      </w:tr>
      <w:bookmarkEnd w:id="140"/>
    </w:tbl>
    <w:p w14:paraId="3AEA400D" w14:textId="77777777" w:rsidR="00653571" w:rsidRPr="008C5F1C" w:rsidRDefault="00653571" w:rsidP="00653571">
      <w:pPr>
        <w:spacing w:before="120" w:after="120" w:line="360" w:lineRule="auto"/>
        <w:rPr>
          <w:rFonts w:ascii="Times New Roman" w:hAnsi="Times New Roman" w:cs="Times New Roman"/>
          <w:b/>
          <w:bCs/>
          <w:noProof/>
          <w:sz w:val="24"/>
        </w:rPr>
      </w:pPr>
    </w:p>
    <w:p w14:paraId="47A80EF6" w14:textId="77777777" w:rsidR="00653571" w:rsidRPr="008C5F1C" w:rsidRDefault="00653571" w:rsidP="00653571">
      <w:pPr>
        <w:pStyle w:val="Heading1"/>
        <w:numPr>
          <w:ilvl w:val="0"/>
          <w:numId w:val="0"/>
        </w:numPr>
        <w:ind w:left="851" w:hanging="851"/>
        <w:rPr>
          <w:rFonts w:cs="Times New Roman"/>
          <w:noProof/>
          <w:lang w:val="ro-RO"/>
        </w:rPr>
      </w:pPr>
      <w:bookmarkStart w:id="141" w:name="_Toc39840957"/>
      <w:r w:rsidRPr="008C5F1C">
        <w:rPr>
          <w:rFonts w:cs="Times New Roman"/>
          <w:noProof/>
          <w:lang w:val="ro-RO"/>
        </w:rPr>
        <w:t>7.</w:t>
      </w:r>
      <w:r w:rsidRPr="008C5F1C">
        <w:rPr>
          <w:rFonts w:cs="Times New Roman"/>
          <w:noProof/>
          <w:lang w:val="ro-RO"/>
        </w:rPr>
        <w:tab/>
        <w:t>Communication and visibility</w:t>
      </w:r>
      <w:bookmarkEnd w:id="141"/>
    </w:p>
    <w:p w14:paraId="1552BDD9" w14:textId="77777777" w:rsidR="00653571" w:rsidRPr="008C5F1C" w:rsidRDefault="00653571" w:rsidP="00653571">
      <w:pPr>
        <w:spacing w:before="240" w:after="240" w:line="360" w:lineRule="auto"/>
        <w:rPr>
          <w:rFonts w:ascii="Times New Roman" w:eastAsia="Times New Roman" w:hAnsi="Times New Roman" w:cs="Times New Roman"/>
          <w:i/>
          <w:noProof/>
          <w:sz w:val="24"/>
          <w:szCs w:val="24"/>
        </w:rPr>
      </w:pPr>
      <w:r w:rsidRPr="008C5F1C">
        <w:rPr>
          <w:rFonts w:ascii="Times New Roman" w:eastAsia="Times New Roman" w:hAnsi="Times New Roman" w:cs="Times New Roman"/>
          <w:i/>
          <w:noProof/>
          <w:sz w:val="24"/>
          <w:szCs w:val="24"/>
        </w:rPr>
        <w:t xml:space="preserve">Reference:  Article 17(3)(i) CPR, Article 42(2) CPR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653571" w:rsidRPr="008C5F1C" w14:paraId="5ED94766" w14:textId="77777777" w:rsidTr="00534127">
        <w:tc>
          <w:tcPr>
            <w:tcW w:w="9288" w:type="dxa"/>
            <w:tcBorders>
              <w:top w:val="single" w:sz="4" w:space="0" w:color="auto"/>
              <w:left w:val="single" w:sz="4" w:space="0" w:color="auto"/>
              <w:bottom w:val="single" w:sz="4" w:space="0" w:color="auto"/>
              <w:right w:val="single" w:sz="4" w:space="0" w:color="auto"/>
            </w:tcBorders>
          </w:tcPr>
          <w:p w14:paraId="2249F671" w14:textId="0FEEF1F8" w:rsidR="00FA297D" w:rsidRPr="001A64EA" w:rsidRDefault="00FA297D" w:rsidP="001A64EA">
            <w:pPr>
              <w:spacing w:after="120" w:line="240" w:lineRule="auto"/>
              <w:jc w:val="both"/>
              <w:rPr>
                <w:rFonts w:ascii="Times New Roman" w:hAnsi="Times New Roman" w:cs="Times New Roman"/>
              </w:rPr>
            </w:pPr>
            <w:r w:rsidRPr="001A64EA">
              <w:rPr>
                <w:rFonts w:ascii="Times New Roman" w:hAnsi="Times New Roman" w:cs="Times New Roman"/>
              </w:rPr>
              <w:t xml:space="preserve">În conformitate cu Art. 41 RDC, </w:t>
            </w:r>
            <w:r w:rsidR="00EE459B" w:rsidRPr="001A64EA">
              <w:rPr>
                <w:rFonts w:ascii="Times New Roman" w:hAnsi="Times New Roman" w:cs="Times New Roman"/>
              </w:rPr>
              <w:t>ADR NORD-VEST</w:t>
            </w:r>
            <w:r w:rsidRPr="001A64EA">
              <w:rPr>
                <w:rFonts w:ascii="Times New Roman" w:hAnsi="Times New Roman" w:cs="Times New Roman"/>
              </w:rPr>
              <w:t>, în calitate de AM, va asigura vizibilitatea sprijinului în toate activit</w:t>
            </w:r>
            <w:r w:rsidR="00BA7827" w:rsidRPr="001A64EA">
              <w:rPr>
                <w:rFonts w:ascii="Times New Roman" w:hAnsi="Times New Roman" w:cs="Times New Roman"/>
              </w:rPr>
              <w:t>ă</w:t>
            </w:r>
            <w:r w:rsidR="00E22FF2" w:rsidRPr="001A64EA">
              <w:rPr>
                <w:rFonts w:ascii="Times New Roman" w:hAnsi="Times New Roman" w:cs="Times New Roman"/>
              </w:rPr>
              <w:t>ț</w:t>
            </w:r>
            <w:r w:rsidRPr="001A64EA">
              <w:rPr>
                <w:rFonts w:ascii="Times New Roman" w:hAnsi="Times New Roman" w:cs="Times New Roman"/>
              </w:rPr>
              <w:t>ile legate de opera</w:t>
            </w:r>
            <w:r w:rsidR="00E22FF2" w:rsidRPr="001A64EA">
              <w:rPr>
                <w:rFonts w:ascii="Times New Roman" w:hAnsi="Times New Roman" w:cs="Times New Roman"/>
              </w:rPr>
              <w:t>ț</w:t>
            </w:r>
            <w:r w:rsidRPr="001A64EA">
              <w:rPr>
                <w:rFonts w:ascii="Times New Roman" w:hAnsi="Times New Roman" w:cs="Times New Roman"/>
              </w:rPr>
              <w:t xml:space="preserve">iunile sprijinite prin POR NV; informarea publicului cu privire la rolul </w:t>
            </w:r>
            <w:r w:rsidR="00106240" w:rsidRPr="001A64EA">
              <w:rPr>
                <w:rFonts w:ascii="Times New Roman" w:hAnsi="Times New Roman" w:cs="Times New Roman"/>
              </w:rPr>
              <w:t>ș</w:t>
            </w:r>
            <w:r w:rsidRPr="001A64EA">
              <w:rPr>
                <w:rFonts w:ascii="Times New Roman" w:hAnsi="Times New Roman" w:cs="Times New Roman"/>
              </w:rPr>
              <w:t>i realiz</w:t>
            </w:r>
            <w:r w:rsidR="00BA7827" w:rsidRPr="001A64EA">
              <w:rPr>
                <w:rFonts w:ascii="Times New Roman" w:hAnsi="Times New Roman" w:cs="Times New Roman"/>
              </w:rPr>
              <w:t>ă</w:t>
            </w:r>
            <w:r w:rsidRPr="001A64EA">
              <w:rPr>
                <w:rFonts w:ascii="Times New Roman" w:hAnsi="Times New Roman" w:cs="Times New Roman"/>
              </w:rPr>
              <w:t>rile ob</w:t>
            </w:r>
            <w:r w:rsidR="00E22FF2" w:rsidRPr="001A64EA">
              <w:rPr>
                <w:rFonts w:ascii="Times New Roman" w:hAnsi="Times New Roman" w:cs="Times New Roman"/>
              </w:rPr>
              <w:t>ț</w:t>
            </w:r>
            <w:r w:rsidRPr="001A64EA">
              <w:rPr>
                <w:rFonts w:ascii="Times New Roman" w:hAnsi="Times New Roman" w:cs="Times New Roman"/>
              </w:rPr>
              <w:t>inute prin POR N</w:t>
            </w:r>
            <w:r w:rsidR="008055DD" w:rsidRPr="001A64EA">
              <w:rPr>
                <w:rFonts w:ascii="Times New Roman" w:hAnsi="Times New Roman" w:cs="Times New Roman"/>
              </w:rPr>
              <w:t>ord-</w:t>
            </w:r>
            <w:r w:rsidRPr="001A64EA">
              <w:rPr>
                <w:rFonts w:ascii="Times New Roman" w:hAnsi="Times New Roman" w:cs="Times New Roman"/>
              </w:rPr>
              <w:t>V</w:t>
            </w:r>
            <w:r w:rsidR="008055DD" w:rsidRPr="001A64EA">
              <w:rPr>
                <w:rFonts w:ascii="Times New Roman" w:hAnsi="Times New Roman" w:cs="Times New Roman"/>
              </w:rPr>
              <w:t>est</w:t>
            </w:r>
            <w:r w:rsidRPr="001A64EA">
              <w:rPr>
                <w:rFonts w:ascii="Times New Roman" w:hAnsi="Times New Roman" w:cs="Times New Roman"/>
              </w:rPr>
              <w:t xml:space="preserve"> se va realiza prin intermediul portalului unic de internet dezvoltat de c</w:t>
            </w:r>
            <w:r w:rsidR="00BA7827" w:rsidRPr="001A64EA">
              <w:rPr>
                <w:rFonts w:ascii="Times New Roman" w:hAnsi="Times New Roman" w:cs="Times New Roman"/>
              </w:rPr>
              <w:t>ă</w:t>
            </w:r>
            <w:r w:rsidRPr="001A64EA">
              <w:rPr>
                <w:rFonts w:ascii="Times New Roman" w:hAnsi="Times New Roman" w:cs="Times New Roman"/>
              </w:rPr>
              <w:t>tre MFE, care ofer</w:t>
            </w:r>
            <w:r w:rsidR="00BA7827" w:rsidRPr="001A64EA">
              <w:rPr>
                <w:rFonts w:ascii="Times New Roman" w:hAnsi="Times New Roman" w:cs="Times New Roman"/>
              </w:rPr>
              <w:t>ă</w:t>
            </w:r>
            <w:r w:rsidRPr="001A64EA">
              <w:rPr>
                <w:rFonts w:ascii="Times New Roman" w:hAnsi="Times New Roman" w:cs="Times New Roman"/>
              </w:rPr>
              <w:t xml:space="preserve"> acces la toate programele care implic</w:t>
            </w:r>
            <w:r w:rsidR="00BA7827" w:rsidRPr="001A64EA">
              <w:rPr>
                <w:rFonts w:ascii="Times New Roman" w:hAnsi="Times New Roman" w:cs="Times New Roman"/>
              </w:rPr>
              <w:t>ă</w:t>
            </w:r>
            <w:r w:rsidRPr="001A64EA">
              <w:rPr>
                <w:rFonts w:ascii="Times New Roman" w:hAnsi="Times New Roman" w:cs="Times New Roman"/>
              </w:rPr>
              <w:t xml:space="preserve"> România, precum </w:t>
            </w:r>
            <w:r w:rsidR="00106240" w:rsidRPr="001A64EA">
              <w:rPr>
                <w:rFonts w:ascii="Times New Roman" w:hAnsi="Times New Roman" w:cs="Times New Roman"/>
              </w:rPr>
              <w:t>ș</w:t>
            </w:r>
            <w:r w:rsidRPr="001A64EA">
              <w:rPr>
                <w:rFonts w:ascii="Times New Roman" w:hAnsi="Times New Roman" w:cs="Times New Roman"/>
              </w:rPr>
              <w:t>i prin pagina de web a Autorit</w:t>
            </w:r>
            <w:r w:rsidR="00BA7827" w:rsidRPr="001A64EA">
              <w:rPr>
                <w:rFonts w:ascii="Times New Roman" w:hAnsi="Times New Roman" w:cs="Times New Roman"/>
              </w:rPr>
              <w:t>ă</w:t>
            </w:r>
            <w:r w:rsidR="00E22FF2" w:rsidRPr="001A64EA">
              <w:rPr>
                <w:rFonts w:ascii="Times New Roman" w:hAnsi="Times New Roman" w:cs="Times New Roman"/>
              </w:rPr>
              <w:t>ț</w:t>
            </w:r>
            <w:r w:rsidRPr="001A64EA">
              <w:rPr>
                <w:rFonts w:ascii="Times New Roman" w:hAnsi="Times New Roman" w:cs="Times New Roman"/>
              </w:rPr>
              <w:t xml:space="preserve">ii de Management </w:t>
            </w:r>
            <w:hyperlink r:id="rId16" w:history="1">
              <w:r w:rsidRPr="001A64EA">
                <w:rPr>
                  <w:rStyle w:val="Hyperlink"/>
                  <w:rFonts w:ascii="Times New Roman" w:hAnsi="Times New Roman" w:cs="Times New Roman"/>
                  <w:color w:val="auto"/>
                </w:rPr>
                <w:t>www.nord-vest.ro</w:t>
              </w:r>
            </w:hyperlink>
            <w:r w:rsidRPr="001A64EA">
              <w:rPr>
                <w:rFonts w:ascii="Times New Roman" w:hAnsi="Times New Roman" w:cs="Times New Roman"/>
              </w:rPr>
              <w:t>.</w:t>
            </w:r>
          </w:p>
          <w:p w14:paraId="0A8000E8" w14:textId="77777777" w:rsidR="00FA297D" w:rsidRPr="001A64EA" w:rsidRDefault="00FA297D" w:rsidP="001A64EA">
            <w:pPr>
              <w:spacing w:after="120" w:line="240" w:lineRule="auto"/>
              <w:jc w:val="both"/>
              <w:rPr>
                <w:rFonts w:ascii="Times New Roman" w:hAnsi="Times New Roman" w:cs="Times New Roman"/>
              </w:rPr>
            </w:pPr>
            <w:r w:rsidRPr="001A64EA">
              <w:rPr>
                <w:rFonts w:ascii="Times New Roman" w:hAnsi="Times New Roman" w:cs="Times New Roman"/>
              </w:rPr>
              <w:t xml:space="preserve">În termen de </w:t>
            </w:r>
            <w:r w:rsidR="00106240" w:rsidRPr="001A64EA">
              <w:rPr>
                <w:rFonts w:ascii="Times New Roman" w:hAnsi="Times New Roman" w:cs="Times New Roman"/>
              </w:rPr>
              <w:t>ș</w:t>
            </w:r>
            <w:r w:rsidRPr="001A64EA">
              <w:rPr>
                <w:rFonts w:ascii="Times New Roman" w:hAnsi="Times New Roman" w:cs="Times New Roman"/>
              </w:rPr>
              <w:t xml:space="preserve">ase luni de la aprobarea programului, </w:t>
            </w:r>
            <w:r w:rsidR="00EE459B" w:rsidRPr="001A64EA">
              <w:rPr>
                <w:rFonts w:ascii="Times New Roman" w:hAnsi="Times New Roman" w:cs="Times New Roman"/>
              </w:rPr>
              <w:t>ADR NORD-VEST</w:t>
            </w:r>
            <w:r w:rsidRPr="001A64EA">
              <w:rPr>
                <w:rFonts w:ascii="Times New Roman" w:hAnsi="Times New Roman" w:cs="Times New Roman"/>
              </w:rPr>
              <w:t xml:space="preserve"> se va asigura c</w:t>
            </w:r>
            <w:r w:rsidR="00BA7827" w:rsidRPr="001A64EA">
              <w:rPr>
                <w:rFonts w:ascii="Times New Roman" w:hAnsi="Times New Roman" w:cs="Times New Roman"/>
              </w:rPr>
              <w:t>ă</w:t>
            </w:r>
            <w:r w:rsidRPr="001A64EA">
              <w:rPr>
                <w:rFonts w:ascii="Times New Roman" w:hAnsi="Times New Roman" w:cs="Times New Roman"/>
              </w:rPr>
              <w:t xml:space="preserve"> site-ul mai sus men</w:t>
            </w:r>
            <w:r w:rsidR="00E22FF2" w:rsidRPr="001A64EA">
              <w:rPr>
                <w:rFonts w:ascii="Times New Roman" w:hAnsi="Times New Roman" w:cs="Times New Roman"/>
              </w:rPr>
              <w:t>ț</w:t>
            </w:r>
            <w:r w:rsidRPr="001A64EA">
              <w:rPr>
                <w:rFonts w:ascii="Times New Roman" w:hAnsi="Times New Roman" w:cs="Times New Roman"/>
              </w:rPr>
              <w:t>ionat cuprinde toate informa</w:t>
            </w:r>
            <w:r w:rsidR="00E22FF2" w:rsidRPr="001A64EA">
              <w:rPr>
                <w:rFonts w:ascii="Times New Roman" w:hAnsi="Times New Roman" w:cs="Times New Roman"/>
              </w:rPr>
              <w:t>ț</w:t>
            </w:r>
            <w:r w:rsidRPr="001A64EA">
              <w:rPr>
                <w:rFonts w:ascii="Times New Roman" w:hAnsi="Times New Roman" w:cs="Times New Roman"/>
              </w:rPr>
              <w:t>iile prev</w:t>
            </w:r>
            <w:r w:rsidR="00BA7827" w:rsidRPr="001A64EA">
              <w:rPr>
                <w:rFonts w:ascii="Times New Roman" w:hAnsi="Times New Roman" w:cs="Times New Roman"/>
              </w:rPr>
              <w:t>ă</w:t>
            </w:r>
            <w:r w:rsidRPr="001A64EA">
              <w:rPr>
                <w:rFonts w:ascii="Times New Roman" w:hAnsi="Times New Roman" w:cs="Times New Roman"/>
              </w:rPr>
              <w:t>zute în Art. 42 RD, inclusiv:  obiectivele, activit</w:t>
            </w:r>
            <w:r w:rsidR="00BA7827" w:rsidRPr="001A64EA">
              <w:rPr>
                <w:rFonts w:ascii="Times New Roman" w:hAnsi="Times New Roman" w:cs="Times New Roman"/>
              </w:rPr>
              <w:t>ă</w:t>
            </w:r>
            <w:r w:rsidR="00E22FF2" w:rsidRPr="001A64EA">
              <w:rPr>
                <w:rFonts w:ascii="Times New Roman" w:hAnsi="Times New Roman" w:cs="Times New Roman"/>
              </w:rPr>
              <w:t>ț</w:t>
            </w:r>
            <w:r w:rsidRPr="001A64EA">
              <w:rPr>
                <w:rFonts w:ascii="Times New Roman" w:hAnsi="Times New Roman" w:cs="Times New Roman"/>
              </w:rPr>
              <w:t>ile, posibilit</w:t>
            </w:r>
            <w:r w:rsidR="00BA7827" w:rsidRPr="001A64EA">
              <w:rPr>
                <w:rFonts w:ascii="Times New Roman" w:hAnsi="Times New Roman" w:cs="Times New Roman"/>
              </w:rPr>
              <w:t>ă</w:t>
            </w:r>
            <w:r w:rsidR="00E22FF2" w:rsidRPr="001A64EA">
              <w:rPr>
                <w:rFonts w:ascii="Times New Roman" w:hAnsi="Times New Roman" w:cs="Times New Roman"/>
              </w:rPr>
              <w:t>ț</w:t>
            </w:r>
            <w:r w:rsidRPr="001A64EA">
              <w:rPr>
                <w:rFonts w:ascii="Times New Roman" w:hAnsi="Times New Roman" w:cs="Times New Roman"/>
              </w:rPr>
              <w:t>ile de finan</w:t>
            </w:r>
            <w:r w:rsidR="00E22FF2" w:rsidRPr="001A64EA">
              <w:rPr>
                <w:rFonts w:ascii="Times New Roman" w:hAnsi="Times New Roman" w:cs="Times New Roman"/>
              </w:rPr>
              <w:t>ț</w:t>
            </w:r>
            <w:r w:rsidRPr="001A64EA">
              <w:rPr>
                <w:rFonts w:ascii="Times New Roman" w:hAnsi="Times New Roman" w:cs="Times New Roman"/>
              </w:rPr>
              <w:t xml:space="preserve">are disponibile </w:t>
            </w:r>
            <w:r w:rsidR="00106240" w:rsidRPr="001A64EA">
              <w:rPr>
                <w:rFonts w:ascii="Times New Roman" w:hAnsi="Times New Roman" w:cs="Times New Roman"/>
              </w:rPr>
              <w:t>ș</w:t>
            </w:r>
            <w:r w:rsidRPr="001A64EA">
              <w:rPr>
                <w:rFonts w:ascii="Times New Roman" w:hAnsi="Times New Roman" w:cs="Times New Roman"/>
              </w:rPr>
              <w:t>i realiz</w:t>
            </w:r>
            <w:r w:rsidR="00BA7827" w:rsidRPr="001A64EA">
              <w:rPr>
                <w:rFonts w:ascii="Times New Roman" w:hAnsi="Times New Roman" w:cs="Times New Roman"/>
              </w:rPr>
              <w:t>ă</w:t>
            </w:r>
            <w:r w:rsidRPr="001A64EA">
              <w:rPr>
                <w:rFonts w:ascii="Times New Roman" w:hAnsi="Times New Roman" w:cs="Times New Roman"/>
              </w:rPr>
              <w:t xml:space="preserve">rile programelor. </w:t>
            </w:r>
          </w:p>
          <w:p w14:paraId="6BAF6C11" w14:textId="77777777" w:rsidR="00FA297D" w:rsidRPr="001A64EA" w:rsidRDefault="00FA297D" w:rsidP="001A64EA">
            <w:pPr>
              <w:spacing w:after="120" w:line="240" w:lineRule="auto"/>
              <w:jc w:val="both"/>
              <w:rPr>
                <w:rFonts w:ascii="Times New Roman" w:hAnsi="Times New Roman" w:cs="Times New Roman"/>
              </w:rPr>
            </w:pPr>
            <w:r w:rsidRPr="001A64EA">
              <w:rPr>
                <w:rFonts w:ascii="Times New Roman" w:hAnsi="Times New Roman" w:cs="Times New Roman"/>
              </w:rPr>
              <w:t>De asemenea,  pe parcursul implement</w:t>
            </w:r>
            <w:r w:rsidR="00BA7827" w:rsidRPr="001A64EA">
              <w:rPr>
                <w:rFonts w:ascii="Times New Roman" w:hAnsi="Times New Roman" w:cs="Times New Roman"/>
              </w:rPr>
              <w:t>ă</w:t>
            </w:r>
            <w:r w:rsidRPr="001A64EA">
              <w:rPr>
                <w:rFonts w:ascii="Times New Roman" w:hAnsi="Times New Roman" w:cs="Times New Roman"/>
              </w:rPr>
              <w:t>rii PO, se vor publica pe site-ul web men</w:t>
            </w:r>
            <w:r w:rsidR="00E22FF2" w:rsidRPr="001A64EA">
              <w:rPr>
                <w:rFonts w:ascii="Times New Roman" w:hAnsi="Times New Roman" w:cs="Times New Roman"/>
              </w:rPr>
              <w:t>ț</w:t>
            </w:r>
            <w:r w:rsidRPr="001A64EA">
              <w:rPr>
                <w:rFonts w:ascii="Times New Roman" w:hAnsi="Times New Roman" w:cs="Times New Roman"/>
              </w:rPr>
              <w:t>ionat mai sus, cu cel târziu cu o lun</w:t>
            </w:r>
            <w:r w:rsidR="00BA7827" w:rsidRPr="001A64EA">
              <w:rPr>
                <w:rFonts w:ascii="Times New Roman" w:hAnsi="Times New Roman" w:cs="Times New Roman"/>
              </w:rPr>
              <w:t>ă</w:t>
            </w:r>
            <w:r w:rsidRPr="001A64EA">
              <w:rPr>
                <w:rFonts w:ascii="Times New Roman" w:hAnsi="Times New Roman" w:cs="Times New Roman"/>
              </w:rPr>
              <w:t xml:space="preserve"> înainte de lansarea unei cereri de propuneri, un rezumat al cererilor de propuneri planificate </w:t>
            </w:r>
            <w:r w:rsidR="00106240" w:rsidRPr="001A64EA">
              <w:rPr>
                <w:rFonts w:ascii="Times New Roman" w:hAnsi="Times New Roman" w:cs="Times New Roman"/>
              </w:rPr>
              <w:t>ș</w:t>
            </w:r>
            <w:r w:rsidRPr="001A64EA">
              <w:rPr>
                <w:rFonts w:ascii="Times New Roman" w:hAnsi="Times New Roman" w:cs="Times New Roman"/>
              </w:rPr>
              <w:t>i publicate con</w:t>
            </w:r>
            <w:r w:rsidR="00E22FF2" w:rsidRPr="001A64EA">
              <w:rPr>
                <w:rFonts w:ascii="Times New Roman" w:hAnsi="Times New Roman" w:cs="Times New Roman"/>
              </w:rPr>
              <w:t>ț</w:t>
            </w:r>
            <w:r w:rsidRPr="001A64EA">
              <w:rPr>
                <w:rFonts w:ascii="Times New Roman" w:hAnsi="Times New Roman" w:cs="Times New Roman"/>
              </w:rPr>
              <w:t>inând urm</w:t>
            </w:r>
            <w:r w:rsidR="00BA7827" w:rsidRPr="001A64EA">
              <w:rPr>
                <w:rFonts w:ascii="Times New Roman" w:hAnsi="Times New Roman" w:cs="Times New Roman"/>
              </w:rPr>
              <w:t>ă</w:t>
            </w:r>
            <w:r w:rsidRPr="001A64EA">
              <w:rPr>
                <w:rFonts w:ascii="Times New Roman" w:hAnsi="Times New Roman" w:cs="Times New Roman"/>
              </w:rPr>
              <w:t>toarele date: (a) zona geografic</w:t>
            </w:r>
            <w:r w:rsidR="00BA7827" w:rsidRPr="001A64EA">
              <w:rPr>
                <w:rFonts w:ascii="Times New Roman" w:hAnsi="Times New Roman" w:cs="Times New Roman"/>
              </w:rPr>
              <w:t>ă</w:t>
            </w:r>
            <w:r w:rsidRPr="001A64EA">
              <w:rPr>
                <w:rFonts w:ascii="Times New Roman" w:hAnsi="Times New Roman" w:cs="Times New Roman"/>
              </w:rPr>
              <w:t xml:space="preserve"> vizat</w:t>
            </w:r>
            <w:r w:rsidR="00BA7827" w:rsidRPr="001A64EA">
              <w:rPr>
                <w:rFonts w:ascii="Times New Roman" w:hAnsi="Times New Roman" w:cs="Times New Roman"/>
              </w:rPr>
              <w:t>ă</w:t>
            </w:r>
            <w:r w:rsidRPr="001A64EA">
              <w:rPr>
                <w:rFonts w:ascii="Times New Roman" w:hAnsi="Times New Roman" w:cs="Times New Roman"/>
              </w:rPr>
              <w:t xml:space="preserve"> de cererea de propuneri; (b) obiectivul de politic</w:t>
            </w:r>
            <w:r w:rsidR="00BA7827" w:rsidRPr="001A64EA">
              <w:rPr>
                <w:rFonts w:ascii="Times New Roman" w:hAnsi="Times New Roman" w:cs="Times New Roman"/>
              </w:rPr>
              <w:t>ă</w:t>
            </w:r>
            <w:r w:rsidRPr="001A64EA">
              <w:rPr>
                <w:rFonts w:ascii="Times New Roman" w:hAnsi="Times New Roman" w:cs="Times New Roman"/>
              </w:rPr>
              <w:t xml:space="preserve"> sau obiectivul specific vizat; (c) tipul de solicitan</w:t>
            </w:r>
            <w:r w:rsidR="00E22FF2" w:rsidRPr="001A64EA">
              <w:rPr>
                <w:rFonts w:ascii="Times New Roman" w:hAnsi="Times New Roman" w:cs="Times New Roman"/>
              </w:rPr>
              <w:t>ț</w:t>
            </w:r>
            <w:r w:rsidRPr="001A64EA">
              <w:rPr>
                <w:rFonts w:ascii="Times New Roman" w:hAnsi="Times New Roman" w:cs="Times New Roman"/>
              </w:rPr>
              <w:t xml:space="preserve">i eligibili; (d) cuantumul total al sprijinului pentru cererea de propuneri; (e) data de începere </w:t>
            </w:r>
            <w:r w:rsidR="00106240" w:rsidRPr="001A64EA">
              <w:rPr>
                <w:rFonts w:ascii="Times New Roman" w:hAnsi="Times New Roman" w:cs="Times New Roman"/>
              </w:rPr>
              <w:t>ș</w:t>
            </w:r>
            <w:r w:rsidRPr="001A64EA">
              <w:rPr>
                <w:rFonts w:ascii="Times New Roman" w:hAnsi="Times New Roman" w:cs="Times New Roman"/>
              </w:rPr>
              <w:t xml:space="preserve">i de încheiere a cererii de propuneri. </w:t>
            </w:r>
          </w:p>
          <w:p w14:paraId="260F10BF" w14:textId="77777777" w:rsidR="00653571" w:rsidRPr="001A64EA" w:rsidRDefault="00FA297D" w:rsidP="001A64EA">
            <w:pPr>
              <w:spacing w:after="120" w:line="240" w:lineRule="auto"/>
              <w:jc w:val="both"/>
              <w:rPr>
                <w:rFonts w:ascii="Times New Roman" w:hAnsi="Times New Roman" w:cs="Times New Roman"/>
              </w:rPr>
            </w:pPr>
            <w:r w:rsidRPr="001A64EA">
              <w:rPr>
                <w:rFonts w:ascii="Times New Roman" w:hAnsi="Times New Roman" w:cs="Times New Roman"/>
              </w:rPr>
              <w:t>Pentru a sus</w:t>
            </w:r>
            <w:r w:rsidR="00E22FF2" w:rsidRPr="001A64EA">
              <w:rPr>
                <w:rFonts w:ascii="Times New Roman" w:hAnsi="Times New Roman" w:cs="Times New Roman"/>
              </w:rPr>
              <w:t>ț</w:t>
            </w:r>
            <w:r w:rsidRPr="001A64EA">
              <w:rPr>
                <w:rFonts w:ascii="Times New Roman" w:hAnsi="Times New Roman" w:cs="Times New Roman"/>
              </w:rPr>
              <w:t>ine deplina transparen</w:t>
            </w:r>
            <w:r w:rsidR="00E22FF2" w:rsidRPr="001A64EA">
              <w:rPr>
                <w:rFonts w:ascii="Times New Roman" w:hAnsi="Times New Roman" w:cs="Times New Roman"/>
              </w:rPr>
              <w:t>ț</w:t>
            </w:r>
            <w:r w:rsidR="00BA7827" w:rsidRPr="001A64EA">
              <w:rPr>
                <w:rFonts w:ascii="Times New Roman" w:hAnsi="Times New Roman" w:cs="Times New Roman"/>
              </w:rPr>
              <w:t>ă</w:t>
            </w:r>
            <w:r w:rsidRPr="001A64EA">
              <w:rPr>
                <w:rFonts w:ascii="Times New Roman" w:hAnsi="Times New Roman" w:cs="Times New Roman"/>
              </w:rPr>
              <w:t xml:space="preserve"> în ceea ce prive</w:t>
            </w:r>
            <w:r w:rsidR="00106240" w:rsidRPr="001A64EA">
              <w:rPr>
                <w:rFonts w:ascii="Times New Roman" w:hAnsi="Times New Roman" w:cs="Times New Roman"/>
              </w:rPr>
              <w:t>ș</w:t>
            </w:r>
            <w:r w:rsidRPr="001A64EA">
              <w:rPr>
                <w:rFonts w:ascii="Times New Roman" w:hAnsi="Times New Roman" w:cs="Times New Roman"/>
              </w:rPr>
              <w:t xml:space="preserve">te implementarea POR NV, ADR, în calitate de Autoritate de Management, se va asigura de publicarea datelor cu privire la progresul fizic </w:t>
            </w:r>
            <w:r w:rsidR="00106240" w:rsidRPr="001A64EA">
              <w:rPr>
                <w:rFonts w:ascii="Times New Roman" w:hAnsi="Times New Roman" w:cs="Times New Roman"/>
              </w:rPr>
              <w:t>ș</w:t>
            </w:r>
            <w:r w:rsidRPr="001A64EA">
              <w:rPr>
                <w:rFonts w:ascii="Times New Roman" w:hAnsi="Times New Roman" w:cs="Times New Roman"/>
              </w:rPr>
              <w:t xml:space="preserve">i financiar al programului </w:t>
            </w:r>
            <w:r w:rsidR="00106240" w:rsidRPr="001A64EA">
              <w:rPr>
                <w:rFonts w:ascii="Times New Roman" w:hAnsi="Times New Roman" w:cs="Times New Roman"/>
              </w:rPr>
              <w:t>ș</w:t>
            </w:r>
            <w:r w:rsidRPr="001A64EA">
              <w:rPr>
                <w:rFonts w:ascii="Times New Roman" w:hAnsi="Times New Roman" w:cs="Times New Roman"/>
              </w:rPr>
              <w:t xml:space="preserve">i în formate deschise </w:t>
            </w:r>
            <w:r w:rsidR="00106240" w:rsidRPr="001A64EA">
              <w:rPr>
                <w:rFonts w:ascii="Times New Roman" w:hAnsi="Times New Roman" w:cs="Times New Roman"/>
              </w:rPr>
              <w:t>ș</w:t>
            </w:r>
            <w:r w:rsidRPr="001A64EA">
              <w:rPr>
                <w:rFonts w:ascii="Times New Roman" w:hAnsi="Times New Roman" w:cs="Times New Roman"/>
              </w:rPr>
              <w:t>i editabile automat, care permit sortarea, c</w:t>
            </w:r>
            <w:r w:rsidR="00BA7827" w:rsidRPr="001A64EA">
              <w:rPr>
                <w:rFonts w:ascii="Times New Roman" w:hAnsi="Times New Roman" w:cs="Times New Roman"/>
              </w:rPr>
              <w:t>ă</w:t>
            </w:r>
            <w:r w:rsidRPr="001A64EA">
              <w:rPr>
                <w:rFonts w:ascii="Times New Roman" w:hAnsi="Times New Roman" w:cs="Times New Roman"/>
              </w:rPr>
              <w:t xml:space="preserve">utarea, extragerea, compararea </w:t>
            </w:r>
            <w:r w:rsidR="00106240" w:rsidRPr="001A64EA">
              <w:rPr>
                <w:rFonts w:ascii="Times New Roman" w:hAnsi="Times New Roman" w:cs="Times New Roman"/>
              </w:rPr>
              <w:t>ș</w:t>
            </w:r>
            <w:r w:rsidRPr="001A64EA">
              <w:rPr>
                <w:rFonts w:ascii="Times New Roman" w:hAnsi="Times New Roman" w:cs="Times New Roman"/>
              </w:rPr>
              <w:t>i reutilizarea datelor.</w:t>
            </w:r>
          </w:p>
          <w:p w14:paraId="2B02294F" w14:textId="4A4DC984" w:rsidR="00EF5438" w:rsidRPr="001A64EA" w:rsidRDefault="00EF5438" w:rsidP="001A64EA">
            <w:pPr>
              <w:spacing w:after="120" w:line="240" w:lineRule="auto"/>
              <w:jc w:val="both"/>
              <w:rPr>
                <w:rFonts w:ascii="Times New Roman" w:hAnsi="Times New Roman" w:cs="Times New Roman"/>
              </w:rPr>
            </w:pPr>
            <w:r w:rsidRPr="001A64EA">
              <w:rPr>
                <w:rFonts w:ascii="Times New Roman" w:hAnsi="Times New Roman" w:cs="Times New Roman"/>
              </w:rPr>
              <w:t xml:space="preserve">Procesul de comunicare POR Nord –Vest va </w:t>
            </w:r>
            <w:proofErr w:type="spellStart"/>
            <w:r w:rsidRPr="001A64EA">
              <w:rPr>
                <w:rFonts w:ascii="Times New Roman" w:hAnsi="Times New Roman" w:cs="Times New Roman"/>
              </w:rPr>
              <w:t>urmari</w:t>
            </w:r>
            <w:proofErr w:type="spellEnd"/>
            <w:r w:rsidRPr="001A64EA">
              <w:rPr>
                <w:rFonts w:ascii="Times New Roman" w:hAnsi="Times New Roman" w:cs="Times New Roman"/>
              </w:rPr>
              <w:t xml:space="preserve"> atingerea </w:t>
            </w:r>
            <w:proofErr w:type="spellStart"/>
            <w:r w:rsidRPr="001A64EA">
              <w:rPr>
                <w:rFonts w:ascii="Times New Roman" w:hAnsi="Times New Roman" w:cs="Times New Roman"/>
              </w:rPr>
              <w:t>urmatoarelor</w:t>
            </w:r>
            <w:proofErr w:type="spellEnd"/>
            <w:r w:rsidRPr="001A64EA">
              <w:rPr>
                <w:rFonts w:ascii="Times New Roman" w:hAnsi="Times New Roman" w:cs="Times New Roman"/>
              </w:rPr>
              <w:t xml:space="preserve"> obiective: </w:t>
            </w:r>
          </w:p>
          <w:p w14:paraId="0CF77ED7" w14:textId="77777777" w:rsidR="00EF5438" w:rsidRPr="001A64EA" w:rsidRDefault="00EF5438" w:rsidP="001A64EA">
            <w:pPr>
              <w:spacing w:after="120" w:line="240" w:lineRule="auto"/>
              <w:jc w:val="both"/>
              <w:rPr>
                <w:rFonts w:ascii="Times New Roman" w:hAnsi="Times New Roman" w:cs="Times New Roman"/>
              </w:rPr>
            </w:pPr>
            <w:r w:rsidRPr="001A64EA">
              <w:rPr>
                <w:rFonts w:ascii="Times New Roman" w:hAnsi="Times New Roman" w:cs="Times New Roman"/>
              </w:rPr>
              <w:t xml:space="preserve">1. Promovarea </w:t>
            </w:r>
            <w:proofErr w:type="spellStart"/>
            <w:r w:rsidRPr="001A64EA">
              <w:rPr>
                <w:rFonts w:ascii="Times New Roman" w:hAnsi="Times New Roman" w:cs="Times New Roman"/>
              </w:rPr>
              <w:t>contributiei</w:t>
            </w:r>
            <w:proofErr w:type="spellEnd"/>
            <w:r w:rsidRPr="001A64EA">
              <w:rPr>
                <w:rFonts w:ascii="Times New Roman" w:hAnsi="Times New Roman" w:cs="Times New Roman"/>
              </w:rPr>
              <w:t xml:space="preserve"> programului la dezvoltarea regiunii,</w:t>
            </w:r>
          </w:p>
          <w:p w14:paraId="0DC9A7FE" w14:textId="77777777" w:rsidR="00EF5438" w:rsidRPr="001A64EA" w:rsidRDefault="00EF5438" w:rsidP="001A64EA">
            <w:pPr>
              <w:spacing w:after="120" w:line="240" w:lineRule="auto"/>
              <w:jc w:val="both"/>
              <w:rPr>
                <w:rFonts w:ascii="Times New Roman" w:hAnsi="Times New Roman" w:cs="Times New Roman"/>
              </w:rPr>
            </w:pPr>
            <w:r w:rsidRPr="001A64EA">
              <w:rPr>
                <w:rFonts w:ascii="Times New Roman" w:hAnsi="Times New Roman" w:cs="Times New Roman"/>
              </w:rPr>
              <w:t xml:space="preserve">2. Informarea categoriilor de </w:t>
            </w:r>
            <w:proofErr w:type="spellStart"/>
            <w:r w:rsidRPr="001A64EA">
              <w:rPr>
                <w:rFonts w:ascii="Times New Roman" w:hAnsi="Times New Roman" w:cs="Times New Roman"/>
              </w:rPr>
              <w:t>potentiali</w:t>
            </w:r>
            <w:proofErr w:type="spellEnd"/>
            <w:r w:rsidRPr="001A64EA">
              <w:rPr>
                <w:rFonts w:ascii="Times New Roman" w:hAnsi="Times New Roman" w:cs="Times New Roman"/>
              </w:rPr>
              <w:t xml:space="preserve"> beneficiari cu privire la </w:t>
            </w:r>
            <w:proofErr w:type="spellStart"/>
            <w:r w:rsidRPr="001A64EA">
              <w:rPr>
                <w:rFonts w:ascii="Times New Roman" w:hAnsi="Times New Roman" w:cs="Times New Roman"/>
              </w:rPr>
              <w:t>conditiile</w:t>
            </w:r>
            <w:proofErr w:type="spellEnd"/>
            <w:r w:rsidRPr="001A64EA">
              <w:rPr>
                <w:rFonts w:ascii="Times New Roman" w:hAnsi="Times New Roman" w:cs="Times New Roman"/>
              </w:rPr>
              <w:t xml:space="preserve"> de accesare a </w:t>
            </w:r>
            <w:proofErr w:type="spellStart"/>
            <w:r w:rsidRPr="001A64EA">
              <w:rPr>
                <w:rFonts w:ascii="Times New Roman" w:hAnsi="Times New Roman" w:cs="Times New Roman"/>
              </w:rPr>
              <w:t>finantarilor</w:t>
            </w:r>
            <w:proofErr w:type="spellEnd"/>
            <w:r w:rsidRPr="001A64EA">
              <w:rPr>
                <w:rFonts w:ascii="Times New Roman" w:hAnsi="Times New Roman" w:cs="Times New Roman"/>
              </w:rPr>
              <w:t xml:space="preserve"> POR Nord – Vest </w:t>
            </w:r>
          </w:p>
          <w:p w14:paraId="0C3E835C" w14:textId="77777777" w:rsidR="00EF5438" w:rsidRPr="001A64EA" w:rsidRDefault="00EF5438" w:rsidP="001A64EA">
            <w:pPr>
              <w:spacing w:after="120" w:line="240" w:lineRule="auto"/>
              <w:jc w:val="both"/>
              <w:rPr>
                <w:rFonts w:ascii="Times New Roman" w:hAnsi="Times New Roman" w:cs="Times New Roman"/>
              </w:rPr>
            </w:pPr>
            <w:r w:rsidRPr="001A64EA">
              <w:rPr>
                <w:rFonts w:ascii="Times New Roman" w:hAnsi="Times New Roman" w:cs="Times New Roman"/>
              </w:rPr>
              <w:t xml:space="preserve">3. Informarea beneficiarilor cu privire la </w:t>
            </w:r>
            <w:proofErr w:type="spellStart"/>
            <w:r w:rsidRPr="001A64EA">
              <w:rPr>
                <w:rFonts w:ascii="Times New Roman" w:hAnsi="Times New Roman" w:cs="Times New Roman"/>
              </w:rPr>
              <w:t>obligatiile</w:t>
            </w:r>
            <w:proofErr w:type="spellEnd"/>
            <w:r w:rsidRPr="001A64EA">
              <w:rPr>
                <w:rFonts w:ascii="Times New Roman" w:hAnsi="Times New Roman" w:cs="Times New Roman"/>
              </w:rPr>
              <w:t xml:space="preserve"> ce decurg din contractul de </w:t>
            </w:r>
            <w:proofErr w:type="spellStart"/>
            <w:r w:rsidRPr="001A64EA">
              <w:rPr>
                <w:rFonts w:ascii="Times New Roman" w:hAnsi="Times New Roman" w:cs="Times New Roman"/>
              </w:rPr>
              <w:t>finantare</w:t>
            </w:r>
            <w:proofErr w:type="spellEnd"/>
            <w:r w:rsidRPr="001A64EA">
              <w:rPr>
                <w:rFonts w:ascii="Times New Roman" w:hAnsi="Times New Roman" w:cs="Times New Roman"/>
              </w:rPr>
              <w:t xml:space="preserve">, regulile de identitate vizuala, procedurile pe care trebuie sa le respecte pe parcursul </w:t>
            </w:r>
            <w:proofErr w:type="spellStart"/>
            <w:r w:rsidRPr="001A64EA">
              <w:rPr>
                <w:rFonts w:ascii="Times New Roman" w:hAnsi="Times New Roman" w:cs="Times New Roman"/>
              </w:rPr>
              <w:t>implementarii</w:t>
            </w:r>
            <w:proofErr w:type="spellEnd"/>
            <w:r w:rsidRPr="001A64EA">
              <w:rPr>
                <w:rFonts w:ascii="Times New Roman" w:hAnsi="Times New Roman" w:cs="Times New Roman"/>
              </w:rPr>
              <w:t xml:space="preserve"> proiectelor, in vederea </w:t>
            </w:r>
            <w:proofErr w:type="spellStart"/>
            <w:r w:rsidRPr="001A64EA">
              <w:rPr>
                <w:rFonts w:ascii="Times New Roman" w:hAnsi="Times New Roman" w:cs="Times New Roman"/>
              </w:rPr>
              <w:t>asigurarii</w:t>
            </w:r>
            <w:proofErr w:type="spellEnd"/>
            <w:r w:rsidRPr="001A64EA">
              <w:rPr>
                <w:rFonts w:ascii="Times New Roman" w:hAnsi="Times New Roman" w:cs="Times New Roman"/>
              </w:rPr>
              <w:t xml:space="preserve"> </w:t>
            </w:r>
            <w:proofErr w:type="spellStart"/>
            <w:r w:rsidRPr="001A64EA">
              <w:rPr>
                <w:rFonts w:ascii="Times New Roman" w:hAnsi="Times New Roman" w:cs="Times New Roman"/>
              </w:rPr>
              <w:t>absorbtiei</w:t>
            </w:r>
            <w:proofErr w:type="spellEnd"/>
            <w:r w:rsidRPr="001A64EA">
              <w:rPr>
                <w:rFonts w:ascii="Times New Roman" w:hAnsi="Times New Roman" w:cs="Times New Roman"/>
              </w:rPr>
              <w:t xml:space="preserve"> fondurilor alocate regiunii </w:t>
            </w:r>
          </w:p>
          <w:p w14:paraId="554209DB" w14:textId="77777777" w:rsidR="00EF5438" w:rsidRPr="001A64EA" w:rsidRDefault="00EF5438" w:rsidP="001A64EA">
            <w:pPr>
              <w:spacing w:after="120" w:line="240" w:lineRule="auto"/>
              <w:jc w:val="both"/>
              <w:rPr>
                <w:rFonts w:ascii="Times New Roman" w:hAnsi="Times New Roman" w:cs="Times New Roman"/>
              </w:rPr>
            </w:pPr>
            <w:r w:rsidRPr="001A64EA">
              <w:rPr>
                <w:rFonts w:ascii="Times New Roman" w:hAnsi="Times New Roman" w:cs="Times New Roman"/>
              </w:rPr>
              <w:t xml:space="preserve">4. Asigurarea </w:t>
            </w:r>
            <w:proofErr w:type="spellStart"/>
            <w:r w:rsidRPr="001A64EA">
              <w:rPr>
                <w:rFonts w:ascii="Times New Roman" w:hAnsi="Times New Roman" w:cs="Times New Roman"/>
              </w:rPr>
              <w:t>vizibilitatii</w:t>
            </w:r>
            <w:proofErr w:type="spellEnd"/>
            <w:r w:rsidRPr="001A64EA">
              <w:rPr>
                <w:rFonts w:ascii="Times New Roman" w:hAnsi="Times New Roman" w:cs="Times New Roman"/>
              </w:rPr>
              <w:t xml:space="preserve"> deciziilor si </w:t>
            </w:r>
            <w:proofErr w:type="spellStart"/>
            <w:r w:rsidRPr="001A64EA">
              <w:rPr>
                <w:rFonts w:ascii="Times New Roman" w:hAnsi="Times New Roman" w:cs="Times New Roman"/>
              </w:rPr>
              <w:t>actiunilor</w:t>
            </w:r>
            <w:proofErr w:type="spellEnd"/>
            <w:r w:rsidRPr="001A64EA">
              <w:rPr>
                <w:rFonts w:ascii="Times New Roman" w:hAnsi="Times New Roman" w:cs="Times New Roman"/>
              </w:rPr>
              <w:t xml:space="preserve"> ADR Nord-Vest in calitate de AM POR. </w:t>
            </w:r>
          </w:p>
          <w:p w14:paraId="6181018E" w14:textId="77777777" w:rsidR="00EF5438" w:rsidRPr="001A64EA" w:rsidRDefault="00EF5438" w:rsidP="001A64EA">
            <w:pPr>
              <w:spacing w:after="120" w:line="240" w:lineRule="auto"/>
              <w:jc w:val="both"/>
              <w:rPr>
                <w:rFonts w:ascii="Times New Roman" w:hAnsi="Times New Roman" w:cs="Times New Roman"/>
              </w:rPr>
            </w:pPr>
          </w:p>
          <w:p w14:paraId="2D258D1D" w14:textId="77777777" w:rsidR="00EF5438" w:rsidRPr="001A64EA" w:rsidRDefault="00EF5438" w:rsidP="001A64EA">
            <w:pPr>
              <w:spacing w:after="120" w:line="240" w:lineRule="auto"/>
              <w:jc w:val="both"/>
              <w:rPr>
                <w:rFonts w:ascii="Times New Roman" w:hAnsi="Times New Roman" w:cs="Times New Roman"/>
              </w:rPr>
            </w:pPr>
            <w:proofErr w:type="spellStart"/>
            <w:r w:rsidRPr="001A64EA">
              <w:rPr>
                <w:rFonts w:ascii="Times New Roman" w:hAnsi="Times New Roman" w:cs="Times New Roman"/>
              </w:rPr>
              <w:lastRenderedPageBreak/>
              <w:t>Avand</w:t>
            </w:r>
            <w:proofErr w:type="spellEnd"/>
            <w:r w:rsidRPr="001A64EA">
              <w:rPr>
                <w:rFonts w:ascii="Times New Roman" w:hAnsi="Times New Roman" w:cs="Times New Roman"/>
              </w:rPr>
              <w:t xml:space="preserve"> in vedere rezultatele </w:t>
            </w:r>
            <w:proofErr w:type="spellStart"/>
            <w:r w:rsidRPr="001A64EA">
              <w:rPr>
                <w:rFonts w:ascii="Times New Roman" w:hAnsi="Times New Roman" w:cs="Times New Roman"/>
              </w:rPr>
              <w:t>obtinute</w:t>
            </w:r>
            <w:proofErr w:type="spellEnd"/>
            <w:r w:rsidRPr="001A64EA">
              <w:rPr>
                <w:rFonts w:ascii="Times New Roman" w:hAnsi="Times New Roman" w:cs="Times New Roman"/>
              </w:rPr>
              <w:t xml:space="preserve"> in perioadele anterioare de programare, pentru promovarea POR 2021 – 2027 se va utiliza </w:t>
            </w:r>
            <w:proofErr w:type="spellStart"/>
            <w:r w:rsidRPr="001A64EA">
              <w:rPr>
                <w:rFonts w:ascii="Times New Roman" w:hAnsi="Times New Roman" w:cs="Times New Roman"/>
              </w:rPr>
              <w:t>mixul</w:t>
            </w:r>
            <w:proofErr w:type="spellEnd"/>
            <w:r w:rsidRPr="001A64EA">
              <w:rPr>
                <w:rFonts w:ascii="Times New Roman" w:hAnsi="Times New Roman" w:cs="Times New Roman"/>
              </w:rPr>
              <w:t xml:space="preserve"> de canale ce si-a dovedit eficienta, dar </w:t>
            </w:r>
            <w:proofErr w:type="spellStart"/>
            <w:r w:rsidRPr="001A64EA">
              <w:rPr>
                <w:rFonts w:ascii="Times New Roman" w:hAnsi="Times New Roman" w:cs="Times New Roman"/>
              </w:rPr>
              <w:t>abordand</w:t>
            </w:r>
            <w:proofErr w:type="spellEnd"/>
            <w:r w:rsidRPr="001A64EA">
              <w:rPr>
                <w:rFonts w:ascii="Times New Roman" w:hAnsi="Times New Roman" w:cs="Times New Roman"/>
              </w:rPr>
              <w:t xml:space="preserve"> cu prioritate mijloacele pentru comunicarea online: </w:t>
            </w:r>
          </w:p>
          <w:p w14:paraId="14A353ED" w14:textId="77777777" w:rsidR="00EF5438" w:rsidRPr="001A64EA" w:rsidRDefault="00EF5438" w:rsidP="001A64EA">
            <w:pPr>
              <w:pStyle w:val="ListParagraph"/>
              <w:numPr>
                <w:ilvl w:val="0"/>
                <w:numId w:val="78"/>
              </w:numPr>
              <w:spacing w:before="0" w:line="240" w:lineRule="auto"/>
              <w:jc w:val="both"/>
              <w:rPr>
                <w:sz w:val="22"/>
                <w:szCs w:val="20"/>
              </w:rPr>
            </w:pPr>
            <w:r w:rsidRPr="001A64EA">
              <w:rPr>
                <w:sz w:val="22"/>
                <w:szCs w:val="20"/>
              </w:rPr>
              <w:t xml:space="preserve">Webpage </w:t>
            </w:r>
            <w:proofErr w:type="spellStart"/>
            <w:r w:rsidRPr="001A64EA">
              <w:rPr>
                <w:sz w:val="22"/>
                <w:szCs w:val="20"/>
              </w:rPr>
              <w:t>dedicat</w:t>
            </w:r>
            <w:proofErr w:type="spellEnd"/>
            <w:r w:rsidRPr="001A64EA">
              <w:rPr>
                <w:sz w:val="22"/>
                <w:szCs w:val="20"/>
              </w:rPr>
              <w:t xml:space="preserve"> </w:t>
            </w:r>
            <w:proofErr w:type="spellStart"/>
            <w:r w:rsidRPr="001A64EA">
              <w:rPr>
                <w:sz w:val="22"/>
                <w:szCs w:val="20"/>
              </w:rPr>
              <w:t>dezvoltat</w:t>
            </w:r>
            <w:proofErr w:type="spellEnd"/>
            <w:r w:rsidRPr="001A64EA">
              <w:rPr>
                <w:sz w:val="22"/>
                <w:szCs w:val="20"/>
              </w:rPr>
              <w:t xml:space="preserve"> in </w:t>
            </w:r>
            <w:proofErr w:type="spellStart"/>
            <w:r w:rsidRPr="001A64EA">
              <w:rPr>
                <w:sz w:val="22"/>
                <w:szCs w:val="20"/>
              </w:rPr>
              <w:t>conformitate</w:t>
            </w:r>
            <w:proofErr w:type="spellEnd"/>
            <w:r w:rsidRPr="001A64EA">
              <w:rPr>
                <w:sz w:val="22"/>
                <w:szCs w:val="20"/>
              </w:rPr>
              <w:t xml:space="preserve"> cu </w:t>
            </w:r>
            <w:proofErr w:type="spellStart"/>
            <w:r w:rsidRPr="001A64EA">
              <w:rPr>
                <w:sz w:val="22"/>
                <w:szCs w:val="20"/>
              </w:rPr>
              <w:t>prevederile</w:t>
            </w:r>
            <w:proofErr w:type="spellEnd"/>
            <w:r w:rsidRPr="001A64EA">
              <w:rPr>
                <w:sz w:val="22"/>
                <w:szCs w:val="20"/>
              </w:rPr>
              <w:t xml:space="preserve"> Art 4, RDC </w:t>
            </w:r>
            <w:proofErr w:type="spellStart"/>
            <w:r w:rsidRPr="001A64EA">
              <w:rPr>
                <w:sz w:val="22"/>
                <w:szCs w:val="20"/>
              </w:rPr>
              <w:t>cuprinzand</w:t>
            </w:r>
            <w:proofErr w:type="spellEnd"/>
            <w:r w:rsidRPr="001A64EA">
              <w:rPr>
                <w:sz w:val="22"/>
                <w:szCs w:val="20"/>
              </w:rPr>
              <w:t xml:space="preserve"> </w:t>
            </w:r>
            <w:proofErr w:type="spellStart"/>
            <w:r w:rsidRPr="001A64EA">
              <w:rPr>
                <w:sz w:val="22"/>
                <w:szCs w:val="20"/>
              </w:rPr>
              <w:t>obiectivele</w:t>
            </w:r>
            <w:proofErr w:type="spellEnd"/>
            <w:r w:rsidRPr="001A64EA">
              <w:rPr>
                <w:sz w:val="22"/>
                <w:szCs w:val="20"/>
              </w:rPr>
              <w:t xml:space="preserve">, </w:t>
            </w:r>
            <w:proofErr w:type="spellStart"/>
            <w:r w:rsidRPr="001A64EA">
              <w:rPr>
                <w:sz w:val="22"/>
                <w:szCs w:val="20"/>
              </w:rPr>
              <w:t>activitatile</w:t>
            </w:r>
            <w:proofErr w:type="spellEnd"/>
            <w:r w:rsidRPr="001A64EA">
              <w:rPr>
                <w:sz w:val="22"/>
                <w:szCs w:val="20"/>
              </w:rPr>
              <w:t xml:space="preserve">, </w:t>
            </w:r>
            <w:proofErr w:type="spellStart"/>
            <w:r w:rsidRPr="001A64EA">
              <w:rPr>
                <w:sz w:val="22"/>
                <w:szCs w:val="20"/>
              </w:rPr>
              <w:t>oportunitatile</w:t>
            </w:r>
            <w:proofErr w:type="spellEnd"/>
            <w:r w:rsidRPr="001A64EA">
              <w:rPr>
                <w:sz w:val="22"/>
                <w:szCs w:val="20"/>
              </w:rPr>
              <w:t xml:space="preserve"> de </w:t>
            </w:r>
            <w:proofErr w:type="spellStart"/>
            <w:r w:rsidRPr="001A64EA">
              <w:rPr>
                <w:sz w:val="22"/>
                <w:szCs w:val="20"/>
              </w:rPr>
              <w:t>finantare</w:t>
            </w:r>
            <w:proofErr w:type="spellEnd"/>
            <w:r w:rsidRPr="001A64EA">
              <w:rPr>
                <w:sz w:val="22"/>
                <w:szCs w:val="20"/>
              </w:rPr>
              <w:t xml:space="preserve"> </w:t>
            </w:r>
            <w:proofErr w:type="spellStart"/>
            <w:r w:rsidRPr="001A64EA">
              <w:rPr>
                <w:sz w:val="22"/>
                <w:szCs w:val="20"/>
              </w:rPr>
              <w:t>disponibile</w:t>
            </w:r>
            <w:proofErr w:type="spellEnd"/>
            <w:r w:rsidRPr="001A64EA">
              <w:rPr>
                <w:sz w:val="22"/>
                <w:szCs w:val="20"/>
              </w:rPr>
              <w:t xml:space="preserve"> </w:t>
            </w:r>
            <w:proofErr w:type="spellStart"/>
            <w:r w:rsidRPr="001A64EA">
              <w:rPr>
                <w:sz w:val="22"/>
                <w:szCs w:val="20"/>
              </w:rPr>
              <w:t>si</w:t>
            </w:r>
            <w:proofErr w:type="spellEnd"/>
            <w:r w:rsidRPr="001A64EA">
              <w:rPr>
                <w:sz w:val="22"/>
                <w:szCs w:val="20"/>
              </w:rPr>
              <w:t xml:space="preserve"> </w:t>
            </w:r>
            <w:proofErr w:type="spellStart"/>
            <w:r w:rsidRPr="001A64EA">
              <w:rPr>
                <w:sz w:val="22"/>
                <w:szCs w:val="20"/>
              </w:rPr>
              <w:t>realizarile</w:t>
            </w:r>
            <w:proofErr w:type="spellEnd"/>
            <w:r w:rsidRPr="001A64EA">
              <w:rPr>
                <w:sz w:val="22"/>
                <w:szCs w:val="20"/>
              </w:rPr>
              <w:t xml:space="preserve"> </w:t>
            </w:r>
            <w:proofErr w:type="spellStart"/>
            <w:r w:rsidRPr="001A64EA">
              <w:rPr>
                <w:sz w:val="22"/>
                <w:szCs w:val="20"/>
              </w:rPr>
              <w:t>programului</w:t>
            </w:r>
            <w:proofErr w:type="spellEnd"/>
            <w:r w:rsidRPr="001A64EA">
              <w:rPr>
                <w:sz w:val="22"/>
                <w:szCs w:val="20"/>
              </w:rPr>
              <w:t>.</w:t>
            </w:r>
          </w:p>
          <w:p w14:paraId="58D75C06" w14:textId="77777777" w:rsidR="00EF5438" w:rsidRPr="001A64EA" w:rsidRDefault="00EF5438" w:rsidP="001A64EA">
            <w:pPr>
              <w:pStyle w:val="ListParagraph"/>
              <w:numPr>
                <w:ilvl w:val="0"/>
                <w:numId w:val="78"/>
              </w:numPr>
              <w:spacing w:before="0" w:line="240" w:lineRule="auto"/>
              <w:jc w:val="both"/>
              <w:rPr>
                <w:sz w:val="22"/>
                <w:szCs w:val="20"/>
              </w:rPr>
            </w:pPr>
            <w:r w:rsidRPr="001A64EA">
              <w:rPr>
                <w:sz w:val="22"/>
                <w:szCs w:val="20"/>
              </w:rPr>
              <w:t>Social Media (</w:t>
            </w:r>
            <w:proofErr w:type="spellStart"/>
            <w:r w:rsidRPr="001A64EA">
              <w:rPr>
                <w:sz w:val="22"/>
                <w:szCs w:val="20"/>
              </w:rPr>
              <w:t>pagini</w:t>
            </w:r>
            <w:proofErr w:type="spellEnd"/>
            <w:r w:rsidRPr="001A64EA">
              <w:rPr>
                <w:sz w:val="22"/>
                <w:szCs w:val="20"/>
              </w:rPr>
              <w:t xml:space="preserve"> </w:t>
            </w:r>
            <w:proofErr w:type="spellStart"/>
            <w:r w:rsidRPr="001A64EA">
              <w:rPr>
                <w:sz w:val="22"/>
                <w:szCs w:val="20"/>
              </w:rPr>
              <w:t>gestionate</w:t>
            </w:r>
            <w:proofErr w:type="spellEnd"/>
            <w:r w:rsidRPr="001A64EA">
              <w:rPr>
                <w:sz w:val="22"/>
                <w:szCs w:val="20"/>
              </w:rPr>
              <w:t xml:space="preserve"> AM POR) </w:t>
            </w:r>
            <w:proofErr w:type="spellStart"/>
            <w:r w:rsidRPr="001A64EA">
              <w:rPr>
                <w:sz w:val="22"/>
                <w:szCs w:val="20"/>
              </w:rPr>
              <w:t>ce</w:t>
            </w:r>
            <w:proofErr w:type="spellEnd"/>
            <w:r w:rsidRPr="001A64EA">
              <w:rPr>
                <w:sz w:val="22"/>
                <w:szCs w:val="20"/>
              </w:rPr>
              <w:t xml:space="preserve"> </w:t>
            </w:r>
            <w:proofErr w:type="spellStart"/>
            <w:r w:rsidRPr="001A64EA">
              <w:rPr>
                <w:sz w:val="22"/>
                <w:szCs w:val="20"/>
              </w:rPr>
              <w:t>va</w:t>
            </w:r>
            <w:proofErr w:type="spellEnd"/>
            <w:r w:rsidRPr="001A64EA">
              <w:rPr>
                <w:sz w:val="22"/>
                <w:szCs w:val="20"/>
              </w:rPr>
              <w:t xml:space="preserve"> </w:t>
            </w:r>
            <w:proofErr w:type="spellStart"/>
            <w:r w:rsidRPr="001A64EA">
              <w:rPr>
                <w:sz w:val="22"/>
                <w:szCs w:val="20"/>
              </w:rPr>
              <w:t>viza</w:t>
            </w:r>
            <w:proofErr w:type="spellEnd"/>
            <w:r w:rsidRPr="001A64EA">
              <w:rPr>
                <w:sz w:val="22"/>
                <w:szCs w:val="20"/>
              </w:rPr>
              <w:t xml:space="preserve"> in principal </w:t>
            </w:r>
            <w:proofErr w:type="spellStart"/>
            <w:r w:rsidRPr="001A64EA">
              <w:rPr>
                <w:sz w:val="22"/>
                <w:szCs w:val="20"/>
              </w:rPr>
              <w:t>publicul</w:t>
            </w:r>
            <w:proofErr w:type="spellEnd"/>
            <w:r w:rsidRPr="001A64EA">
              <w:rPr>
                <w:sz w:val="22"/>
                <w:szCs w:val="20"/>
              </w:rPr>
              <w:t xml:space="preserve"> general, </w:t>
            </w:r>
            <w:proofErr w:type="spellStart"/>
            <w:r w:rsidRPr="001A64EA">
              <w:rPr>
                <w:sz w:val="22"/>
                <w:szCs w:val="20"/>
              </w:rPr>
              <w:t>subliniind</w:t>
            </w:r>
            <w:proofErr w:type="spellEnd"/>
            <w:r w:rsidRPr="001A64EA">
              <w:rPr>
                <w:sz w:val="22"/>
                <w:szCs w:val="20"/>
              </w:rPr>
              <w:t xml:space="preserve"> </w:t>
            </w:r>
            <w:proofErr w:type="spellStart"/>
            <w:r w:rsidRPr="001A64EA">
              <w:rPr>
                <w:sz w:val="22"/>
                <w:szCs w:val="20"/>
              </w:rPr>
              <w:t>efectele</w:t>
            </w:r>
            <w:proofErr w:type="spellEnd"/>
            <w:r w:rsidRPr="001A64EA">
              <w:rPr>
                <w:sz w:val="22"/>
                <w:szCs w:val="20"/>
              </w:rPr>
              <w:t xml:space="preserve"> </w:t>
            </w:r>
            <w:proofErr w:type="spellStart"/>
            <w:r w:rsidRPr="001A64EA">
              <w:rPr>
                <w:sz w:val="22"/>
                <w:szCs w:val="20"/>
              </w:rPr>
              <w:t>pozitive</w:t>
            </w:r>
            <w:proofErr w:type="spellEnd"/>
            <w:r w:rsidRPr="001A64EA">
              <w:rPr>
                <w:sz w:val="22"/>
                <w:szCs w:val="20"/>
              </w:rPr>
              <w:t xml:space="preserve"> ale </w:t>
            </w:r>
            <w:proofErr w:type="spellStart"/>
            <w:r w:rsidRPr="001A64EA">
              <w:rPr>
                <w:sz w:val="22"/>
                <w:szCs w:val="20"/>
              </w:rPr>
              <w:t>investitiilor</w:t>
            </w:r>
            <w:proofErr w:type="spellEnd"/>
            <w:r w:rsidRPr="001A64EA">
              <w:rPr>
                <w:sz w:val="22"/>
                <w:szCs w:val="20"/>
              </w:rPr>
              <w:t>.</w:t>
            </w:r>
          </w:p>
          <w:p w14:paraId="58F24378" w14:textId="77777777" w:rsidR="00EF5438" w:rsidRPr="001A64EA" w:rsidRDefault="00EF5438" w:rsidP="001A64EA">
            <w:pPr>
              <w:pStyle w:val="ListParagraph"/>
              <w:numPr>
                <w:ilvl w:val="0"/>
                <w:numId w:val="78"/>
              </w:numPr>
              <w:spacing w:before="0" w:line="240" w:lineRule="auto"/>
              <w:jc w:val="both"/>
              <w:rPr>
                <w:sz w:val="22"/>
                <w:szCs w:val="20"/>
              </w:rPr>
            </w:pPr>
            <w:proofErr w:type="spellStart"/>
            <w:r w:rsidRPr="001A64EA">
              <w:rPr>
                <w:sz w:val="22"/>
                <w:szCs w:val="20"/>
              </w:rPr>
              <w:t>Birou</w:t>
            </w:r>
            <w:proofErr w:type="spellEnd"/>
            <w:r w:rsidRPr="001A64EA">
              <w:rPr>
                <w:sz w:val="22"/>
                <w:szCs w:val="20"/>
              </w:rPr>
              <w:t xml:space="preserve"> de </w:t>
            </w:r>
            <w:proofErr w:type="spellStart"/>
            <w:r w:rsidRPr="001A64EA">
              <w:rPr>
                <w:sz w:val="22"/>
                <w:szCs w:val="20"/>
              </w:rPr>
              <w:t>informare</w:t>
            </w:r>
            <w:proofErr w:type="spellEnd"/>
            <w:r w:rsidRPr="001A64EA">
              <w:rPr>
                <w:sz w:val="22"/>
                <w:szCs w:val="20"/>
              </w:rPr>
              <w:t xml:space="preserve"> (helpdesk) </w:t>
            </w:r>
            <w:proofErr w:type="spellStart"/>
            <w:r w:rsidRPr="001A64EA">
              <w:rPr>
                <w:sz w:val="22"/>
                <w:szCs w:val="20"/>
              </w:rPr>
              <w:t>ce</w:t>
            </w:r>
            <w:proofErr w:type="spellEnd"/>
            <w:r w:rsidRPr="001A64EA">
              <w:rPr>
                <w:sz w:val="22"/>
                <w:szCs w:val="20"/>
              </w:rPr>
              <w:t xml:space="preserve"> </w:t>
            </w:r>
            <w:proofErr w:type="spellStart"/>
            <w:r w:rsidRPr="001A64EA">
              <w:rPr>
                <w:sz w:val="22"/>
                <w:szCs w:val="20"/>
              </w:rPr>
              <w:t>va</w:t>
            </w:r>
            <w:proofErr w:type="spellEnd"/>
            <w:r w:rsidRPr="001A64EA">
              <w:rPr>
                <w:sz w:val="22"/>
                <w:szCs w:val="20"/>
              </w:rPr>
              <w:t xml:space="preserve"> </w:t>
            </w:r>
            <w:proofErr w:type="spellStart"/>
            <w:r w:rsidRPr="001A64EA">
              <w:rPr>
                <w:sz w:val="22"/>
                <w:szCs w:val="20"/>
              </w:rPr>
              <w:t>solutiona</w:t>
            </w:r>
            <w:proofErr w:type="spellEnd"/>
            <w:r w:rsidRPr="001A64EA">
              <w:rPr>
                <w:sz w:val="22"/>
                <w:szCs w:val="20"/>
              </w:rPr>
              <w:t xml:space="preserve"> </w:t>
            </w:r>
            <w:proofErr w:type="spellStart"/>
            <w:r w:rsidRPr="001A64EA">
              <w:rPr>
                <w:sz w:val="22"/>
                <w:szCs w:val="20"/>
              </w:rPr>
              <w:t>solicitarile</w:t>
            </w:r>
            <w:proofErr w:type="spellEnd"/>
            <w:r w:rsidRPr="001A64EA">
              <w:rPr>
                <w:sz w:val="22"/>
                <w:szCs w:val="20"/>
              </w:rPr>
              <w:t xml:space="preserve"> </w:t>
            </w:r>
            <w:proofErr w:type="spellStart"/>
            <w:r w:rsidRPr="001A64EA">
              <w:rPr>
                <w:sz w:val="22"/>
                <w:szCs w:val="20"/>
              </w:rPr>
              <w:t>publicului</w:t>
            </w:r>
            <w:proofErr w:type="spellEnd"/>
            <w:r w:rsidRPr="001A64EA">
              <w:rPr>
                <w:sz w:val="22"/>
                <w:szCs w:val="20"/>
              </w:rPr>
              <w:t xml:space="preserve"> </w:t>
            </w:r>
            <w:proofErr w:type="spellStart"/>
            <w:r w:rsidRPr="001A64EA">
              <w:rPr>
                <w:sz w:val="22"/>
                <w:szCs w:val="20"/>
              </w:rPr>
              <w:t>specializat</w:t>
            </w:r>
            <w:proofErr w:type="spellEnd"/>
            <w:r w:rsidRPr="001A64EA">
              <w:rPr>
                <w:sz w:val="22"/>
                <w:szCs w:val="20"/>
              </w:rPr>
              <w:t xml:space="preserve"> </w:t>
            </w:r>
            <w:proofErr w:type="spellStart"/>
            <w:r w:rsidRPr="001A64EA">
              <w:rPr>
                <w:sz w:val="22"/>
                <w:szCs w:val="20"/>
              </w:rPr>
              <w:t>si</w:t>
            </w:r>
            <w:proofErr w:type="spellEnd"/>
            <w:r w:rsidRPr="001A64EA">
              <w:rPr>
                <w:sz w:val="22"/>
                <w:szCs w:val="20"/>
              </w:rPr>
              <w:t xml:space="preserve"> general.</w:t>
            </w:r>
          </w:p>
          <w:p w14:paraId="61134502" w14:textId="77777777" w:rsidR="00EF5438" w:rsidRPr="001A64EA" w:rsidRDefault="00EF5438" w:rsidP="001A64EA">
            <w:pPr>
              <w:pStyle w:val="ListParagraph"/>
              <w:numPr>
                <w:ilvl w:val="0"/>
                <w:numId w:val="78"/>
              </w:numPr>
              <w:spacing w:before="0" w:line="240" w:lineRule="auto"/>
              <w:jc w:val="both"/>
              <w:rPr>
                <w:sz w:val="22"/>
                <w:szCs w:val="20"/>
              </w:rPr>
            </w:pPr>
            <w:proofErr w:type="spellStart"/>
            <w:r w:rsidRPr="001A64EA">
              <w:rPr>
                <w:sz w:val="22"/>
                <w:szCs w:val="20"/>
              </w:rPr>
              <w:t>Evenimente</w:t>
            </w:r>
            <w:proofErr w:type="spellEnd"/>
            <w:r w:rsidRPr="001A64EA">
              <w:rPr>
                <w:sz w:val="22"/>
                <w:szCs w:val="20"/>
              </w:rPr>
              <w:t xml:space="preserve"> (</w:t>
            </w:r>
            <w:proofErr w:type="spellStart"/>
            <w:r w:rsidRPr="001A64EA">
              <w:rPr>
                <w:sz w:val="22"/>
                <w:szCs w:val="20"/>
              </w:rPr>
              <w:t>fizice</w:t>
            </w:r>
            <w:proofErr w:type="spellEnd"/>
            <w:r w:rsidRPr="001A64EA">
              <w:rPr>
                <w:sz w:val="22"/>
                <w:szCs w:val="20"/>
              </w:rPr>
              <w:t xml:space="preserve"> </w:t>
            </w:r>
            <w:proofErr w:type="spellStart"/>
            <w:r w:rsidRPr="001A64EA">
              <w:rPr>
                <w:sz w:val="22"/>
                <w:szCs w:val="20"/>
              </w:rPr>
              <w:t>si</w:t>
            </w:r>
            <w:proofErr w:type="spellEnd"/>
            <w:r w:rsidRPr="001A64EA">
              <w:rPr>
                <w:sz w:val="22"/>
                <w:szCs w:val="20"/>
              </w:rPr>
              <w:t xml:space="preserve"> online) </w:t>
            </w:r>
            <w:proofErr w:type="spellStart"/>
            <w:r w:rsidRPr="001A64EA">
              <w:rPr>
                <w:sz w:val="22"/>
                <w:szCs w:val="20"/>
              </w:rPr>
              <w:t>proiectate</w:t>
            </w:r>
            <w:proofErr w:type="spellEnd"/>
            <w:r w:rsidRPr="001A64EA">
              <w:rPr>
                <w:sz w:val="22"/>
                <w:szCs w:val="20"/>
              </w:rPr>
              <w:t xml:space="preserve"> pe </w:t>
            </w:r>
            <w:proofErr w:type="spellStart"/>
            <w:r w:rsidRPr="001A64EA">
              <w:rPr>
                <w:sz w:val="22"/>
                <w:szCs w:val="20"/>
              </w:rPr>
              <w:t>baza</w:t>
            </w:r>
            <w:proofErr w:type="spellEnd"/>
            <w:r w:rsidRPr="001A64EA">
              <w:rPr>
                <w:sz w:val="22"/>
                <w:szCs w:val="20"/>
              </w:rPr>
              <w:t xml:space="preserve"> </w:t>
            </w:r>
            <w:proofErr w:type="spellStart"/>
            <w:r w:rsidRPr="001A64EA">
              <w:rPr>
                <w:sz w:val="22"/>
                <w:szCs w:val="20"/>
              </w:rPr>
              <w:t>nevoilor</w:t>
            </w:r>
            <w:proofErr w:type="spellEnd"/>
            <w:r w:rsidRPr="001A64EA">
              <w:rPr>
                <w:sz w:val="22"/>
                <w:szCs w:val="20"/>
              </w:rPr>
              <w:t xml:space="preserve"> </w:t>
            </w:r>
            <w:proofErr w:type="spellStart"/>
            <w:r w:rsidRPr="001A64EA">
              <w:rPr>
                <w:sz w:val="22"/>
                <w:szCs w:val="20"/>
              </w:rPr>
              <w:t>grupurilor</w:t>
            </w:r>
            <w:proofErr w:type="spellEnd"/>
            <w:r w:rsidRPr="001A64EA">
              <w:rPr>
                <w:sz w:val="22"/>
                <w:szCs w:val="20"/>
              </w:rPr>
              <w:t xml:space="preserve"> </w:t>
            </w:r>
            <w:proofErr w:type="spellStart"/>
            <w:r w:rsidRPr="001A64EA">
              <w:rPr>
                <w:sz w:val="22"/>
                <w:szCs w:val="20"/>
              </w:rPr>
              <w:t>tinta</w:t>
            </w:r>
            <w:proofErr w:type="spellEnd"/>
            <w:r w:rsidRPr="001A64EA">
              <w:rPr>
                <w:sz w:val="22"/>
                <w:szCs w:val="20"/>
              </w:rPr>
              <w:t xml:space="preserve">, </w:t>
            </w:r>
            <w:proofErr w:type="spellStart"/>
            <w:r w:rsidRPr="001A64EA">
              <w:rPr>
                <w:sz w:val="22"/>
                <w:szCs w:val="20"/>
              </w:rPr>
              <w:t>respectiv</w:t>
            </w:r>
            <w:proofErr w:type="spellEnd"/>
            <w:r w:rsidRPr="001A64EA">
              <w:rPr>
                <w:sz w:val="22"/>
                <w:szCs w:val="20"/>
              </w:rPr>
              <w:t xml:space="preserve"> </w:t>
            </w:r>
            <w:proofErr w:type="spellStart"/>
            <w:r w:rsidRPr="001A64EA">
              <w:rPr>
                <w:sz w:val="22"/>
                <w:szCs w:val="20"/>
              </w:rPr>
              <w:t>sesiuni</w:t>
            </w:r>
            <w:proofErr w:type="spellEnd"/>
            <w:r w:rsidRPr="001A64EA">
              <w:rPr>
                <w:sz w:val="22"/>
                <w:szCs w:val="20"/>
              </w:rPr>
              <w:t xml:space="preserve"> dedicate </w:t>
            </w:r>
            <w:proofErr w:type="spellStart"/>
            <w:r w:rsidRPr="001A64EA">
              <w:rPr>
                <w:sz w:val="22"/>
                <w:szCs w:val="20"/>
              </w:rPr>
              <w:t>publicului</w:t>
            </w:r>
            <w:proofErr w:type="spellEnd"/>
            <w:r w:rsidRPr="001A64EA">
              <w:rPr>
                <w:sz w:val="22"/>
                <w:szCs w:val="20"/>
              </w:rPr>
              <w:t xml:space="preserve"> </w:t>
            </w:r>
            <w:proofErr w:type="spellStart"/>
            <w:r w:rsidRPr="001A64EA">
              <w:rPr>
                <w:sz w:val="22"/>
                <w:szCs w:val="20"/>
              </w:rPr>
              <w:t>specializat</w:t>
            </w:r>
            <w:proofErr w:type="spellEnd"/>
            <w:r w:rsidRPr="001A64EA">
              <w:rPr>
                <w:sz w:val="22"/>
                <w:szCs w:val="20"/>
              </w:rPr>
              <w:t xml:space="preserve"> </w:t>
            </w:r>
            <w:proofErr w:type="spellStart"/>
            <w:r w:rsidRPr="001A64EA">
              <w:rPr>
                <w:sz w:val="22"/>
                <w:szCs w:val="20"/>
              </w:rPr>
              <w:t>si</w:t>
            </w:r>
            <w:proofErr w:type="spellEnd"/>
            <w:r w:rsidRPr="001A64EA">
              <w:rPr>
                <w:sz w:val="22"/>
                <w:szCs w:val="20"/>
              </w:rPr>
              <w:t xml:space="preserve"> </w:t>
            </w:r>
            <w:proofErr w:type="spellStart"/>
            <w:r w:rsidRPr="001A64EA">
              <w:rPr>
                <w:sz w:val="22"/>
                <w:szCs w:val="20"/>
              </w:rPr>
              <w:t>evenimente</w:t>
            </w:r>
            <w:proofErr w:type="spellEnd"/>
            <w:r w:rsidRPr="001A64EA">
              <w:rPr>
                <w:sz w:val="22"/>
                <w:szCs w:val="20"/>
              </w:rPr>
              <w:t xml:space="preserve"> de </w:t>
            </w:r>
            <w:proofErr w:type="spellStart"/>
            <w:r w:rsidRPr="001A64EA">
              <w:rPr>
                <w:sz w:val="22"/>
                <w:szCs w:val="20"/>
              </w:rPr>
              <w:t>promovare</w:t>
            </w:r>
            <w:proofErr w:type="spellEnd"/>
            <w:r w:rsidRPr="001A64EA">
              <w:rPr>
                <w:sz w:val="22"/>
                <w:szCs w:val="20"/>
              </w:rPr>
              <w:t xml:space="preserve"> dedicate </w:t>
            </w:r>
            <w:proofErr w:type="spellStart"/>
            <w:r w:rsidRPr="001A64EA">
              <w:rPr>
                <w:sz w:val="22"/>
                <w:szCs w:val="20"/>
              </w:rPr>
              <w:t>publicului</w:t>
            </w:r>
            <w:proofErr w:type="spellEnd"/>
            <w:r w:rsidRPr="001A64EA">
              <w:rPr>
                <w:sz w:val="22"/>
                <w:szCs w:val="20"/>
              </w:rPr>
              <w:t xml:space="preserve"> general </w:t>
            </w:r>
          </w:p>
          <w:p w14:paraId="3B4B4594" w14:textId="77777777" w:rsidR="00EF5438" w:rsidRPr="001A64EA" w:rsidRDefault="00EF5438" w:rsidP="001A64EA">
            <w:pPr>
              <w:pStyle w:val="ListParagraph"/>
              <w:numPr>
                <w:ilvl w:val="0"/>
                <w:numId w:val="78"/>
              </w:numPr>
              <w:spacing w:before="0" w:line="240" w:lineRule="auto"/>
              <w:jc w:val="both"/>
              <w:rPr>
                <w:sz w:val="22"/>
                <w:szCs w:val="20"/>
              </w:rPr>
            </w:pPr>
            <w:proofErr w:type="spellStart"/>
            <w:r w:rsidRPr="001A64EA">
              <w:rPr>
                <w:sz w:val="22"/>
                <w:szCs w:val="20"/>
              </w:rPr>
              <w:t>Materiale</w:t>
            </w:r>
            <w:proofErr w:type="spellEnd"/>
            <w:r w:rsidRPr="001A64EA">
              <w:rPr>
                <w:sz w:val="22"/>
                <w:szCs w:val="20"/>
              </w:rPr>
              <w:t xml:space="preserve"> de </w:t>
            </w:r>
            <w:proofErr w:type="spellStart"/>
            <w:r w:rsidRPr="001A64EA">
              <w:rPr>
                <w:sz w:val="22"/>
                <w:szCs w:val="20"/>
              </w:rPr>
              <w:t>informare</w:t>
            </w:r>
            <w:proofErr w:type="spellEnd"/>
            <w:r w:rsidRPr="001A64EA">
              <w:rPr>
                <w:sz w:val="22"/>
                <w:szCs w:val="20"/>
              </w:rPr>
              <w:t xml:space="preserve">/ </w:t>
            </w:r>
            <w:proofErr w:type="spellStart"/>
            <w:r w:rsidRPr="001A64EA">
              <w:rPr>
                <w:sz w:val="22"/>
                <w:szCs w:val="20"/>
              </w:rPr>
              <w:t>publicatii</w:t>
            </w:r>
            <w:proofErr w:type="spellEnd"/>
            <w:r w:rsidRPr="001A64EA">
              <w:rPr>
                <w:sz w:val="22"/>
                <w:szCs w:val="20"/>
              </w:rPr>
              <w:t xml:space="preserve"> </w:t>
            </w:r>
            <w:proofErr w:type="spellStart"/>
            <w:r w:rsidRPr="001A64EA">
              <w:rPr>
                <w:sz w:val="22"/>
                <w:szCs w:val="20"/>
              </w:rPr>
              <w:t>tiparite</w:t>
            </w:r>
            <w:proofErr w:type="spellEnd"/>
            <w:r w:rsidRPr="001A64EA">
              <w:rPr>
                <w:sz w:val="22"/>
                <w:szCs w:val="20"/>
              </w:rPr>
              <w:t xml:space="preserve"> </w:t>
            </w:r>
            <w:proofErr w:type="spellStart"/>
            <w:r w:rsidRPr="001A64EA">
              <w:rPr>
                <w:sz w:val="22"/>
                <w:szCs w:val="20"/>
              </w:rPr>
              <w:t>si</w:t>
            </w:r>
            <w:proofErr w:type="spellEnd"/>
            <w:r w:rsidRPr="001A64EA">
              <w:rPr>
                <w:sz w:val="22"/>
                <w:szCs w:val="20"/>
              </w:rPr>
              <w:t xml:space="preserve"> </w:t>
            </w:r>
            <w:proofErr w:type="spellStart"/>
            <w:r w:rsidRPr="001A64EA">
              <w:rPr>
                <w:sz w:val="22"/>
                <w:szCs w:val="20"/>
              </w:rPr>
              <w:t>electronice</w:t>
            </w:r>
            <w:proofErr w:type="spellEnd"/>
            <w:r w:rsidRPr="001A64EA">
              <w:rPr>
                <w:sz w:val="22"/>
                <w:szCs w:val="20"/>
              </w:rPr>
              <w:t xml:space="preserve"> </w:t>
            </w:r>
            <w:proofErr w:type="spellStart"/>
            <w:r w:rsidRPr="001A64EA">
              <w:rPr>
                <w:sz w:val="22"/>
                <w:szCs w:val="20"/>
              </w:rPr>
              <w:t>pentru</w:t>
            </w:r>
            <w:proofErr w:type="spellEnd"/>
            <w:r w:rsidRPr="001A64EA">
              <w:rPr>
                <w:sz w:val="22"/>
                <w:szCs w:val="20"/>
              </w:rPr>
              <w:t xml:space="preserve"> </w:t>
            </w:r>
            <w:proofErr w:type="spellStart"/>
            <w:r w:rsidRPr="001A64EA">
              <w:rPr>
                <w:sz w:val="22"/>
                <w:szCs w:val="20"/>
              </w:rPr>
              <w:t>publicul</w:t>
            </w:r>
            <w:proofErr w:type="spellEnd"/>
            <w:r w:rsidRPr="001A64EA">
              <w:rPr>
                <w:sz w:val="22"/>
                <w:szCs w:val="20"/>
              </w:rPr>
              <w:t xml:space="preserve"> </w:t>
            </w:r>
            <w:proofErr w:type="spellStart"/>
            <w:r w:rsidRPr="001A64EA">
              <w:rPr>
                <w:sz w:val="22"/>
                <w:szCs w:val="20"/>
              </w:rPr>
              <w:t>specializat</w:t>
            </w:r>
            <w:proofErr w:type="spellEnd"/>
            <w:r w:rsidRPr="001A64EA">
              <w:rPr>
                <w:sz w:val="22"/>
                <w:szCs w:val="20"/>
              </w:rPr>
              <w:t xml:space="preserve"> </w:t>
            </w:r>
            <w:proofErr w:type="spellStart"/>
            <w:r w:rsidRPr="001A64EA">
              <w:rPr>
                <w:sz w:val="22"/>
                <w:szCs w:val="20"/>
              </w:rPr>
              <w:t>si</w:t>
            </w:r>
            <w:proofErr w:type="spellEnd"/>
            <w:r w:rsidRPr="001A64EA">
              <w:rPr>
                <w:sz w:val="22"/>
                <w:szCs w:val="20"/>
              </w:rPr>
              <w:t xml:space="preserve"> </w:t>
            </w:r>
            <w:proofErr w:type="spellStart"/>
            <w:r w:rsidRPr="001A64EA">
              <w:rPr>
                <w:sz w:val="22"/>
                <w:szCs w:val="20"/>
              </w:rPr>
              <w:t>materiale</w:t>
            </w:r>
            <w:proofErr w:type="spellEnd"/>
            <w:r w:rsidRPr="001A64EA">
              <w:rPr>
                <w:sz w:val="22"/>
                <w:szCs w:val="20"/>
              </w:rPr>
              <w:t xml:space="preserve"> de </w:t>
            </w:r>
            <w:proofErr w:type="spellStart"/>
            <w:r w:rsidRPr="001A64EA">
              <w:rPr>
                <w:sz w:val="22"/>
                <w:szCs w:val="20"/>
              </w:rPr>
              <w:t>promovare</w:t>
            </w:r>
            <w:proofErr w:type="spellEnd"/>
            <w:r w:rsidRPr="001A64EA">
              <w:rPr>
                <w:sz w:val="22"/>
                <w:szCs w:val="20"/>
              </w:rPr>
              <w:t xml:space="preserve"> (</w:t>
            </w:r>
            <w:proofErr w:type="spellStart"/>
            <w:r w:rsidRPr="001A64EA">
              <w:rPr>
                <w:sz w:val="22"/>
                <w:szCs w:val="20"/>
              </w:rPr>
              <w:t>clipuri</w:t>
            </w:r>
            <w:proofErr w:type="spellEnd"/>
            <w:r w:rsidRPr="001A64EA">
              <w:rPr>
                <w:sz w:val="22"/>
                <w:szCs w:val="20"/>
              </w:rPr>
              <w:t>/</w:t>
            </w:r>
            <w:proofErr w:type="spellStart"/>
            <w:r w:rsidRPr="001A64EA">
              <w:rPr>
                <w:sz w:val="22"/>
                <w:szCs w:val="20"/>
              </w:rPr>
              <w:t>spoturi</w:t>
            </w:r>
            <w:proofErr w:type="spellEnd"/>
            <w:r w:rsidRPr="001A64EA">
              <w:rPr>
                <w:sz w:val="22"/>
                <w:szCs w:val="20"/>
              </w:rPr>
              <w:t xml:space="preserve"> audio-video, </w:t>
            </w:r>
            <w:proofErr w:type="spellStart"/>
            <w:r w:rsidRPr="001A64EA">
              <w:rPr>
                <w:sz w:val="22"/>
                <w:szCs w:val="20"/>
              </w:rPr>
              <w:t>obiecte</w:t>
            </w:r>
            <w:proofErr w:type="spellEnd"/>
            <w:r w:rsidRPr="001A64EA">
              <w:rPr>
                <w:sz w:val="22"/>
                <w:szCs w:val="20"/>
              </w:rPr>
              <w:t xml:space="preserve"> </w:t>
            </w:r>
            <w:proofErr w:type="spellStart"/>
            <w:proofErr w:type="gramStart"/>
            <w:r w:rsidRPr="001A64EA">
              <w:rPr>
                <w:sz w:val="22"/>
                <w:szCs w:val="20"/>
              </w:rPr>
              <w:t>personalizate,etc</w:t>
            </w:r>
            <w:proofErr w:type="spellEnd"/>
            <w:r w:rsidRPr="001A64EA">
              <w:rPr>
                <w:sz w:val="22"/>
                <w:szCs w:val="20"/>
              </w:rPr>
              <w:t>.</w:t>
            </w:r>
            <w:proofErr w:type="gramEnd"/>
            <w:r w:rsidRPr="001A64EA">
              <w:rPr>
                <w:sz w:val="22"/>
                <w:szCs w:val="20"/>
              </w:rPr>
              <w:t xml:space="preserve">) </w:t>
            </w:r>
          </w:p>
          <w:p w14:paraId="51B90F2A" w14:textId="77777777" w:rsidR="00EF5438" w:rsidRPr="001A64EA" w:rsidRDefault="00EF5438" w:rsidP="001A64EA">
            <w:pPr>
              <w:pStyle w:val="ListParagraph"/>
              <w:numPr>
                <w:ilvl w:val="0"/>
                <w:numId w:val="78"/>
              </w:numPr>
              <w:spacing w:before="0" w:line="240" w:lineRule="auto"/>
              <w:jc w:val="both"/>
              <w:rPr>
                <w:sz w:val="22"/>
                <w:szCs w:val="20"/>
              </w:rPr>
            </w:pPr>
            <w:proofErr w:type="spellStart"/>
            <w:r w:rsidRPr="001A64EA">
              <w:rPr>
                <w:sz w:val="22"/>
                <w:szCs w:val="20"/>
              </w:rPr>
              <w:t>Campanii</w:t>
            </w:r>
            <w:proofErr w:type="spellEnd"/>
            <w:r w:rsidRPr="001A64EA">
              <w:rPr>
                <w:sz w:val="22"/>
                <w:szCs w:val="20"/>
              </w:rPr>
              <w:t xml:space="preserve"> de </w:t>
            </w:r>
            <w:proofErr w:type="spellStart"/>
            <w:r w:rsidRPr="001A64EA">
              <w:rPr>
                <w:sz w:val="22"/>
                <w:szCs w:val="20"/>
              </w:rPr>
              <w:t>promovare</w:t>
            </w:r>
            <w:proofErr w:type="spellEnd"/>
            <w:r w:rsidRPr="001A64EA">
              <w:rPr>
                <w:sz w:val="22"/>
                <w:szCs w:val="20"/>
              </w:rPr>
              <w:t xml:space="preserve"> online, radio/TV, </w:t>
            </w:r>
            <w:proofErr w:type="spellStart"/>
            <w:r w:rsidRPr="001A64EA">
              <w:rPr>
                <w:sz w:val="22"/>
                <w:szCs w:val="20"/>
              </w:rPr>
              <w:t>panotaj</w:t>
            </w:r>
            <w:proofErr w:type="spellEnd"/>
            <w:r w:rsidRPr="001A64EA">
              <w:rPr>
                <w:sz w:val="22"/>
                <w:szCs w:val="20"/>
              </w:rPr>
              <w:t xml:space="preserve"> (indoor/outdoor)</w:t>
            </w:r>
          </w:p>
          <w:p w14:paraId="43D1B353" w14:textId="08A7743A" w:rsidR="00EF5438" w:rsidRPr="008C5F1C" w:rsidRDefault="00EF5438" w:rsidP="001A64EA">
            <w:pPr>
              <w:spacing w:after="120" w:line="240" w:lineRule="auto"/>
              <w:jc w:val="both"/>
              <w:rPr>
                <w:rFonts w:ascii="Times New Roman" w:hAnsi="Times New Roman" w:cs="Times New Roman"/>
              </w:rPr>
            </w:pPr>
            <w:r w:rsidRPr="001A64EA">
              <w:rPr>
                <w:rFonts w:ascii="Times New Roman" w:hAnsi="Times New Roman" w:cs="Times New Roman"/>
              </w:rPr>
              <w:t xml:space="preserve">Bugetul previzionat pentru perioada 2021 – 2029 este de </w:t>
            </w:r>
            <w:r w:rsidR="00205B19" w:rsidRPr="001A64EA">
              <w:rPr>
                <w:rFonts w:ascii="Times New Roman" w:hAnsi="Times New Roman" w:cs="Times New Roman"/>
              </w:rPr>
              <w:t>`.............</w:t>
            </w:r>
            <w:r w:rsidR="00CD0572" w:rsidRPr="001A64EA">
              <w:rPr>
                <w:rFonts w:ascii="Times New Roman" w:hAnsi="Times New Roman" w:cs="Times New Roman"/>
              </w:rPr>
              <w:t xml:space="preserve"> </w:t>
            </w:r>
            <w:r w:rsidRPr="001A64EA">
              <w:rPr>
                <w:rFonts w:ascii="Times New Roman" w:hAnsi="Times New Roman" w:cs="Times New Roman"/>
              </w:rPr>
              <w:t xml:space="preserve">Euro, o detaliere </w:t>
            </w:r>
            <w:proofErr w:type="spellStart"/>
            <w:r w:rsidRPr="001A64EA">
              <w:rPr>
                <w:rFonts w:ascii="Times New Roman" w:hAnsi="Times New Roman" w:cs="Times New Roman"/>
              </w:rPr>
              <w:t>urmand</w:t>
            </w:r>
            <w:proofErr w:type="spellEnd"/>
            <w:r w:rsidRPr="001A64EA">
              <w:rPr>
                <w:rFonts w:ascii="Times New Roman" w:hAnsi="Times New Roman" w:cs="Times New Roman"/>
              </w:rPr>
              <w:t xml:space="preserve"> a fi prezentata in Planul de Comunicare POR Nord –Vest</w:t>
            </w:r>
          </w:p>
        </w:tc>
      </w:tr>
    </w:tbl>
    <w:p w14:paraId="50950280" w14:textId="77777777" w:rsidR="00653571" w:rsidRPr="008C5F1C" w:rsidRDefault="00653571" w:rsidP="00653571">
      <w:pPr>
        <w:spacing w:before="120" w:after="120" w:line="360" w:lineRule="auto"/>
        <w:rPr>
          <w:rFonts w:ascii="Times New Roman" w:hAnsi="Times New Roman" w:cs="Times New Roman"/>
          <w:b/>
          <w:bCs/>
          <w:noProof/>
          <w:sz w:val="24"/>
        </w:rPr>
      </w:pPr>
    </w:p>
    <w:p w14:paraId="7F8DB84C" w14:textId="77777777" w:rsidR="00653571" w:rsidRPr="008C5F1C" w:rsidRDefault="00653571" w:rsidP="00653571">
      <w:pPr>
        <w:pStyle w:val="Heading1"/>
        <w:numPr>
          <w:ilvl w:val="0"/>
          <w:numId w:val="0"/>
        </w:numPr>
        <w:ind w:left="851" w:hanging="851"/>
        <w:rPr>
          <w:rFonts w:cs="Times New Roman"/>
          <w:noProof/>
          <w:lang w:val="ro-RO"/>
        </w:rPr>
      </w:pPr>
      <w:bookmarkStart w:id="142" w:name="_Toc39840958"/>
      <w:r w:rsidRPr="008C5F1C">
        <w:rPr>
          <w:rFonts w:cs="Times New Roman"/>
          <w:noProof/>
          <w:lang w:val="ro-RO"/>
        </w:rPr>
        <w:t>8.</w:t>
      </w:r>
      <w:r w:rsidRPr="008C5F1C">
        <w:rPr>
          <w:rFonts w:cs="Times New Roman"/>
          <w:noProof/>
          <w:lang w:val="ro-RO"/>
        </w:rPr>
        <w:tab/>
        <w:t>Use of unit costs, lump sums, flat rates and financing not linked to costs</w:t>
      </w:r>
      <w:bookmarkEnd w:id="142"/>
    </w:p>
    <w:p w14:paraId="7AE4269B" w14:textId="77777777" w:rsidR="00653571" w:rsidRPr="008C5F1C" w:rsidRDefault="00653571" w:rsidP="00653571">
      <w:pPr>
        <w:spacing w:before="240" w:after="240" w:line="360" w:lineRule="auto"/>
        <w:rPr>
          <w:rFonts w:ascii="Times New Roman" w:eastAsia="Times New Roman" w:hAnsi="Times New Roman" w:cs="Times New Roman"/>
          <w:i/>
          <w:noProof/>
          <w:sz w:val="24"/>
          <w:szCs w:val="24"/>
        </w:rPr>
      </w:pPr>
      <w:r w:rsidRPr="008C5F1C">
        <w:rPr>
          <w:rFonts w:ascii="Times New Roman" w:eastAsia="Times New Roman" w:hAnsi="Times New Roman" w:cs="Times New Roman"/>
          <w:i/>
          <w:noProof/>
          <w:sz w:val="24"/>
          <w:szCs w:val="24"/>
        </w:rPr>
        <w:t>Reference: Articles 88 and 89 CPR</w:t>
      </w:r>
    </w:p>
    <w:p w14:paraId="1DA9F0D6" w14:textId="77777777" w:rsidR="00653571" w:rsidRPr="008C5F1C" w:rsidRDefault="00653571" w:rsidP="00653571">
      <w:pPr>
        <w:spacing w:before="120" w:after="120" w:line="360" w:lineRule="auto"/>
        <w:rPr>
          <w:rFonts w:ascii="Times New Roman" w:eastAsia="Times New Roman" w:hAnsi="Times New Roman" w:cs="Times New Roman"/>
          <w:b/>
          <w:iCs/>
          <w:noProof/>
          <w:sz w:val="20"/>
        </w:rPr>
      </w:pPr>
      <w:r w:rsidRPr="008C5F1C">
        <w:rPr>
          <w:rFonts w:ascii="Times New Roman" w:eastAsia="Times New Roman" w:hAnsi="Times New Roman" w:cs="Times New Roman"/>
          <w:b/>
          <w:iCs/>
          <w:noProof/>
          <w:sz w:val="20"/>
        </w:rPr>
        <w:t>Table 14: Use of Union contribution based on unit costs, lump sums, flat rates and on financing not linked to costs</w:t>
      </w:r>
    </w:p>
    <w:tbl>
      <w:tblPr>
        <w:tblStyle w:val="TableGrid1"/>
        <w:tblW w:w="0" w:type="auto"/>
        <w:tblLook w:val="04A0" w:firstRow="1" w:lastRow="0" w:firstColumn="1" w:lastColumn="0" w:noHBand="0" w:noVBand="1"/>
      </w:tblPr>
      <w:tblGrid>
        <w:gridCol w:w="4310"/>
        <w:gridCol w:w="1050"/>
        <w:gridCol w:w="882"/>
        <w:gridCol w:w="3046"/>
      </w:tblGrid>
      <w:tr w:rsidR="00653571" w:rsidRPr="008C5F1C" w14:paraId="5176C907" w14:textId="77777777" w:rsidTr="00534127">
        <w:trPr>
          <w:trHeight w:val="484"/>
        </w:trPr>
        <w:tc>
          <w:tcPr>
            <w:tcW w:w="4310" w:type="dxa"/>
          </w:tcPr>
          <w:p w14:paraId="1B890435" w14:textId="77777777" w:rsidR="00653571" w:rsidRPr="008C5F1C" w:rsidRDefault="00653571" w:rsidP="001D7114">
            <w:pPr>
              <w:contextualSpacing/>
              <w:rPr>
                <w:rFonts w:ascii="Times New Roman" w:hAnsi="Times New Roman" w:cs="Times New Roman"/>
                <w:noProof/>
                <w:sz w:val="20"/>
                <w:szCs w:val="20"/>
              </w:rPr>
            </w:pPr>
            <w:r w:rsidRPr="008C5F1C">
              <w:rPr>
                <w:rFonts w:ascii="Times New Roman" w:hAnsi="Times New Roman" w:cs="Times New Roman"/>
                <w:noProof/>
                <w:sz w:val="20"/>
                <w:szCs w:val="20"/>
              </w:rPr>
              <w:t>Indication of use of Articles 88 and 89 CPR*</w:t>
            </w:r>
          </w:p>
          <w:p w14:paraId="72731D26" w14:textId="77777777" w:rsidR="00653571" w:rsidRPr="008C5F1C" w:rsidRDefault="00653571" w:rsidP="00534127">
            <w:pPr>
              <w:rPr>
                <w:rFonts w:ascii="Times New Roman" w:hAnsi="Times New Roman" w:cs="Times New Roman"/>
                <w:noProof/>
                <w:sz w:val="20"/>
                <w:szCs w:val="20"/>
              </w:rPr>
            </w:pPr>
          </w:p>
        </w:tc>
        <w:tc>
          <w:tcPr>
            <w:tcW w:w="1050" w:type="dxa"/>
          </w:tcPr>
          <w:p w14:paraId="453227FA" w14:textId="77777777" w:rsidR="00653571" w:rsidRPr="008C5F1C" w:rsidRDefault="00653571" w:rsidP="00534127">
            <w:pPr>
              <w:rPr>
                <w:rFonts w:ascii="Times New Roman" w:hAnsi="Times New Roman" w:cs="Times New Roman"/>
                <w:noProof/>
                <w:sz w:val="20"/>
                <w:szCs w:val="20"/>
              </w:rPr>
            </w:pPr>
            <w:r w:rsidRPr="008C5F1C">
              <w:rPr>
                <w:rFonts w:ascii="Times New Roman" w:hAnsi="Times New Roman" w:cs="Times New Roman"/>
                <w:noProof/>
                <w:sz w:val="20"/>
                <w:szCs w:val="20"/>
              </w:rPr>
              <w:t>Priority No</w:t>
            </w:r>
          </w:p>
        </w:tc>
        <w:tc>
          <w:tcPr>
            <w:tcW w:w="882" w:type="dxa"/>
          </w:tcPr>
          <w:p w14:paraId="30346E53" w14:textId="77777777" w:rsidR="00653571" w:rsidRPr="008C5F1C" w:rsidRDefault="00653571" w:rsidP="00534127">
            <w:pPr>
              <w:rPr>
                <w:rFonts w:ascii="Times New Roman" w:hAnsi="Times New Roman" w:cs="Times New Roman"/>
                <w:noProof/>
                <w:sz w:val="20"/>
                <w:szCs w:val="20"/>
              </w:rPr>
            </w:pPr>
            <w:r w:rsidRPr="008C5F1C">
              <w:rPr>
                <w:rFonts w:ascii="Times New Roman" w:hAnsi="Times New Roman" w:cs="Times New Roman"/>
                <w:noProof/>
                <w:sz w:val="20"/>
                <w:szCs w:val="20"/>
              </w:rPr>
              <w:t>Fund</w:t>
            </w:r>
          </w:p>
        </w:tc>
        <w:tc>
          <w:tcPr>
            <w:tcW w:w="3046" w:type="dxa"/>
          </w:tcPr>
          <w:p w14:paraId="66792B16" w14:textId="77777777" w:rsidR="00653571" w:rsidRPr="008C5F1C" w:rsidRDefault="00653571" w:rsidP="00534127">
            <w:pPr>
              <w:rPr>
                <w:rFonts w:ascii="Times New Roman" w:hAnsi="Times New Roman" w:cs="Times New Roman"/>
                <w:noProof/>
                <w:sz w:val="20"/>
                <w:szCs w:val="20"/>
              </w:rPr>
            </w:pPr>
            <w:r w:rsidRPr="008C5F1C">
              <w:rPr>
                <w:rFonts w:ascii="Times New Roman" w:hAnsi="Times New Roman" w:cs="Times New Roman"/>
                <w:noProof/>
                <w:sz w:val="20"/>
                <w:szCs w:val="20"/>
              </w:rPr>
              <w:t>Specific objective (Jobs and growth goal) or area of support (EMFF)</w:t>
            </w:r>
          </w:p>
        </w:tc>
      </w:tr>
      <w:tr w:rsidR="00653571" w:rsidRPr="008C5F1C" w14:paraId="35013CF5" w14:textId="77777777" w:rsidTr="00534127">
        <w:trPr>
          <w:trHeight w:val="428"/>
        </w:trPr>
        <w:tc>
          <w:tcPr>
            <w:tcW w:w="4310" w:type="dxa"/>
            <w:vMerge w:val="restart"/>
          </w:tcPr>
          <w:p w14:paraId="550AE9CF" w14:textId="77777777" w:rsidR="00653571" w:rsidRPr="008C5F1C" w:rsidRDefault="00653571" w:rsidP="00534127">
            <w:pPr>
              <w:spacing w:before="240" w:after="240"/>
              <w:rPr>
                <w:rFonts w:ascii="Times New Roman" w:hAnsi="Times New Roman" w:cs="Times New Roman"/>
                <w:noProof/>
                <w:sz w:val="20"/>
                <w:szCs w:val="20"/>
              </w:rPr>
            </w:pPr>
            <w:r w:rsidRPr="008C5F1C">
              <w:rPr>
                <w:rFonts w:ascii="Times New Roman" w:hAnsi="Times New Roman" w:cs="Times New Roman"/>
                <w:noProof/>
                <w:sz w:val="20"/>
                <w:szCs w:val="20"/>
              </w:rPr>
              <w:t>Use of reimbursement of eligible expenditure based on unit costs, lump sums and flat rates under priority according to Article 88 CPR</w:t>
            </w:r>
          </w:p>
        </w:tc>
        <w:tc>
          <w:tcPr>
            <w:tcW w:w="1050" w:type="dxa"/>
            <w:vMerge w:val="restart"/>
          </w:tcPr>
          <w:p w14:paraId="1EB882FE" w14:textId="77777777" w:rsidR="00653571" w:rsidRPr="008C5F1C" w:rsidRDefault="00653571" w:rsidP="00534127">
            <w:pPr>
              <w:rPr>
                <w:rFonts w:ascii="Times New Roman" w:hAnsi="Times New Roman" w:cs="Times New Roman"/>
                <w:noProof/>
                <w:sz w:val="20"/>
                <w:szCs w:val="20"/>
              </w:rPr>
            </w:pPr>
            <w:r w:rsidRPr="008C5F1C">
              <w:rPr>
                <w:rFonts w:ascii="Times New Roman" w:hAnsi="Times New Roman" w:cs="Times New Roman"/>
                <w:noProof/>
                <w:sz w:val="20"/>
                <w:szCs w:val="20"/>
              </w:rPr>
              <w:t>Priority 1</w:t>
            </w:r>
          </w:p>
        </w:tc>
        <w:tc>
          <w:tcPr>
            <w:tcW w:w="882" w:type="dxa"/>
            <w:vMerge w:val="restart"/>
          </w:tcPr>
          <w:p w14:paraId="2786071E" w14:textId="77777777" w:rsidR="00653571" w:rsidRPr="008C5F1C" w:rsidRDefault="00653571" w:rsidP="00534127">
            <w:pPr>
              <w:rPr>
                <w:rFonts w:ascii="Times New Roman" w:hAnsi="Times New Roman" w:cs="Times New Roman"/>
                <w:noProof/>
                <w:sz w:val="20"/>
                <w:szCs w:val="20"/>
              </w:rPr>
            </w:pPr>
            <w:r w:rsidRPr="008C5F1C">
              <w:rPr>
                <w:rFonts w:ascii="Times New Roman" w:hAnsi="Times New Roman" w:cs="Times New Roman"/>
                <w:noProof/>
                <w:sz w:val="20"/>
                <w:szCs w:val="20"/>
              </w:rPr>
              <w:t>ERDF</w:t>
            </w:r>
          </w:p>
        </w:tc>
        <w:tc>
          <w:tcPr>
            <w:tcW w:w="3046" w:type="dxa"/>
          </w:tcPr>
          <w:p w14:paraId="5BCBD041" w14:textId="77777777" w:rsidR="00653571" w:rsidRPr="008C5F1C" w:rsidRDefault="00653571" w:rsidP="00534127">
            <w:pPr>
              <w:rPr>
                <w:rFonts w:ascii="Times New Roman" w:hAnsi="Times New Roman" w:cs="Times New Roman"/>
                <w:noProof/>
                <w:sz w:val="20"/>
                <w:szCs w:val="20"/>
              </w:rPr>
            </w:pPr>
            <w:r w:rsidRPr="008C5F1C">
              <w:rPr>
                <w:rFonts w:ascii="Times New Roman" w:hAnsi="Times New Roman" w:cs="Times New Roman"/>
                <w:noProof/>
                <w:sz w:val="20"/>
                <w:szCs w:val="20"/>
              </w:rPr>
              <w:t>SO 1</w:t>
            </w:r>
          </w:p>
        </w:tc>
      </w:tr>
      <w:tr w:rsidR="00653571" w:rsidRPr="008C5F1C" w14:paraId="37E3ADB2" w14:textId="77777777" w:rsidTr="00534127">
        <w:trPr>
          <w:trHeight w:val="428"/>
        </w:trPr>
        <w:tc>
          <w:tcPr>
            <w:tcW w:w="4310" w:type="dxa"/>
            <w:vMerge/>
          </w:tcPr>
          <w:p w14:paraId="0B8C59B3" w14:textId="77777777" w:rsidR="00653571" w:rsidRPr="008C5F1C" w:rsidRDefault="00653571" w:rsidP="00534127">
            <w:pPr>
              <w:spacing w:before="240" w:after="240"/>
              <w:rPr>
                <w:rFonts w:ascii="Times New Roman" w:hAnsi="Times New Roman" w:cs="Times New Roman"/>
                <w:noProof/>
                <w:sz w:val="20"/>
                <w:szCs w:val="20"/>
              </w:rPr>
            </w:pPr>
          </w:p>
        </w:tc>
        <w:tc>
          <w:tcPr>
            <w:tcW w:w="1050" w:type="dxa"/>
            <w:vMerge/>
          </w:tcPr>
          <w:p w14:paraId="2259E193" w14:textId="77777777" w:rsidR="00653571" w:rsidRPr="008C5F1C" w:rsidRDefault="00653571" w:rsidP="00534127">
            <w:pPr>
              <w:rPr>
                <w:rFonts w:ascii="Times New Roman" w:hAnsi="Times New Roman" w:cs="Times New Roman"/>
                <w:noProof/>
                <w:sz w:val="20"/>
                <w:szCs w:val="20"/>
              </w:rPr>
            </w:pPr>
          </w:p>
        </w:tc>
        <w:tc>
          <w:tcPr>
            <w:tcW w:w="882" w:type="dxa"/>
            <w:vMerge/>
          </w:tcPr>
          <w:p w14:paraId="6D2F8B0F" w14:textId="77777777" w:rsidR="00653571" w:rsidRPr="008C5F1C" w:rsidRDefault="00653571" w:rsidP="00534127">
            <w:pPr>
              <w:rPr>
                <w:rFonts w:ascii="Times New Roman" w:hAnsi="Times New Roman" w:cs="Times New Roman"/>
                <w:noProof/>
                <w:sz w:val="20"/>
                <w:szCs w:val="20"/>
              </w:rPr>
            </w:pPr>
          </w:p>
        </w:tc>
        <w:tc>
          <w:tcPr>
            <w:tcW w:w="3046" w:type="dxa"/>
          </w:tcPr>
          <w:p w14:paraId="53F6A34D" w14:textId="77777777" w:rsidR="00653571" w:rsidRPr="008C5F1C" w:rsidRDefault="00653571" w:rsidP="00534127">
            <w:pPr>
              <w:rPr>
                <w:rFonts w:ascii="Times New Roman" w:hAnsi="Times New Roman" w:cs="Times New Roman"/>
                <w:noProof/>
                <w:sz w:val="20"/>
                <w:szCs w:val="20"/>
              </w:rPr>
            </w:pPr>
            <w:r w:rsidRPr="008C5F1C">
              <w:rPr>
                <w:rFonts w:ascii="Times New Roman" w:hAnsi="Times New Roman" w:cs="Times New Roman"/>
                <w:noProof/>
                <w:sz w:val="20"/>
                <w:szCs w:val="20"/>
              </w:rPr>
              <w:t>SO 2</w:t>
            </w:r>
          </w:p>
        </w:tc>
      </w:tr>
      <w:tr w:rsidR="00653571" w:rsidRPr="008C5F1C" w14:paraId="0ECCE3FE" w14:textId="77777777" w:rsidTr="00534127">
        <w:trPr>
          <w:trHeight w:val="319"/>
        </w:trPr>
        <w:tc>
          <w:tcPr>
            <w:tcW w:w="4310" w:type="dxa"/>
            <w:vMerge/>
          </w:tcPr>
          <w:p w14:paraId="348B4EA5" w14:textId="77777777" w:rsidR="00653571" w:rsidRPr="008C5F1C" w:rsidRDefault="00653571" w:rsidP="00534127">
            <w:pPr>
              <w:spacing w:before="240" w:after="240"/>
              <w:rPr>
                <w:rFonts w:ascii="Times New Roman" w:hAnsi="Times New Roman" w:cs="Times New Roman"/>
                <w:noProof/>
                <w:sz w:val="20"/>
                <w:szCs w:val="20"/>
              </w:rPr>
            </w:pPr>
          </w:p>
        </w:tc>
        <w:tc>
          <w:tcPr>
            <w:tcW w:w="1050" w:type="dxa"/>
            <w:vMerge w:val="restart"/>
          </w:tcPr>
          <w:p w14:paraId="5F54E6A2" w14:textId="77777777" w:rsidR="00653571" w:rsidRPr="008C5F1C" w:rsidRDefault="00653571" w:rsidP="00534127">
            <w:pPr>
              <w:rPr>
                <w:rFonts w:ascii="Times New Roman" w:hAnsi="Times New Roman" w:cs="Times New Roman"/>
                <w:noProof/>
                <w:sz w:val="20"/>
                <w:szCs w:val="20"/>
              </w:rPr>
            </w:pPr>
            <w:r w:rsidRPr="008C5F1C">
              <w:rPr>
                <w:rFonts w:ascii="Times New Roman" w:hAnsi="Times New Roman" w:cs="Times New Roman"/>
                <w:noProof/>
                <w:sz w:val="20"/>
                <w:szCs w:val="20"/>
              </w:rPr>
              <w:t>Priority 2</w:t>
            </w:r>
          </w:p>
        </w:tc>
        <w:tc>
          <w:tcPr>
            <w:tcW w:w="882" w:type="dxa"/>
            <w:vMerge w:val="restart"/>
          </w:tcPr>
          <w:p w14:paraId="5720B4C2" w14:textId="77777777" w:rsidR="00653571" w:rsidRPr="008C5F1C" w:rsidRDefault="00653571" w:rsidP="00534127">
            <w:pPr>
              <w:rPr>
                <w:rFonts w:ascii="Times New Roman" w:hAnsi="Times New Roman" w:cs="Times New Roman"/>
                <w:noProof/>
                <w:sz w:val="20"/>
                <w:szCs w:val="20"/>
              </w:rPr>
            </w:pPr>
            <w:r w:rsidRPr="008C5F1C">
              <w:rPr>
                <w:rFonts w:ascii="Times New Roman" w:hAnsi="Times New Roman" w:cs="Times New Roman"/>
                <w:noProof/>
                <w:sz w:val="20"/>
                <w:szCs w:val="20"/>
              </w:rPr>
              <w:t>ESF+</w:t>
            </w:r>
          </w:p>
        </w:tc>
        <w:tc>
          <w:tcPr>
            <w:tcW w:w="3046" w:type="dxa"/>
          </w:tcPr>
          <w:p w14:paraId="1CC36380" w14:textId="77777777" w:rsidR="00653571" w:rsidRPr="008C5F1C" w:rsidRDefault="00653571" w:rsidP="00534127">
            <w:pPr>
              <w:rPr>
                <w:rFonts w:ascii="Times New Roman" w:hAnsi="Times New Roman" w:cs="Times New Roman"/>
                <w:noProof/>
                <w:sz w:val="20"/>
                <w:szCs w:val="20"/>
              </w:rPr>
            </w:pPr>
            <w:r w:rsidRPr="008C5F1C">
              <w:rPr>
                <w:rFonts w:ascii="Times New Roman" w:hAnsi="Times New Roman" w:cs="Times New Roman"/>
                <w:noProof/>
                <w:sz w:val="20"/>
                <w:szCs w:val="20"/>
              </w:rPr>
              <w:t>SO 3</w:t>
            </w:r>
          </w:p>
        </w:tc>
      </w:tr>
      <w:tr w:rsidR="00653571" w:rsidRPr="008C5F1C" w14:paraId="06FCD7B3" w14:textId="77777777" w:rsidTr="00534127">
        <w:trPr>
          <w:trHeight w:val="319"/>
        </w:trPr>
        <w:tc>
          <w:tcPr>
            <w:tcW w:w="4310" w:type="dxa"/>
            <w:vMerge/>
          </w:tcPr>
          <w:p w14:paraId="65534D7B" w14:textId="77777777" w:rsidR="00653571" w:rsidRPr="008C5F1C" w:rsidRDefault="00653571" w:rsidP="00534127">
            <w:pPr>
              <w:spacing w:before="240" w:after="240"/>
              <w:rPr>
                <w:rFonts w:ascii="Times New Roman" w:hAnsi="Times New Roman" w:cs="Times New Roman"/>
                <w:noProof/>
                <w:sz w:val="20"/>
                <w:szCs w:val="20"/>
              </w:rPr>
            </w:pPr>
          </w:p>
        </w:tc>
        <w:tc>
          <w:tcPr>
            <w:tcW w:w="1050" w:type="dxa"/>
            <w:vMerge/>
          </w:tcPr>
          <w:p w14:paraId="47D04917" w14:textId="77777777" w:rsidR="00653571" w:rsidRPr="008C5F1C" w:rsidRDefault="00653571" w:rsidP="00534127">
            <w:pPr>
              <w:rPr>
                <w:rFonts w:ascii="Times New Roman" w:hAnsi="Times New Roman" w:cs="Times New Roman"/>
                <w:noProof/>
                <w:sz w:val="20"/>
                <w:szCs w:val="20"/>
              </w:rPr>
            </w:pPr>
          </w:p>
        </w:tc>
        <w:tc>
          <w:tcPr>
            <w:tcW w:w="882" w:type="dxa"/>
            <w:vMerge/>
          </w:tcPr>
          <w:p w14:paraId="1C90D64B" w14:textId="77777777" w:rsidR="00653571" w:rsidRPr="008C5F1C" w:rsidRDefault="00653571" w:rsidP="00534127">
            <w:pPr>
              <w:rPr>
                <w:rFonts w:ascii="Times New Roman" w:hAnsi="Times New Roman" w:cs="Times New Roman"/>
                <w:noProof/>
                <w:sz w:val="20"/>
                <w:szCs w:val="20"/>
              </w:rPr>
            </w:pPr>
          </w:p>
        </w:tc>
        <w:tc>
          <w:tcPr>
            <w:tcW w:w="3046" w:type="dxa"/>
          </w:tcPr>
          <w:p w14:paraId="7B79B40A" w14:textId="77777777" w:rsidR="00653571" w:rsidRPr="008C5F1C" w:rsidRDefault="00653571" w:rsidP="00534127">
            <w:pPr>
              <w:rPr>
                <w:rFonts w:ascii="Times New Roman" w:hAnsi="Times New Roman" w:cs="Times New Roman"/>
                <w:noProof/>
                <w:sz w:val="20"/>
                <w:szCs w:val="20"/>
              </w:rPr>
            </w:pPr>
            <w:r w:rsidRPr="008C5F1C">
              <w:rPr>
                <w:rFonts w:ascii="Times New Roman" w:hAnsi="Times New Roman" w:cs="Times New Roman"/>
                <w:noProof/>
                <w:sz w:val="20"/>
                <w:szCs w:val="20"/>
              </w:rPr>
              <w:t>SO 4</w:t>
            </w:r>
          </w:p>
        </w:tc>
      </w:tr>
      <w:tr w:rsidR="00653571" w:rsidRPr="008C5F1C" w14:paraId="742A8AA5" w14:textId="77777777" w:rsidTr="00534127">
        <w:trPr>
          <w:trHeight w:val="319"/>
        </w:trPr>
        <w:tc>
          <w:tcPr>
            <w:tcW w:w="4310" w:type="dxa"/>
            <w:vMerge/>
          </w:tcPr>
          <w:p w14:paraId="2CEBAF71" w14:textId="77777777" w:rsidR="00653571" w:rsidRPr="008C5F1C" w:rsidRDefault="00653571" w:rsidP="00534127">
            <w:pPr>
              <w:spacing w:before="240" w:after="240"/>
              <w:rPr>
                <w:rFonts w:ascii="Times New Roman" w:hAnsi="Times New Roman" w:cs="Times New Roman"/>
                <w:noProof/>
                <w:sz w:val="20"/>
                <w:szCs w:val="20"/>
              </w:rPr>
            </w:pPr>
          </w:p>
        </w:tc>
        <w:tc>
          <w:tcPr>
            <w:tcW w:w="1050" w:type="dxa"/>
            <w:vMerge w:val="restart"/>
          </w:tcPr>
          <w:p w14:paraId="68B64B7A" w14:textId="77777777" w:rsidR="00653571" w:rsidRPr="008C5F1C" w:rsidRDefault="00653571" w:rsidP="00534127">
            <w:pPr>
              <w:rPr>
                <w:rFonts w:ascii="Times New Roman" w:hAnsi="Times New Roman" w:cs="Times New Roman"/>
                <w:noProof/>
                <w:sz w:val="20"/>
                <w:szCs w:val="20"/>
              </w:rPr>
            </w:pPr>
            <w:r w:rsidRPr="008C5F1C">
              <w:rPr>
                <w:rFonts w:ascii="Times New Roman" w:hAnsi="Times New Roman" w:cs="Times New Roman"/>
                <w:noProof/>
                <w:sz w:val="20"/>
                <w:szCs w:val="20"/>
              </w:rPr>
              <w:t>Priority 3</w:t>
            </w:r>
          </w:p>
        </w:tc>
        <w:tc>
          <w:tcPr>
            <w:tcW w:w="882" w:type="dxa"/>
            <w:vMerge w:val="restart"/>
          </w:tcPr>
          <w:p w14:paraId="347A87D3" w14:textId="77777777" w:rsidR="00653571" w:rsidRPr="008C5F1C" w:rsidRDefault="00653571" w:rsidP="00534127">
            <w:pPr>
              <w:rPr>
                <w:rFonts w:ascii="Times New Roman" w:hAnsi="Times New Roman" w:cs="Times New Roman"/>
                <w:noProof/>
                <w:sz w:val="20"/>
                <w:szCs w:val="20"/>
              </w:rPr>
            </w:pPr>
            <w:r w:rsidRPr="008C5F1C">
              <w:rPr>
                <w:rFonts w:ascii="Times New Roman" w:hAnsi="Times New Roman" w:cs="Times New Roman"/>
                <w:noProof/>
                <w:sz w:val="20"/>
                <w:szCs w:val="20"/>
              </w:rPr>
              <w:t>CF</w:t>
            </w:r>
          </w:p>
        </w:tc>
        <w:tc>
          <w:tcPr>
            <w:tcW w:w="3046" w:type="dxa"/>
          </w:tcPr>
          <w:p w14:paraId="5BB970D5" w14:textId="77777777" w:rsidR="00653571" w:rsidRPr="008C5F1C" w:rsidRDefault="00653571" w:rsidP="00534127">
            <w:pPr>
              <w:rPr>
                <w:rFonts w:ascii="Times New Roman" w:hAnsi="Times New Roman" w:cs="Times New Roman"/>
                <w:noProof/>
                <w:sz w:val="20"/>
                <w:szCs w:val="20"/>
              </w:rPr>
            </w:pPr>
            <w:r w:rsidRPr="008C5F1C">
              <w:rPr>
                <w:rFonts w:ascii="Times New Roman" w:hAnsi="Times New Roman" w:cs="Times New Roman"/>
                <w:noProof/>
                <w:sz w:val="20"/>
                <w:szCs w:val="20"/>
              </w:rPr>
              <w:t>SO 5</w:t>
            </w:r>
          </w:p>
        </w:tc>
      </w:tr>
      <w:tr w:rsidR="00653571" w:rsidRPr="008C5F1C" w14:paraId="5D0E5917" w14:textId="77777777" w:rsidTr="00534127">
        <w:trPr>
          <w:trHeight w:val="319"/>
        </w:trPr>
        <w:tc>
          <w:tcPr>
            <w:tcW w:w="4310" w:type="dxa"/>
            <w:vMerge/>
          </w:tcPr>
          <w:p w14:paraId="1F15D208" w14:textId="77777777" w:rsidR="00653571" w:rsidRPr="008C5F1C" w:rsidRDefault="00653571" w:rsidP="00534127">
            <w:pPr>
              <w:spacing w:before="240" w:after="240"/>
              <w:rPr>
                <w:rFonts w:ascii="Times New Roman" w:hAnsi="Times New Roman" w:cs="Times New Roman"/>
                <w:noProof/>
                <w:sz w:val="20"/>
                <w:szCs w:val="20"/>
              </w:rPr>
            </w:pPr>
          </w:p>
        </w:tc>
        <w:tc>
          <w:tcPr>
            <w:tcW w:w="1050" w:type="dxa"/>
            <w:vMerge/>
          </w:tcPr>
          <w:p w14:paraId="23273A93" w14:textId="77777777" w:rsidR="00653571" w:rsidRPr="008C5F1C" w:rsidRDefault="00653571" w:rsidP="00534127">
            <w:pPr>
              <w:rPr>
                <w:rFonts w:ascii="Times New Roman" w:hAnsi="Times New Roman" w:cs="Times New Roman"/>
                <w:noProof/>
                <w:sz w:val="20"/>
                <w:szCs w:val="20"/>
              </w:rPr>
            </w:pPr>
          </w:p>
        </w:tc>
        <w:tc>
          <w:tcPr>
            <w:tcW w:w="882" w:type="dxa"/>
            <w:vMerge/>
          </w:tcPr>
          <w:p w14:paraId="32FEDFB0" w14:textId="77777777" w:rsidR="00653571" w:rsidRPr="008C5F1C" w:rsidRDefault="00653571" w:rsidP="00534127">
            <w:pPr>
              <w:rPr>
                <w:rFonts w:ascii="Times New Roman" w:hAnsi="Times New Roman" w:cs="Times New Roman"/>
                <w:noProof/>
                <w:sz w:val="20"/>
                <w:szCs w:val="20"/>
              </w:rPr>
            </w:pPr>
          </w:p>
        </w:tc>
        <w:tc>
          <w:tcPr>
            <w:tcW w:w="3046" w:type="dxa"/>
          </w:tcPr>
          <w:p w14:paraId="76D824F2" w14:textId="77777777" w:rsidR="00653571" w:rsidRPr="008C5F1C" w:rsidRDefault="00653571" w:rsidP="00534127">
            <w:pPr>
              <w:rPr>
                <w:rFonts w:ascii="Times New Roman" w:hAnsi="Times New Roman" w:cs="Times New Roman"/>
                <w:noProof/>
                <w:sz w:val="20"/>
                <w:szCs w:val="20"/>
              </w:rPr>
            </w:pPr>
            <w:r w:rsidRPr="008C5F1C">
              <w:rPr>
                <w:rFonts w:ascii="Times New Roman" w:hAnsi="Times New Roman" w:cs="Times New Roman"/>
                <w:noProof/>
                <w:sz w:val="20"/>
                <w:szCs w:val="20"/>
              </w:rPr>
              <w:t>SO 6</w:t>
            </w:r>
          </w:p>
        </w:tc>
      </w:tr>
      <w:tr w:rsidR="00653571" w:rsidRPr="008C5F1C" w14:paraId="47BC2F13" w14:textId="77777777" w:rsidTr="00A87DEB">
        <w:trPr>
          <w:trHeight w:val="56"/>
        </w:trPr>
        <w:tc>
          <w:tcPr>
            <w:tcW w:w="4310" w:type="dxa"/>
            <w:vMerge/>
          </w:tcPr>
          <w:p w14:paraId="0A7CA6E5" w14:textId="77777777" w:rsidR="00653571" w:rsidRPr="008C5F1C" w:rsidRDefault="00653571" w:rsidP="00534127">
            <w:pPr>
              <w:spacing w:before="240" w:after="240"/>
              <w:rPr>
                <w:rFonts w:ascii="Times New Roman" w:hAnsi="Times New Roman" w:cs="Times New Roman"/>
                <w:noProof/>
                <w:sz w:val="20"/>
                <w:szCs w:val="20"/>
              </w:rPr>
            </w:pPr>
          </w:p>
        </w:tc>
        <w:tc>
          <w:tcPr>
            <w:tcW w:w="1050" w:type="dxa"/>
          </w:tcPr>
          <w:p w14:paraId="6B1B4301" w14:textId="77777777" w:rsidR="00653571" w:rsidRPr="008C5F1C" w:rsidRDefault="00653571" w:rsidP="00534127">
            <w:pPr>
              <w:rPr>
                <w:rFonts w:ascii="Times New Roman" w:hAnsi="Times New Roman" w:cs="Times New Roman"/>
                <w:noProof/>
                <w:sz w:val="20"/>
                <w:szCs w:val="20"/>
              </w:rPr>
            </w:pPr>
            <w:r w:rsidRPr="008C5F1C">
              <w:rPr>
                <w:rFonts w:ascii="Times New Roman" w:hAnsi="Times New Roman" w:cs="Times New Roman"/>
                <w:noProof/>
                <w:sz w:val="20"/>
                <w:szCs w:val="20"/>
              </w:rPr>
              <w:t>Priority 4</w:t>
            </w:r>
          </w:p>
        </w:tc>
        <w:tc>
          <w:tcPr>
            <w:tcW w:w="882" w:type="dxa"/>
          </w:tcPr>
          <w:p w14:paraId="0FE676D3" w14:textId="77777777" w:rsidR="00653571" w:rsidRPr="008C5F1C" w:rsidRDefault="00653571" w:rsidP="00534127">
            <w:pPr>
              <w:rPr>
                <w:rFonts w:ascii="Times New Roman" w:hAnsi="Times New Roman" w:cs="Times New Roman"/>
                <w:noProof/>
                <w:sz w:val="20"/>
                <w:szCs w:val="20"/>
              </w:rPr>
            </w:pPr>
            <w:r w:rsidRPr="008C5F1C">
              <w:rPr>
                <w:rFonts w:ascii="Times New Roman" w:hAnsi="Times New Roman" w:cs="Times New Roman"/>
                <w:noProof/>
                <w:sz w:val="20"/>
                <w:szCs w:val="20"/>
              </w:rPr>
              <w:t>JTF</w:t>
            </w:r>
          </w:p>
        </w:tc>
        <w:tc>
          <w:tcPr>
            <w:tcW w:w="3046" w:type="dxa"/>
          </w:tcPr>
          <w:p w14:paraId="3BF1D66F" w14:textId="4F7123D6" w:rsidR="00653571" w:rsidRPr="008C5F1C" w:rsidRDefault="00653571" w:rsidP="00534127">
            <w:pPr>
              <w:rPr>
                <w:rFonts w:ascii="Times New Roman" w:hAnsi="Times New Roman" w:cs="Times New Roman"/>
                <w:noProof/>
                <w:sz w:val="20"/>
                <w:szCs w:val="20"/>
              </w:rPr>
            </w:pPr>
            <w:r w:rsidRPr="008C5F1C">
              <w:rPr>
                <w:rFonts w:ascii="Times New Roman" w:hAnsi="Times New Roman" w:cs="Times New Roman"/>
                <w:noProof/>
                <w:sz w:val="20"/>
                <w:szCs w:val="20"/>
              </w:rPr>
              <w:t>SO JTF</w:t>
            </w:r>
          </w:p>
        </w:tc>
      </w:tr>
      <w:tr w:rsidR="00653571" w:rsidRPr="008C5F1C" w14:paraId="58C1F7BC" w14:textId="77777777" w:rsidTr="00534127">
        <w:trPr>
          <w:trHeight w:val="319"/>
        </w:trPr>
        <w:tc>
          <w:tcPr>
            <w:tcW w:w="4310" w:type="dxa"/>
            <w:vMerge w:val="restart"/>
          </w:tcPr>
          <w:p w14:paraId="1966C213" w14:textId="77777777" w:rsidR="00653571" w:rsidRPr="008C5F1C" w:rsidRDefault="00653571" w:rsidP="00534127">
            <w:pPr>
              <w:spacing w:before="240" w:after="240"/>
              <w:rPr>
                <w:rFonts w:ascii="Times New Roman" w:hAnsi="Times New Roman" w:cs="Times New Roman"/>
                <w:noProof/>
                <w:sz w:val="20"/>
                <w:szCs w:val="20"/>
              </w:rPr>
            </w:pPr>
            <w:r w:rsidRPr="008C5F1C">
              <w:rPr>
                <w:rFonts w:ascii="Times New Roman" w:hAnsi="Times New Roman" w:cs="Times New Roman"/>
                <w:noProof/>
                <w:sz w:val="20"/>
                <w:szCs w:val="20"/>
              </w:rPr>
              <w:t>Use of financing not linked to costs according to Article 89 CPR</w:t>
            </w:r>
          </w:p>
        </w:tc>
        <w:tc>
          <w:tcPr>
            <w:tcW w:w="1050" w:type="dxa"/>
            <w:vMerge w:val="restart"/>
          </w:tcPr>
          <w:p w14:paraId="16300209" w14:textId="77777777" w:rsidR="00653571" w:rsidRPr="008C5F1C" w:rsidRDefault="00653571" w:rsidP="00534127">
            <w:pPr>
              <w:rPr>
                <w:rFonts w:ascii="Times New Roman" w:hAnsi="Times New Roman" w:cs="Times New Roman"/>
                <w:noProof/>
                <w:sz w:val="20"/>
                <w:szCs w:val="20"/>
              </w:rPr>
            </w:pPr>
            <w:r w:rsidRPr="008C5F1C">
              <w:rPr>
                <w:rFonts w:ascii="Times New Roman" w:hAnsi="Times New Roman" w:cs="Times New Roman"/>
                <w:noProof/>
                <w:sz w:val="20"/>
                <w:szCs w:val="20"/>
              </w:rPr>
              <w:t>Priority 1</w:t>
            </w:r>
          </w:p>
        </w:tc>
        <w:tc>
          <w:tcPr>
            <w:tcW w:w="882" w:type="dxa"/>
            <w:vMerge w:val="restart"/>
          </w:tcPr>
          <w:p w14:paraId="4ACAD069" w14:textId="77777777" w:rsidR="00653571" w:rsidRPr="008C5F1C" w:rsidRDefault="00653571" w:rsidP="00534127">
            <w:pPr>
              <w:rPr>
                <w:rFonts w:ascii="Times New Roman" w:hAnsi="Times New Roman" w:cs="Times New Roman"/>
                <w:noProof/>
                <w:sz w:val="20"/>
                <w:szCs w:val="20"/>
              </w:rPr>
            </w:pPr>
            <w:r w:rsidRPr="008C5F1C">
              <w:rPr>
                <w:rFonts w:ascii="Times New Roman" w:hAnsi="Times New Roman" w:cs="Times New Roman"/>
                <w:noProof/>
                <w:sz w:val="20"/>
                <w:szCs w:val="20"/>
              </w:rPr>
              <w:t>ERDF</w:t>
            </w:r>
          </w:p>
        </w:tc>
        <w:tc>
          <w:tcPr>
            <w:tcW w:w="3046" w:type="dxa"/>
          </w:tcPr>
          <w:p w14:paraId="61AA2E60" w14:textId="77777777" w:rsidR="00653571" w:rsidRPr="008C5F1C" w:rsidRDefault="00653571" w:rsidP="00534127">
            <w:pPr>
              <w:rPr>
                <w:rFonts w:ascii="Times New Roman" w:hAnsi="Times New Roman" w:cs="Times New Roman"/>
                <w:noProof/>
                <w:sz w:val="20"/>
                <w:szCs w:val="20"/>
              </w:rPr>
            </w:pPr>
            <w:r w:rsidRPr="008C5F1C">
              <w:rPr>
                <w:rFonts w:ascii="Times New Roman" w:hAnsi="Times New Roman" w:cs="Times New Roman"/>
                <w:noProof/>
                <w:sz w:val="20"/>
                <w:szCs w:val="20"/>
              </w:rPr>
              <w:t>SO 7</w:t>
            </w:r>
          </w:p>
        </w:tc>
      </w:tr>
      <w:tr w:rsidR="00653571" w:rsidRPr="008C5F1C" w14:paraId="594D8F27" w14:textId="77777777" w:rsidTr="00534127">
        <w:trPr>
          <w:trHeight w:val="319"/>
        </w:trPr>
        <w:tc>
          <w:tcPr>
            <w:tcW w:w="4310" w:type="dxa"/>
            <w:vMerge/>
          </w:tcPr>
          <w:p w14:paraId="2449BF7D" w14:textId="77777777" w:rsidR="00653571" w:rsidRPr="008C5F1C" w:rsidRDefault="00653571" w:rsidP="00534127">
            <w:pPr>
              <w:spacing w:before="240" w:after="240"/>
              <w:rPr>
                <w:rFonts w:ascii="Times New Roman" w:hAnsi="Times New Roman" w:cs="Times New Roman"/>
                <w:noProof/>
                <w:sz w:val="20"/>
                <w:szCs w:val="20"/>
              </w:rPr>
            </w:pPr>
          </w:p>
        </w:tc>
        <w:tc>
          <w:tcPr>
            <w:tcW w:w="1050" w:type="dxa"/>
            <w:vMerge/>
          </w:tcPr>
          <w:p w14:paraId="3C43F03B" w14:textId="77777777" w:rsidR="00653571" w:rsidRPr="008C5F1C" w:rsidRDefault="00653571" w:rsidP="00534127">
            <w:pPr>
              <w:rPr>
                <w:rFonts w:ascii="Times New Roman" w:hAnsi="Times New Roman" w:cs="Times New Roman"/>
                <w:noProof/>
                <w:sz w:val="20"/>
                <w:szCs w:val="20"/>
              </w:rPr>
            </w:pPr>
          </w:p>
        </w:tc>
        <w:tc>
          <w:tcPr>
            <w:tcW w:w="882" w:type="dxa"/>
            <w:vMerge/>
          </w:tcPr>
          <w:p w14:paraId="1563EEC3" w14:textId="77777777" w:rsidR="00653571" w:rsidRPr="008C5F1C" w:rsidRDefault="00653571" w:rsidP="00534127">
            <w:pPr>
              <w:rPr>
                <w:rFonts w:ascii="Times New Roman" w:hAnsi="Times New Roman" w:cs="Times New Roman"/>
                <w:noProof/>
                <w:sz w:val="20"/>
                <w:szCs w:val="20"/>
              </w:rPr>
            </w:pPr>
          </w:p>
        </w:tc>
        <w:tc>
          <w:tcPr>
            <w:tcW w:w="3046" w:type="dxa"/>
          </w:tcPr>
          <w:p w14:paraId="35CB74D3" w14:textId="77777777" w:rsidR="00653571" w:rsidRPr="008C5F1C" w:rsidRDefault="00653571" w:rsidP="00534127">
            <w:pPr>
              <w:rPr>
                <w:rFonts w:ascii="Times New Roman" w:hAnsi="Times New Roman" w:cs="Times New Roman"/>
                <w:noProof/>
                <w:sz w:val="20"/>
                <w:szCs w:val="20"/>
              </w:rPr>
            </w:pPr>
            <w:r w:rsidRPr="008C5F1C">
              <w:rPr>
                <w:rFonts w:ascii="Times New Roman" w:hAnsi="Times New Roman" w:cs="Times New Roman"/>
                <w:noProof/>
                <w:sz w:val="20"/>
                <w:szCs w:val="20"/>
              </w:rPr>
              <w:t>SO 8</w:t>
            </w:r>
          </w:p>
        </w:tc>
      </w:tr>
      <w:tr w:rsidR="00653571" w:rsidRPr="008C5F1C" w14:paraId="0DABD84F" w14:textId="77777777" w:rsidTr="00534127">
        <w:trPr>
          <w:trHeight w:val="319"/>
        </w:trPr>
        <w:tc>
          <w:tcPr>
            <w:tcW w:w="4310" w:type="dxa"/>
            <w:vMerge/>
          </w:tcPr>
          <w:p w14:paraId="0F79B678" w14:textId="77777777" w:rsidR="00653571" w:rsidRPr="008C5F1C" w:rsidRDefault="00653571" w:rsidP="00534127">
            <w:pPr>
              <w:spacing w:before="240" w:after="240"/>
              <w:rPr>
                <w:rFonts w:ascii="Times New Roman" w:hAnsi="Times New Roman" w:cs="Times New Roman"/>
                <w:noProof/>
                <w:sz w:val="20"/>
                <w:szCs w:val="20"/>
              </w:rPr>
            </w:pPr>
          </w:p>
        </w:tc>
        <w:tc>
          <w:tcPr>
            <w:tcW w:w="1050" w:type="dxa"/>
            <w:vMerge w:val="restart"/>
          </w:tcPr>
          <w:p w14:paraId="4B59D144" w14:textId="77777777" w:rsidR="00653571" w:rsidRPr="008C5F1C" w:rsidRDefault="00653571" w:rsidP="00534127">
            <w:pPr>
              <w:rPr>
                <w:rFonts w:ascii="Times New Roman" w:hAnsi="Times New Roman" w:cs="Times New Roman"/>
                <w:noProof/>
                <w:sz w:val="20"/>
                <w:szCs w:val="20"/>
              </w:rPr>
            </w:pPr>
            <w:r w:rsidRPr="008C5F1C">
              <w:rPr>
                <w:rFonts w:ascii="Times New Roman" w:hAnsi="Times New Roman" w:cs="Times New Roman"/>
                <w:noProof/>
                <w:sz w:val="20"/>
                <w:szCs w:val="20"/>
              </w:rPr>
              <w:t>Priority 2</w:t>
            </w:r>
          </w:p>
        </w:tc>
        <w:tc>
          <w:tcPr>
            <w:tcW w:w="882" w:type="dxa"/>
            <w:vMerge w:val="restart"/>
          </w:tcPr>
          <w:p w14:paraId="4FBDF5F8" w14:textId="77777777" w:rsidR="00653571" w:rsidRPr="008C5F1C" w:rsidRDefault="00653571" w:rsidP="00534127">
            <w:pPr>
              <w:rPr>
                <w:rFonts w:ascii="Times New Roman" w:hAnsi="Times New Roman" w:cs="Times New Roman"/>
                <w:noProof/>
                <w:sz w:val="20"/>
                <w:szCs w:val="20"/>
              </w:rPr>
            </w:pPr>
            <w:r w:rsidRPr="008C5F1C">
              <w:rPr>
                <w:rFonts w:ascii="Times New Roman" w:hAnsi="Times New Roman" w:cs="Times New Roman"/>
                <w:noProof/>
                <w:sz w:val="20"/>
                <w:szCs w:val="20"/>
              </w:rPr>
              <w:t>ESF+</w:t>
            </w:r>
          </w:p>
        </w:tc>
        <w:tc>
          <w:tcPr>
            <w:tcW w:w="3046" w:type="dxa"/>
          </w:tcPr>
          <w:p w14:paraId="459203E2" w14:textId="77777777" w:rsidR="00653571" w:rsidRPr="008C5F1C" w:rsidRDefault="00653571" w:rsidP="00534127">
            <w:pPr>
              <w:rPr>
                <w:rFonts w:ascii="Times New Roman" w:hAnsi="Times New Roman" w:cs="Times New Roman"/>
                <w:noProof/>
                <w:sz w:val="20"/>
                <w:szCs w:val="20"/>
              </w:rPr>
            </w:pPr>
            <w:r w:rsidRPr="008C5F1C">
              <w:rPr>
                <w:rFonts w:ascii="Times New Roman" w:hAnsi="Times New Roman" w:cs="Times New Roman"/>
                <w:noProof/>
                <w:sz w:val="20"/>
                <w:szCs w:val="20"/>
              </w:rPr>
              <w:t>SO 9</w:t>
            </w:r>
          </w:p>
        </w:tc>
      </w:tr>
      <w:tr w:rsidR="00653571" w:rsidRPr="008C5F1C" w14:paraId="6420316C" w14:textId="77777777" w:rsidTr="00534127">
        <w:trPr>
          <w:trHeight w:val="319"/>
        </w:trPr>
        <w:tc>
          <w:tcPr>
            <w:tcW w:w="4310" w:type="dxa"/>
            <w:vMerge/>
          </w:tcPr>
          <w:p w14:paraId="1496150F" w14:textId="77777777" w:rsidR="00653571" w:rsidRPr="008C5F1C" w:rsidRDefault="00653571" w:rsidP="00534127">
            <w:pPr>
              <w:spacing w:before="240" w:after="240"/>
              <w:rPr>
                <w:rFonts w:ascii="Times New Roman" w:hAnsi="Times New Roman" w:cs="Times New Roman"/>
                <w:noProof/>
                <w:sz w:val="20"/>
                <w:szCs w:val="20"/>
              </w:rPr>
            </w:pPr>
          </w:p>
        </w:tc>
        <w:tc>
          <w:tcPr>
            <w:tcW w:w="1050" w:type="dxa"/>
            <w:vMerge/>
          </w:tcPr>
          <w:p w14:paraId="5CB2A96E" w14:textId="77777777" w:rsidR="00653571" w:rsidRPr="008C5F1C" w:rsidRDefault="00653571" w:rsidP="00534127">
            <w:pPr>
              <w:rPr>
                <w:rFonts w:ascii="Times New Roman" w:hAnsi="Times New Roman" w:cs="Times New Roman"/>
                <w:noProof/>
                <w:sz w:val="20"/>
                <w:szCs w:val="20"/>
              </w:rPr>
            </w:pPr>
          </w:p>
        </w:tc>
        <w:tc>
          <w:tcPr>
            <w:tcW w:w="882" w:type="dxa"/>
            <w:vMerge/>
          </w:tcPr>
          <w:p w14:paraId="4D1AB7A7" w14:textId="77777777" w:rsidR="00653571" w:rsidRPr="008C5F1C" w:rsidRDefault="00653571" w:rsidP="00534127">
            <w:pPr>
              <w:rPr>
                <w:rFonts w:ascii="Times New Roman" w:hAnsi="Times New Roman" w:cs="Times New Roman"/>
                <w:noProof/>
                <w:sz w:val="20"/>
                <w:szCs w:val="20"/>
              </w:rPr>
            </w:pPr>
          </w:p>
        </w:tc>
        <w:tc>
          <w:tcPr>
            <w:tcW w:w="3046" w:type="dxa"/>
          </w:tcPr>
          <w:p w14:paraId="15046194" w14:textId="77777777" w:rsidR="00653571" w:rsidRPr="008C5F1C" w:rsidRDefault="00653571" w:rsidP="00534127">
            <w:pPr>
              <w:rPr>
                <w:rFonts w:ascii="Times New Roman" w:hAnsi="Times New Roman" w:cs="Times New Roman"/>
                <w:noProof/>
                <w:sz w:val="20"/>
                <w:szCs w:val="20"/>
              </w:rPr>
            </w:pPr>
            <w:r w:rsidRPr="008C5F1C">
              <w:rPr>
                <w:rFonts w:ascii="Times New Roman" w:hAnsi="Times New Roman" w:cs="Times New Roman"/>
                <w:noProof/>
                <w:sz w:val="20"/>
                <w:szCs w:val="20"/>
              </w:rPr>
              <w:t>SO 10</w:t>
            </w:r>
          </w:p>
        </w:tc>
      </w:tr>
      <w:tr w:rsidR="00653571" w:rsidRPr="008C5F1C" w14:paraId="57B46473" w14:textId="77777777" w:rsidTr="00534127">
        <w:trPr>
          <w:trHeight w:val="319"/>
        </w:trPr>
        <w:tc>
          <w:tcPr>
            <w:tcW w:w="4310" w:type="dxa"/>
            <w:vMerge/>
          </w:tcPr>
          <w:p w14:paraId="4214E117" w14:textId="77777777" w:rsidR="00653571" w:rsidRPr="008C5F1C" w:rsidRDefault="00653571" w:rsidP="00534127">
            <w:pPr>
              <w:spacing w:before="240" w:after="240"/>
              <w:rPr>
                <w:rFonts w:ascii="Times New Roman" w:hAnsi="Times New Roman" w:cs="Times New Roman"/>
                <w:noProof/>
                <w:sz w:val="20"/>
                <w:szCs w:val="20"/>
              </w:rPr>
            </w:pPr>
          </w:p>
        </w:tc>
        <w:tc>
          <w:tcPr>
            <w:tcW w:w="1050" w:type="dxa"/>
            <w:vMerge w:val="restart"/>
          </w:tcPr>
          <w:p w14:paraId="360BF590" w14:textId="77777777" w:rsidR="00653571" w:rsidRPr="008C5F1C" w:rsidRDefault="00653571" w:rsidP="00534127">
            <w:pPr>
              <w:rPr>
                <w:rFonts w:ascii="Times New Roman" w:hAnsi="Times New Roman" w:cs="Times New Roman"/>
                <w:noProof/>
                <w:sz w:val="20"/>
                <w:szCs w:val="20"/>
              </w:rPr>
            </w:pPr>
            <w:r w:rsidRPr="008C5F1C">
              <w:rPr>
                <w:rFonts w:ascii="Times New Roman" w:hAnsi="Times New Roman" w:cs="Times New Roman"/>
                <w:noProof/>
                <w:sz w:val="20"/>
                <w:szCs w:val="20"/>
              </w:rPr>
              <w:t>Priority 3</w:t>
            </w:r>
          </w:p>
        </w:tc>
        <w:tc>
          <w:tcPr>
            <w:tcW w:w="882" w:type="dxa"/>
            <w:vMerge w:val="restart"/>
          </w:tcPr>
          <w:p w14:paraId="03D876B9" w14:textId="77777777" w:rsidR="00653571" w:rsidRPr="008C5F1C" w:rsidRDefault="00653571" w:rsidP="00534127">
            <w:pPr>
              <w:rPr>
                <w:rFonts w:ascii="Times New Roman" w:hAnsi="Times New Roman" w:cs="Times New Roman"/>
                <w:noProof/>
                <w:sz w:val="20"/>
                <w:szCs w:val="20"/>
              </w:rPr>
            </w:pPr>
            <w:r w:rsidRPr="008C5F1C">
              <w:rPr>
                <w:rFonts w:ascii="Times New Roman" w:hAnsi="Times New Roman" w:cs="Times New Roman"/>
                <w:noProof/>
                <w:sz w:val="20"/>
                <w:szCs w:val="20"/>
              </w:rPr>
              <w:t>CF</w:t>
            </w:r>
          </w:p>
        </w:tc>
        <w:tc>
          <w:tcPr>
            <w:tcW w:w="3046" w:type="dxa"/>
          </w:tcPr>
          <w:p w14:paraId="224F4FC8" w14:textId="77777777" w:rsidR="00653571" w:rsidRPr="008C5F1C" w:rsidRDefault="00653571" w:rsidP="00534127">
            <w:pPr>
              <w:rPr>
                <w:rFonts w:ascii="Times New Roman" w:hAnsi="Times New Roman" w:cs="Times New Roman"/>
                <w:noProof/>
                <w:sz w:val="20"/>
                <w:szCs w:val="20"/>
              </w:rPr>
            </w:pPr>
            <w:r w:rsidRPr="008C5F1C">
              <w:rPr>
                <w:rFonts w:ascii="Times New Roman" w:hAnsi="Times New Roman" w:cs="Times New Roman"/>
                <w:noProof/>
                <w:sz w:val="20"/>
                <w:szCs w:val="20"/>
              </w:rPr>
              <w:t>SO 11</w:t>
            </w:r>
          </w:p>
        </w:tc>
      </w:tr>
      <w:tr w:rsidR="00653571" w:rsidRPr="008C5F1C" w14:paraId="64AD8DD6" w14:textId="77777777" w:rsidTr="00534127">
        <w:trPr>
          <w:trHeight w:val="319"/>
        </w:trPr>
        <w:tc>
          <w:tcPr>
            <w:tcW w:w="4310" w:type="dxa"/>
            <w:vMerge/>
          </w:tcPr>
          <w:p w14:paraId="3E7E83D7" w14:textId="77777777" w:rsidR="00653571" w:rsidRPr="008C5F1C" w:rsidRDefault="00653571" w:rsidP="00534127">
            <w:pPr>
              <w:spacing w:before="240" w:after="240"/>
              <w:rPr>
                <w:rFonts w:ascii="Times New Roman" w:hAnsi="Times New Roman" w:cs="Times New Roman"/>
                <w:noProof/>
                <w:sz w:val="20"/>
                <w:szCs w:val="20"/>
              </w:rPr>
            </w:pPr>
          </w:p>
        </w:tc>
        <w:tc>
          <w:tcPr>
            <w:tcW w:w="1050" w:type="dxa"/>
            <w:vMerge/>
          </w:tcPr>
          <w:p w14:paraId="1694B6CF" w14:textId="77777777" w:rsidR="00653571" w:rsidRPr="008C5F1C" w:rsidRDefault="00653571" w:rsidP="00534127">
            <w:pPr>
              <w:rPr>
                <w:rFonts w:ascii="Times New Roman" w:hAnsi="Times New Roman" w:cs="Times New Roman"/>
                <w:noProof/>
                <w:sz w:val="20"/>
                <w:szCs w:val="20"/>
              </w:rPr>
            </w:pPr>
          </w:p>
        </w:tc>
        <w:tc>
          <w:tcPr>
            <w:tcW w:w="882" w:type="dxa"/>
            <w:vMerge/>
          </w:tcPr>
          <w:p w14:paraId="6235E5A9" w14:textId="77777777" w:rsidR="00653571" w:rsidRPr="008C5F1C" w:rsidRDefault="00653571" w:rsidP="00534127">
            <w:pPr>
              <w:rPr>
                <w:rFonts w:ascii="Times New Roman" w:hAnsi="Times New Roman" w:cs="Times New Roman"/>
                <w:noProof/>
                <w:sz w:val="20"/>
                <w:szCs w:val="20"/>
              </w:rPr>
            </w:pPr>
          </w:p>
        </w:tc>
        <w:tc>
          <w:tcPr>
            <w:tcW w:w="3046" w:type="dxa"/>
          </w:tcPr>
          <w:p w14:paraId="48B862A7" w14:textId="77777777" w:rsidR="00653571" w:rsidRPr="008C5F1C" w:rsidRDefault="00653571" w:rsidP="00534127">
            <w:pPr>
              <w:rPr>
                <w:rFonts w:ascii="Times New Roman" w:hAnsi="Times New Roman" w:cs="Times New Roman"/>
                <w:noProof/>
                <w:sz w:val="20"/>
                <w:szCs w:val="20"/>
              </w:rPr>
            </w:pPr>
            <w:r w:rsidRPr="008C5F1C">
              <w:rPr>
                <w:rFonts w:ascii="Times New Roman" w:hAnsi="Times New Roman" w:cs="Times New Roman"/>
                <w:noProof/>
                <w:sz w:val="20"/>
                <w:szCs w:val="20"/>
              </w:rPr>
              <w:t>SO 12</w:t>
            </w:r>
          </w:p>
        </w:tc>
      </w:tr>
      <w:tr w:rsidR="00653571" w:rsidRPr="008C5F1C" w14:paraId="400D96FE" w14:textId="77777777" w:rsidTr="00534127">
        <w:trPr>
          <w:trHeight w:val="648"/>
        </w:trPr>
        <w:tc>
          <w:tcPr>
            <w:tcW w:w="4310" w:type="dxa"/>
            <w:vMerge/>
          </w:tcPr>
          <w:p w14:paraId="71273D88" w14:textId="77777777" w:rsidR="00653571" w:rsidRPr="008C5F1C" w:rsidRDefault="00653571" w:rsidP="00534127">
            <w:pPr>
              <w:rPr>
                <w:rFonts w:ascii="Times New Roman" w:hAnsi="Times New Roman" w:cs="Times New Roman"/>
                <w:noProof/>
                <w:sz w:val="20"/>
                <w:szCs w:val="20"/>
              </w:rPr>
            </w:pPr>
          </w:p>
        </w:tc>
        <w:tc>
          <w:tcPr>
            <w:tcW w:w="1050" w:type="dxa"/>
          </w:tcPr>
          <w:p w14:paraId="09706EBD" w14:textId="77777777" w:rsidR="00653571" w:rsidRPr="008C5F1C" w:rsidRDefault="00653571" w:rsidP="00534127">
            <w:pPr>
              <w:rPr>
                <w:rFonts w:ascii="Times New Roman" w:hAnsi="Times New Roman" w:cs="Times New Roman"/>
                <w:noProof/>
                <w:sz w:val="20"/>
                <w:szCs w:val="20"/>
              </w:rPr>
            </w:pPr>
            <w:r w:rsidRPr="008C5F1C">
              <w:rPr>
                <w:rFonts w:ascii="Times New Roman" w:hAnsi="Times New Roman" w:cs="Times New Roman"/>
                <w:noProof/>
                <w:sz w:val="20"/>
                <w:szCs w:val="20"/>
              </w:rPr>
              <w:t>Priority 4</w:t>
            </w:r>
          </w:p>
        </w:tc>
        <w:tc>
          <w:tcPr>
            <w:tcW w:w="882" w:type="dxa"/>
          </w:tcPr>
          <w:p w14:paraId="39550487" w14:textId="77777777" w:rsidR="00653571" w:rsidRPr="008C5F1C" w:rsidRDefault="00653571" w:rsidP="00534127">
            <w:pPr>
              <w:rPr>
                <w:rFonts w:ascii="Times New Roman" w:hAnsi="Times New Roman" w:cs="Times New Roman"/>
                <w:noProof/>
                <w:sz w:val="20"/>
                <w:szCs w:val="20"/>
              </w:rPr>
            </w:pPr>
            <w:r w:rsidRPr="008C5F1C">
              <w:rPr>
                <w:rFonts w:ascii="Times New Roman" w:hAnsi="Times New Roman" w:cs="Times New Roman"/>
                <w:noProof/>
                <w:sz w:val="20"/>
                <w:szCs w:val="20"/>
              </w:rPr>
              <w:t>JTF</w:t>
            </w:r>
          </w:p>
        </w:tc>
        <w:tc>
          <w:tcPr>
            <w:tcW w:w="3046" w:type="dxa"/>
          </w:tcPr>
          <w:p w14:paraId="0D9B8DE8" w14:textId="77777777" w:rsidR="00653571" w:rsidRPr="008C5F1C" w:rsidRDefault="00653571" w:rsidP="00534127">
            <w:pPr>
              <w:rPr>
                <w:rFonts w:ascii="Times New Roman" w:hAnsi="Times New Roman" w:cs="Times New Roman"/>
                <w:noProof/>
                <w:sz w:val="20"/>
                <w:szCs w:val="20"/>
              </w:rPr>
            </w:pPr>
            <w:r w:rsidRPr="008C5F1C">
              <w:rPr>
                <w:rFonts w:ascii="Times New Roman" w:hAnsi="Times New Roman" w:cs="Times New Roman"/>
                <w:noProof/>
                <w:sz w:val="20"/>
                <w:szCs w:val="20"/>
              </w:rPr>
              <w:t>SO JTF</w:t>
            </w:r>
          </w:p>
          <w:p w14:paraId="239FAF1C" w14:textId="77777777" w:rsidR="00653571" w:rsidRPr="008C5F1C" w:rsidRDefault="00653571" w:rsidP="00534127">
            <w:pPr>
              <w:rPr>
                <w:rFonts w:ascii="Times New Roman" w:hAnsi="Times New Roman" w:cs="Times New Roman"/>
                <w:noProof/>
                <w:sz w:val="20"/>
                <w:szCs w:val="20"/>
              </w:rPr>
            </w:pPr>
          </w:p>
        </w:tc>
      </w:tr>
    </w:tbl>
    <w:p w14:paraId="64667599" w14:textId="77777777" w:rsidR="00653571" w:rsidRPr="008C5F1C" w:rsidRDefault="00653571" w:rsidP="00653571">
      <w:pPr>
        <w:spacing w:after="0"/>
        <w:rPr>
          <w:rFonts w:ascii="Times New Roman" w:hAnsi="Times New Roman" w:cs="Times New Roman"/>
          <w:noProof/>
          <w:sz w:val="16"/>
          <w:szCs w:val="16"/>
        </w:rPr>
      </w:pPr>
    </w:p>
    <w:p w14:paraId="49BA5AEE" w14:textId="77777777" w:rsidR="00653571" w:rsidRPr="008C5F1C" w:rsidRDefault="00653571" w:rsidP="00653571">
      <w:pPr>
        <w:rPr>
          <w:rFonts w:ascii="Times New Roman" w:hAnsi="Times New Roman" w:cs="Times New Roman"/>
          <w:noProof/>
          <w:sz w:val="16"/>
          <w:szCs w:val="16"/>
        </w:rPr>
      </w:pPr>
      <w:r w:rsidRPr="008C5F1C">
        <w:rPr>
          <w:rFonts w:ascii="Times New Roman" w:hAnsi="Times New Roman" w:cs="Times New Roman"/>
          <w:noProof/>
          <w:sz w:val="16"/>
          <w:szCs w:val="16"/>
        </w:rPr>
        <w:br w:type="page"/>
      </w:r>
    </w:p>
    <w:p w14:paraId="0D3F28F7" w14:textId="77777777" w:rsidR="00653571" w:rsidRPr="008C5F1C" w:rsidRDefault="00653571" w:rsidP="00653571">
      <w:pPr>
        <w:spacing w:after="0"/>
        <w:rPr>
          <w:rFonts w:ascii="Times New Roman" w:hAnsi="Times New Roman" w:cs="Times New Roman"/>
          <w:noProof/>
          <w:sz w:val="16"/>
          <w:szCs w:val="16"/>
        </w:rPr>
      </w:pPr>
    </w:p>
    <w:p w14:paraId="4B1350AA" w14:textId="77777777" w:rsidR="00653571" w:rsidRPr="008C5F1C" w:rsidRDefault="00653571" w:rsidP="00653571">
      <w:pPr>
        <w:spacing w:after="0"/>
        <w:rPr>
          <w:rFonts w:ascii="Times New Roman" w:hAnsi="Times New Roman" w:cs="Times New Roman"/>
          <w:noProof/>
          <w:sz w:val="16"/>
          <w:szCs w:val="16"/>
        </w:rPr>
      </w:pPr>
    </w:p>
    <w:p w14:paraId="3F0A67CB" w14:textId="77777777" w:rsidR="00653571" w:rsidRPr="008C5F1C" w:rsidRDefault="00653571" w:rsidP="00653571">
      <w:pPr>
        <w:rPr>
          <w:rFonts w:ascii="Times New Roman" w:eastAsia="Calibri" w:hAnsi="Times New Roman" w:cs="Times New Roman"/>
          <w:b/>
          <w:i/>
          <w:noProof/>
          <w:szCs w:val="24"/>
          <w:lang w:eastAsia="en-GB"/>
        </w:rPr>
      </w:pPr>
      <w:r w:rsidRPr="008C5F1C">
        <w:rPr>
          <w:rFonts w:ascii="Times New Roman" w:eastAsia="Times New Roman" w:hAnsi="Times New Roman" w:cs="Times New Roman"/>
          <w:b/>
          <w:i/>
          <w:noProof/>
          <w:szCs w:val="24"/>
          <w:lang w:eastAsia="en-GB"/>
        </w:rPr>
        <w:t>Appendix 1:</w:t>
      </w:r>
      <w:r w:rsidRPr="008C5F1C">
        <w:rPr>
          <w:rFonts w:ascii="Times New Roman" w:eastAsia="Times New Roman" w:hAnsi="Times New Roman" w:cs="Times New Roman"/>
          <w:b/>
          <w:noProof/>
          <w:szCs w:val="24"/>
          <w:lang w:eastAsia="en-GB"/>
        </w:rPr>
        <w:t xml:space="preserve"> </w:t>
      </w:r>
      <w:r w:rsidRPr="008C5F1C">
        <w:rPr>
          <w:rFonts w:ascii="Times New Roman" w:eastAsia="Times New Roman" w:hAnsi="Times New Roman" w:cs="Times New Roman"/>
          <w:b/>
          <w:noProof/>
          <w:szCs w:val="24"/>
          <w:lang w:eastAsia="en-GB"/>
        </w:rPr>
        <w:tab/>
        <w:t xml:space="preserve">Union contribution based on unit costs, lump sums and flat rates </w:t>
      </w:r>
    </w:p>
    <w:p w14:paraId="0D3CAF04" w14:textId="77777777" w:rsidR="00653571" w:rsidRPr="008C5F1C" w:rsidRDefault="00653571" w:rsidP="00653571">
      <w:pPr>
        <w:jc w:val="center"/>
        <w:rPr>
          <w:rFonts w:ascii="Times New Roman" w:eastAsia="Calibri" w:hAnsi="Times New Roman" w:cs="Times New Roman"/>
          <w:b/>
          <w:noProof/>
          <w:szCs w:val="24"/>
          <w:lang w:eastAsia="en-GB"/>
        </w:rPr>
      </w:pPr>
      <w:r w:rsidRPr="008C5F1C">
        <w:rPr>
          <w:rFonts w:ascii="Times New Roman" w:eastAsia="Calibri" w:hAnsi="Times New Roman" w:cs="Times New Roman"/>
          <w:b/>
          <w:noProof/>
          <w:szCs w:val="24"/>
          <w:lang w:eastAsia="en-GB"/>
        </w:rPr>
        <w:t>Template for submitting data for the consideration of the Commission</w:t>
      </w:r>
    </w:p>
    <w:p w14:paraId="6C12DEE1" w14:textId="77777777" w:rsidR="00653571" w:rsidRPr="008C5F1C" w:rsidRDefault="00653571" w:rsidP="00653571">
      <w:pPr>
        <w:jc w:val="center"/>
        <w:rPr>
          <w:rFonts w:ascii="Times New Roman" w:eastAsia="Calibri" w:hAnsi="Times New Roman" w:cs="Times New Roman"/>
          <w:b/>
          <w:i/>
          <w:noProof/>
          <w:szCs w:val="24"/>
          <w:lang w:eastAsia="en-GB"/>
        </w:rPr>
      </w:pPr>
      <w:r w:rsidRPr="008C5F1C">
        <w:rPr>
          <w:rFonts w:ascii="Times New Roman" w:eastAsia="Calibri" w:hAnsi="Times New Roman" w:cs="Times New Roman"/>
          <w:b/>
          <w:noProof/>
          <w:szCs w:val="24"/>
          <w:lang w:eastAsia="en-GB"/>
        </w:rPr>
        <w:t>(Article 88)</w:t>
      </w:r>
    </w:p>
    <w:p w14:paraId="2AFD40F2" w14:textId="77777777" w:rsidR="00653571" w:rsidRPr="008C5F1C" w:rsidRDefault="00653571" w:rsidP="00653571">
      <w:pPr>
        <w:spacing w:after="240"/>
        <w:jc w:val="center"/>
        <w:rPr>
          <w:rFonts w:ascii="Times New Roman" w:eastAsia="Calibri" w:hAnsi="Times New Roman" w:cs="Times New Roman"/>
          <w:noProof/>
          <w:szCs w:val="24"/>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653571" w:rsidRPr="008C5F1C" w14:paraId="5BCA1AD6" w14:textId="77777777" w:rsidTr="00534127">
        <w:tc>
          <w:tcPr>
            <w:tcW w:w="4644" w:type="dxa"/>
            <w:tcBorders>
              <w:top w:val="single" w:sz="4" w:space="0" w:color="auto"/>
              <w:left w:val="single" w:sz="4" w:space="0" w:color="auto"/>
              <w:bottom w:val="single" w:sz="4" w:space="0" w:color="auto"/>
              <w:right w:val="single" w:sz="4" w:space="0" w:color="auto"/>
            </w:tcBorders>
            <w:hideMark/>
          </w:tcPr>
          <w:p w14:paraId="50B14A45" w14:textId="77777777" w:rsidR="00653571" w:rsidRPr="008C5F1C" w:rsidRDefault="00653571" w:rsidP="00534127">
            <w:pPr>
              <w:rPr>
                <w:rFonts w:ascii="Times New Roman" w:eastAsia="Calibri" w:hAnsi="Times New Roman" w:cs="Times New Roman"/>
                <w:noProof/>
                <w:szCs w:val="24"/>
                <w:lang w:eastAsia="en-GB"/>
              </w:rPr>
            </w:pPr>
            <w:r w:rsidRPr="008C5F1C">
              <w:rPr>
                <w:rFonts w:ascii="Times New Roman" w:eastAsia="Calibri" w:hAnsi="Times New Roman" w:cs="Times New Roman"/>
                <w:noProof/>
                <w:szCs w:val="24"/>
                <w:lang w:eastAsia="en-GB"/>
              </w:rPr>
              <w:t>Date of submitting the proposal</w:t>
            </w:r>
          </w:p>
        </w:tc>
        <w:tc>
          <w:tcPr>
            <w:tcW w:w="4644" w:type="dxa"/>
            <w:tcBorders>
              <w:top w:val="single" w:sz="4" w:space="0" w:color="auto"/>
              <w:left w:val="single" w:sz="4" w:space="0" w:color="auto"/>
              <w:bottom w:val="single" w:sz="4" w:space="0" w:color="auto"/>
              <w:right w:val="single" w:sz="4" w:space="0" w:color="auto"/>
            </w:tcBorders>
          </w:tcPr>
          <w:p w14:paraId="3C7B2869" w14:textId="77777777" w:rsidR="00653571" w:rsidRPr="008C5F1C" w:rsidRDefault="00653571" w:rsidP="00534127">
            <w:pPr>
              <w:rPr>
                <w:rFonts w:ascii="Times New Roman" w:eastAsia="Calibri" w:hAnsi="Times New Roman" w:cs="Times New Roman"/>
                <w:noProof/>
                <w:szCs w:val="24"/>
                <w:lang w:eastAsia="en-GB"/>
              </w:rPr>
            </w:pPr>
          </w:p>
        </w:tc>
      </w:tr>
      <w:tr w:rsidR="00653571" w:rsidRPr="008C5F1C" w14:paraId="04BB8916" w14:textId="77777777" w:rsidTr="00534127">
        <w:tc>
          <w:tcPr>
            <w:tcW w:w="4644" w:type="dxa"/>
            <w:tcBorders>
              <w:top w:val="single" w:sz="4" w:space="0" w:color="auto"/>
              <w:left w:val="single" w:sz="4" w:space="0" w:color="auto"/>
              <w:bottom w:val="single" w:sz="4" w:space="0" w:color="auto"/>
              <w:right w:val="single" w:sz="4" w:space="0" w:color="auto"/>
            </w:tcBorders>
            <w:hideMark/>
          </w:tcPr>
          <w:p w14:paraId="737463A6" w14:textId="77777777" w:rsidR="00653571" w:rsidRPr="008C5F1C" w:rsidRDefault="00653571" w:rsidP="00534127">
            <w:pPr>
              <w:rPr>
                <w:rFonts w:ascii="Times New Roman" w:eastAsia="Calibri" w:hAnsi="Times New Roman" w:cs="Times New Roman"/>
                <w:noProof/>
                <w:szCs w:val="24"/>
                <w:lang w:eastAsia="en-GB"/>
              </w:rPr>
            </w:pPr>
            <w:r w:rsidRPr="008C5F1C">
              <w:rPr>
                <w:rFonts w:ascii="Times New Roman" w:eastAsia="Calibri" w:hAnsi="Times New Roman" w:cs="Times New Roman"/>
                <w:noProof/>
                <w:szCs w:val="24"/>
                <w:lang w:eastAsia="en-GB"/>
              </w:rPr>
              <w:t xml:space="preserve">Current version </w:t>
            </w:r>
          </w:p>
        </w:tc>
        <w:tc>
          <w:tcPr>
            <w:tcW w:w="4644" w:type="dxa"/>
            <w:tcBorders>
              <w:top w:val="single" w:sz="4" w:space="0" w:color="auto"/>
              <w:left w:val="single" w:sz="4" w:space="0" w:color="auto"/>
              <w:bottom w:val="single" w:sz="4" w:space="0" w:color="auto"/>
              <w:right w:val="single" w:sz="4" w:space="0" w:color="auto"/>
            </w:tcBorders>
          </w:tcPr>
          <w:p w14:paraId="531FC453" w14:textId="77777777" w:rsidR="00653571" w:rsidRPr="008C5F1C" w:rsidRDefault="00653571" w:rsidP="00534127">
            <w:pPr>
              <w:rPr>
                <w:rFonts w:ascii="Times New Roman" w:eastAsia="Calibri" w:hAnsi="Times New Roman" w:cs="Times New Roman"/>
                <w:noProof/>
                <w:szCs w:val="24"/>
                <w:lang w:eastAsia="en-GB"/>
              </w:rPr>
            </w:pPr>
          </w:p>
        </w:tc>
      </w:tr>
    </w:tbl>
    <w:p w14:paraId="2986B7CF" w14:textId="77777777" w:rsidR="00653571" w:rsidRPr="008C5F1C" w:rsidRDefault="00653571" w:rsidP="00653571">
      <w:pPr>
        <w:rPr>
          <w:rFonts w:ascii="Times New Roman" w:eastAsia="Calibri" w:hAnsi="Times New Roman" w:cs="Times New Roman"/>
          <w:noProof/>
          <w:szCs w:val="24"/>
          <w:lang w:eastAsia="en-GB"/>
        </w:rPr>
      </w:pPr>
    </w:p>
    <w:p w14:paraId="3046371F" w14:textId="77777777" w:rsidR="00653571" w:rsidRPr="008C5F1C" w:rsidRDefault="00653571" w:rsidP="00653571">
      <w:pPr>
        <w:spacing w:after="0"/>
        <w:rPr>
          <w:rFonts w:ascii="Times New Roman" w:eastAsia="Calibri" w:hAnsi="Times New Roman" w:cs="Times New Roman"/>
          <w:noProof/>
          <w:sz w:val="20"/>
          <w:szCs w:val="20"/>
          <w:lang w:eastAsia="en-GB"/>
        </w:rPr>
        <w:sectPr w:rsidR="00653571" w:rsidRPr="008C5F1C" w:rsidSect="00534127">
          <w:pgSz w:w="11907" w:h="16839"/>
          <w:pgMar w:top="1134" w:right="1134" w:bottom="1134" w:left="1134" w:header="567" w:footer="567" w:gutter="0"/>
          <w:cols w:space="720"/>
          <w:docGrid w:linePitch="326"/>
        </w:sectPr>
      </w:pPr>
    </w:p>
    <w:p w14:paraId="10BD7F93" w14:textId="77777777" w:rsidR="00653571" w:rsidRPr="008C5F1C" w:rsidRDefault="00653571" w:rsidP="00653571">
      <w:pPr>
        <w:spacing w:after="240"/>
        <w:rPr>
          <w:rFonts w:ascii="Times New Roman" w:eastAsia="Calibri" w:hAnsi="Times New Roman" w:cs="Times New Roman"/>
          <w:b/>
          <w:noProof/>
          <w:szCs w:val="20"/>
          <w:u w:val="single"/>
          <w:lang w:eastAsia="en-GB"/>
        </w:rPr>
      </w:pPr>
      <w:r w:rsidRPr="008C5F1C">
        <w:rPr>
          <w:rFonts w:ascii="Times New Roman" w:eastAsia="Calibri" w:hAnsi="Times New Roman" w:cs="Times New Roman"/>
          <w:b/>
          <w:noProof/>
          <w:szCs w:val="20"/>
          <w:u w:val="single"/>
          <w:lang w:eastAsia="en-GB"/>
        </w:rPr>
        <w:lastRenderedPageBreak/>
        <w:t>A.</w:t>
      </w:r>
      <w:r w:rsidRPr="008C5F1C">
        <w:rPr>
          <w:rFonts w:ascii="Times New Roman" w:eastAsia="Calibri" w:hAnsi="Times New Roman" w:cs="Times New Roman"/>
          <w:b/>
          <w:noProof/>
          <w:szCs w:val="20"/>
          <w:u w:val="single"/>
          <w:lang w:eastAsia="en-GB"/>
        </w:rPr>
        <w:tab/>
        <w:t xml:space="preserve">Summary of the main elements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795"/>
        <w:gridCol w:w="1293"/>
        <w:gridCol w:w="1293"/>
        <w:gridCol w:w="1322"/>
        <w:gridCol w:w="792"/>
        <w:gridCol w:w="1374"/>
        <w:gridCol w:w="792"/>
        <w:gridCol w:w="1418"/>
        <w:gridCol w:w="1610"/>
        <w:gridCol w:w="1206"/>
        <w:gridCol w:w="1669"/>
      </w:tblGrid>
      <w:tr w:rsidR="00653571" w:rsidRPr="008C5F1C" w14:paraId="34F89D14" w14:textId="77777777" w:rsidTr="00534127">
        <w:tc>
          <w:tcPr>
            <w:tcW w:w="342" w:type="pct"/>
            <w:tcBorders>
              <w:top w:val="single" w:sz="4" w:space="0" w:color="auto"/>
              <w:left w:val="single" w:sz="4" w:space="0" w:color="auto"/>
              <w:bottom w:val="single" w:sz="4" w:space="0" w:color="auto"/>
              <w:right w:val="single" w:sz="4" w:space="0" w:color="auto"/>
            </w:tcBorders>
            <w:hideMark/>
          </w:tcPr>
          <w:p w14:paraId="50D3DFAD" w14:textId="77777777" w:rsidR="00653571" w:rsidRPr="008C5F1C" w:rsidRDefault="00653571" w:rsidP="00534127">
            <w:pPr>
              <w:jc w:val="center"/>
              <w:rPr>
                <w:rFonts w:ascii="Times New Roman" w:eastAsia="Calibri" w:hAnsi="Times New Roman" w:cs="Times New Roman"/>
                <w:b/>
                <w:noProof/>
                <w:sz w:val="18"/>
                <w:szCs w:val="18"/>
                <w:lang w:eastAsia="en-GB"/>
              </w:rPr>
            </w:pPr>
            <w:r w:rsidRPr="008C5F1C">
              <w:rPr>
                <w:rFonts w:ascii="Times New Roman" w:eastAsia="Calibri" w:hAnsi="Times New Roman" w:cs="Times New Roman"/>
                <w:b/>
                <w:noProof/>
                <w:sz w:val="18"/>
                <w:szCs w:val="18"/>
                <w:lang w:eastAsia="en-GB"/>
              </w:rPr>
              <w:t xml:space="preserve">Priority </w:t>
            </w:r>
          </w:p>
        </w:tc>
        <w:tc>
          <w:tcPr>
            <w:tcW w:w="273" w:type="pct"/>
            <w:tcBorders>
              <w:top w:val="single" w:sz="4" w:space="0" w:color="auto"/>
              <w:left w:val="single" w:sz="4" w:space="0" w:color="auto"/>
              <w:bottom w:val="single" w:sz="4" w:space="0" w:color="auto"/>
              <w:right w:val="single" w:sz="4" w:space="0" w:color="auto"/>
            </w:tcBorders>
            <w:hideMark/>
          </w:tcPr>
          <w:p w14:paraId="6B38CF4E" w14:textId="77777777" w:rsidR="00653571" w:rsidRPr="008C5F1C" w:rsidRDefault="00653571" w:rsidP="00534127">
            <w:pPr>
              <w:jc w:val="center"/>
              <w:rPr>
                <w:rFonts w:ascii="Times New Roman" w:eastAsia="Calibri" w:hAnsi="Times New Roman" w:cs="Times New Roman"/>
                <w:b/>
                <w:noProof/>
                <w:sz w:val="18"/>
                <w:szCs w:val="18"/>
                <w:lang w:eastAsia="en-GB"/>
              </w:rPr>
            </w:pPr>
            <w:r w:rsidRPr="008C5F1C">
              <w:rPr>
                <w:rFonts w:ascii="Times New Roman" w:eastAsia="Calibri" w:hAnsi="Times New Roman" w:cs="Times New Roman"/>
                <w:b/>
                <w:noProof/>
                <w:sz w:val="18"/>
                <w:szCs w:val="18"/>
                <w:lang w:eastAsia="en-GB"/>
              </w:rPr>
              <w:t>Fund</w:t>
            </w:r>
          </w:p>
        </w:tc>
        <w:tc>
          <w:tcPr>
            <w:tcW w:w="444" w:type="pct"/>
            <w:tcBorders>
              <w:top w:val="single" w:sz="4" w:space="0" w:color="auto"/>
              <w:left w:val="single" w:sz="4" w:space="0" w:color="auto"/>
              <w:bottom w:val="single" w:sz="4" w:space="0" w:color="auto"/>
              <w:right w:val="single" w:sz="4" w:space="0" w:color="auto"/>
            </w:tcBorders>
            <w:hideMark/>
          </w:tcPr>
          <w:p w14:paraId="7D75CCE8" w14:textId="77777777" w:rsidR="00653571" w:rsidRPr="008C5F1C" w:rsidRDefault="00653571" w:rsidP="00534127">
            <w:pPr>
              <w:jc w:val="center"/>
              <w:rPr>
                <w:rFonts w:ascii="Times New Roman" w:eastAsia="Calibri" w:hAnsi="Times New Roman" w:cs="Times New Roman"/>
                <w:b/>
                <w:noProof/>
                <w:sz w:val="18"/>
                <w:szCs w:val="18"/>
                <w:lang w:eastAsia="en-GB"/>
              </w:rPr>
            </w:pPr>
            <w:r w:rsidRPr="008C5F1C">
              <w:rPr>
                <w:rFonts w:ascii="Times New Roman" w:eastAsia="Calibri" w:hAnsi="Times New Roman" w:cs="Times New Roman"/>
                <w:b/>
                <w:noProof/>
                <w:sz w:val="18"/>
                <w:szCs w:val="18"/>
                <w:lang w:eastAsia="en-GB"/>
              </w:rPr>
              <w:t xml:space="preserve">Specific objective </w:t>
            </w:r>
          </w:p>
        </w:tc>
        <w:tc>
          <w:tcPr>
            <w:tcW w:w="444" w:type="pct"/>
            <w:tcBorders>
              <w:top w:val="single" w:sz="4" w:space="0" w:color="auto"/>
              <w:left w:val="single" w:sz="4" w:space="0" w:color="auto"/>
              <w:bottom w:val="single" w:sz="4" w:space="0" w:color="auto"/>
              <w:right w:val="single" w:sz="4" w:space="0" w:color="auto"/>
            </w:tcBorders>
            <w:hideMark/>
          </w:tcPr>
          <w:p w14:paraId="2B42DDF0" w14:textId="77777777" w:rsidR="00653571" w:rsidRPr="008C5F1C" w:rsidRDefault="00653571" w:rsidP="00534127">
            <w:pPr>
              <w:jc w:val="center"/>
              <w:rPr>
                <w:rFonts w:ascii="Times New Roman" w:eastAsia="Calibri" w:hAnsi="Times New Roman" w:cs="Times New Roman"/>
                <w:b/>
                <w:noProof/>
                <w:sz w:val="18"/>
                <w:szCs w:val="18"/>
                <w:lang w:eastAsia="en-GB"/>
              </w:rPr>
            </w:pPr>
            <w:r w:rsidRPr="008C5F1C">
              <w:rPr>
                <w:rFonts w:ascii="Times New Roman" w:eastAsia="Calibri" w:hAnsi="Times New Roman" w:cs="Times New Roman"/>
                <w:b/>
                <w:noProof/>
                <w:sz w:val="18"/>
                <w:szCs w:val="18"/>
                <w:lang w:eastAsia="en-GB"/>
              </w:rPr>
              <w:t xml:space="preserve">Category of region </w:t>
            </w:r>
          </w:p>
        </w:tc>
        <w:tc>
          <w:tcPr>
            <w:tcW w:w="454" w:type="pct"/>
            <w:tcBorders>
              <w:top w:val="single" w:sz="4" w:space="0" w:color="auto"/>
              <w:left w:val="single" w:sz="4" w:space="0" w:color="auto"/>
              <w:bottom w:val="single" w:sz="4" w:space="0" w:color="auto"/>
              <w:right w:val="single" w:sz="4" w:space="0" w:color="auto"/>
            </w:tcBorders>
            <w:hideMark/>
          </w:tcPr>
          <w:p w14:paraId="3F490B31" w14:textId="77777777" w:rsidR="00653571" w:rsidRPr="008C5F1C" w:rsidRDefault="00653571" w:rsidP="00534127">
            <w:pPr>
              <w:jc w:val="center"/>
              <w:rPr>
                <w:rFonts w:ascii="Times New Roman" w:eastAsia="Calibri" w:hAnsi="Times New Roman" w:cs="Times New Roman"/>
                <w:b/>
                <w:noProof/>
                <w:sz w:val="18"/>
                <w:szCs w:val="18"/>
                <w:lang w:eastAsia="en-GB"/>
              </w:rPr>
            </w:pPr>
            <w:r w:rsidRPr="008C5F1C">
              <w:rPr>
                <w:rFonts w:ascii="Times New Roman" w:eastAsia="Calibri" w:hAnsi="Times New Roman" w:cs="Times New Roman"/>
                <w:b/>
                <w:noProof/>
                <w:sz w:val="18"/>
                <w:szCs w:val="18"/>
                <w:lang w:eastAsia="en-GB"/>
              </w:rPr>
              <w:t>Estimated proportion of the total financial allocation within the priority to which the SCO will be applied in % (estimate)</w:t>
            </w:r>
          </w:p>
        </w:tc>
        <w:tc>
          <w:tcPr>
            <w:tcW w:w="744" w:type="pct"/>
            <w:gridSpan w:val="2"/>
            <w:tcBorders>
              <w:top w:val="single" w:sz="4" w:space="0" w:color="auto"/>
              <w:left w:val="single" w:sz="4" w:space="0" w:color="auto"/>
              <w:bottom w:val="single" w:sz="4" w:space="0" w:color="auto"/>
              <w:right w:val="single" w:sz="4" w:space="0" w:color="auto"/>
            </w:tcBorders>
            <w:hideMark/>
          </w:tcPr>
          <w:p w14:paraId="703F29D2" w14:textId="77777777" w:rsidR="00653571" w:rsidRPr="008C5F1C" w:rsidRDefault="00653571" w:rsidP="00534127">
            <w:pPr>
              <w:jc w:val="center"/>
              <w:rPr>
                <w:rFonts w:ascii="Times New Roman" w:eastAsia="Calibri" w:hAnsi="Times New Roman" w:cs="Times New Roman"/>
                <w:b/>
                <w:noProof/>
                <w:sz w:val="18"/>
                <w:szCs w:val="18"/>
                <w:lang w:eastAsia="en-GB"/>
              </w:rPr>
            </w:pPr>
            <w:r w:rsidRPr="008C5F1C">
              <w:rPr>
                <w:rFonts w:ascii="Times New Roman" w:eastAsia="Calibri" w:hAnsi="Times New Roman" w:cs="Times New Roman"/>
                <w:b/>
                <w:noProof/>
                <w:sz w:val="18"/>
                <w:szCs w:val="18"/>
                <w:lang w:eastAsia="en-GB"/>
              </w:rPr>
              <w:t>Type(s) of operation</w:t>
            </w:r>
          </w:p>
        </w:tc>
        <w:tc>
          <w:tcPr>
            <w:tcW w:w="759" w:type="pct"/>
            <w:gridSpan w:val="2"/>
            <w:tcBorders>
              <w:top w:val="single" w:sz="4" w:space="0" w:color="auto"/>
              <w:left w:val="single" w:sz="4" w:space="0" w:color="auto"/>
              <w:bottom w:val="single" w:sz="4" w:space="0" w:color="auto"/>
              <w:right w:val="single" w:sz="4" w:space="0" w:color="auto"/>
            </w:tcBorders>
            <w:hideMark/>
          </w:tcPr>
          <w:p w14:paraId="42344105" w14:textId="77777777" w:rsidR="00653571" w:rsidRPr="008C5F1C" w:rsidRDefault="00653571" w:rsidP="00534127">
            <w:pPr>
              <w:jc w:val="center"/>
              <w:rPr>
                <w:rFonts w:ascii="Times New Roman" w:eastAsia="Calibri" w:hAnsi="Times New Roman" w:cs="Times New Roman"/>
                <w:b/>
                <w:noProof/>
                <w:sz w:val="18"/>
                <w:szCs w:val="18"/>
                <w:lang w:eastAsia="en-GB"/>
              </w:rPr>
            </w:pPr>
            <w:r w:rsidRPr="008C5F1C">
              <w:rPr>
                <w:rFonts w:ascii="Times New Roman" w:eastAsia="Calibri" w:hAnsi="Times New Roman" w:cs="Times New Roman"/>
                <w:b/>
                <w:noProof/>
                <w:sz w:val="18"/>
                <w:szCs w:val="18"/>
                <w:lang w:eastAsia="en-GB"/>
              </w:rPr>
              <w:t>Corresponding indicator name(s)</w:t>
            </w:r>
          </w:p>
        </w:tc>
        <w:tc>
          <w:tcPr>
            <w:tcW w:w="553" w:type="pct"/>
            <w:tcBorders>
              <w:top w:val="single" w:sz="4" w:space="0" w:color="auto"/>
              <w:left w:val="single" w:sz="4" w:space="0" w:color="auto"/>
              <w:bottom w:val="single" w:sz="4" w:space="0" w:color="auto"/>
              <w:right w:val="single" w:sz="4" w:space="0" w:color="auto"/>
            </w:tcBorders>
            <w:hideMark/>
          </w:tcPr>
          <w:p w14:paraId="69AF2DA9" w14:textId="77777777" w:rsidR="00653571" w:rsidRPr="008C5F1C" w:rsidRDefault="00653571" w:rsidP="00534127">
            <w:pPr>
              <w:jc w:val="center"/>
              <w:rPr>
                <w:rFonts w:ascii="Times New Roman" w:eastAsia="Calibri" w:hAnsi="Times New Roman" w:cs="Times New Roman"/>
                <w:b/>
                <w:noProof/>
                <w:sz w:val="18"/>
                <w:szCs w:val="18"/>
                <w:lang w:eastAsia="en-GB"/>
              </w:rPr>
            </w:pPr>
            <w:r w:rsidRPr="008C5F1C">
              <w:rPr>
                <w:rFonts w:ascii="Times New Roman" w:eastAsia="Calibri" w:hAnsi="Times New Roman" w:cs="Times New Roman"/>
                <w:b/>
                <w:noProof/>
                <w:sz w:val="18"/>
                <w:szCs w:val="18"/>
                <w:lang w:eastAsia="en-GB"/>
              </w:rPr>
              <w:t>Unit of measurement for the indicator</w:t>
            </w:r>
          </w:p>
        </w:tc>
        <w:tc>
          <w:tcPr>
            <w:tcW w:w="414" w:type="pct"/>
            <w:tcBorders>
              <w:top w:val="single" w:sz="4" w:space="0" w:color="auto"/>
              <w:left w:val="single" w:sz="4" w:space="0" w:color="auto"/>
              <w:bottom w:val="single" w:sz="4" w:space="0" w:color="auto"/>
              <w:right w:val="single" w:sz="4" w:space="0" w:color="auto"/>
            </w:tcBorders>
            <w:hideMark/>
          </w:tcPr>
          <w:p w14:paraId="0077AC3A" w14:textId="77777777" w:rsidR="00653571" w:rsidRPr="008C5F1C" w:rsidRDefault="00653571" w:rsidP="00534127">
            <w:pPr>
              <w:jc w:val="center"/>
              <w:rPr>
                <w:rFonts w:ascii="Times New Roman" w:eastAsia="Calibri" w:hAnsi="Times New Roman" w:cs="Times New Roman"/>
                <w:b/>
                <w:noProof/>
                <w:sz w:val="18"/>
                <w:szCs w:val="18"/>
                <w:lang w:eastAsia="en-GB"/>
              </w:rPr>
            </w:pPr>
            <w:r w:rsidRPr="008C5F1C">
              <w:rPr>
                <w:rFonts w:ascii="Times New Roman" w:eastAsia="Calibri" w:hAnsi="Times New Roman" w:cs="Times New Roman"/>
                <w:b/>
                <w:noProof/>
                <w:sz w:val="18"/>
                <w:szCs w:val="18"/>
                <w:lang w:eastAsia="en-GB"/>
              </w:rPr>
              <w:t>Type of SCO (standard scale of unit costs, lump sums or flat rates)</w:t>
            </w:r>
          </w:p>
        </w:tc>
        <w:tc>
          <w:tcPr>
            <w:tcW w:w="573" w:type="pct"/>
            <w:tcBorders>
              <w:top w:val="single" w:sz="4" w:space="0" w:color="auto"/>
              <w:left w:val="single" w:sz="4" w:space="0" w:color="auto"/>
              <w:bottom w:val="single" w:sz="4" w:space="0" w:color="auto"/>
              <w:right w:val="single" w:sz="4" w:space="0" w:color="auto"/>
            </w:tcBorders>
          </w:tcPr>
          <w:p w14:paraId="0A16DBE7" w14:textId="77777777" w:rsidR="00653571" w:rsidRPr="008C5F1C" w:rsidRDefault="00653571" w:rsidP="00534127">
            <w:pPr>
              <w:jc w:val="center"/>
              <w:rPr>
                <w:rFonts w:ascii="Times New Roman" w:eastAsia="Calibri" w:hAnsi="Times New Roman" w:cs="Times New Roman"/>
                <w:b/>
                <w:noProof/>
                <w:sz w:val="18"/>
                <w:szCs w:val="18"/>
                <w:lang w:eastAsia="en-GB"/>
              </w:rPr>
            </w:pPr>
            <w:r w:rsidRPr="008C5F1C">
              <w:rPr>
                <w:rFonts w:ascii="Times New Roman" w:eastAsia="Calibri" w:hAnsi="Times New Roman" w:cs="Times New Roman"/>
                <w:b/>
                <w:noProof/>
                <w:sz w:val="18"/>
                <w:szCs w:val="18"/>
                <w:lang w:eastAsia="en-GB"/>
              </w:rPr>
              <w:t>Corresponding standard scales of unit costs, lump sums or flat rates</w:t>
            </w:r>
          </w:p>
          <w:p w14:paraId="29FEF48D" w14:textId="77777777" w:rsidR="00653571" w:rsidRPr="008C5F1C" w:rsidRDefault="00653571" w:rsidP="00534127">
            <w:pPr>
              <w:jc w:val="center"/>
              <w:rPr>
                <w:rFonts w:ascii="Times New Roman" w:eastAsia="Calibri" w:hAnsi="Times New Roman" w:cs="Times New Roman"/>
                <w:b/>
                <w:strike/>
                <w:noProof/>
                <w:sz w:val="18"/>
                <w:szCs w:val="18"/>
                <w:lang w:eastAsia="en-GB"/>
              </w:rPr>
            </w:pPr>
          </w:p>
        </w:tc>
      </w:tr>
      <w:tr w:rsidR="00653571" w:rsidRPr="008C5F1C" w14:paraId="6A6E9FB5" w14:textId="77777777" w:rsidTr="00534127">
        <w:tc>
          <w:tcPr>
            <w:tcW w:w="342" w:type="pct"/>
            <w:tcBorders>
              <w:top w:val="single" w:sz="4" w:space="0" w:color="auto"/>
              <w:left w:val="single" w:sz="4" w:space="0" w:color="auto"/>
              <w:bottom w:val="single" w:sz="4" w:space="0" w:color="auto"/>
              <w:right w:val="single" w:sz="4" w:space="0" w:color="auto"/>
            </w:tcBorders>
          </w:tcPr>
          <w:p w14:paraId="40AECDE9"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273" w:type="pct"/>
            <w:tcBorders>
              <w:top w:val="single" w:sz="4" w:space="0" w:color="auto"/>
              <w:left w:val="single" w:sz="4" w:space="0" w:color="auto"/>
              <w:bottom w:val="single" w:sz="4" w:space="0" w:color="auto"/>
              <w:right w:val="single" w:sz="4" w:space="0" w:color="auto"/>
            </w:tcBorders>
          </w:tcPr>
          <w:p w14:paraId="0D1E4A56"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444" w:type="pct"/>
            <w:tcBorders>
              <w:top w:val="single" w:sz="4" w:space="0" w:color="auto"/>
              <w:left w:val="single" w:sz="4" w:space="0" w:color="auto"/>
              <w:bottom w:val="single" w:sz="4" w:space="0" w:color="auto"/>
              <w:right w:val="single" w:sz="4" w:space="0" w:color="auto"/>
            </w:tcBorders>
          </w:tcPr>
          <w:p w14:paraId="5E168993"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444" w:type="pct"/>
            <w:tcBorders>
              <w:top w:val="single" w:sz="4" w:space="0" w:color="auto"/>
              <w:left w:val="single" w:sz="4" w:space="0" w:color="auto"/>
              <w:bottom w:val="single" w:sz="4" w:space="0" w:color="auto"/>
              <w:right w:val="single" w:sz="4" w:space="0" w:color="auto"/>
            </w:tcBorders>
          </w:tcPr>
          <w:p w14:paraId="21A8BF6B"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454" w:type="pct"/>
            <w:tcBorders>
              <w:top w:val="single" w:sz="4" w:space="0" w:color="auto"/>
              <w:left w:val="single" w:sz="4" w:space="0" w:color="auto"/>
              <w:bottom w:val="single" w:sz="4" w:space="0" w:color="auto"/>
              <w:right w:val="single" w:sz="4" w:space="0" w:color="auto"/>
            </w:tcBorders>
          </w:tcPr>
          <w:p w14:paraId="61C43EBD"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272" w:type="pct"/>
            <w:tcBorders>
              <w:top w:val="single" w:sz="4" w:space="0" w:color="auto"/>
              <w:left w:val="single" w:sz="4" w:space="0" w:color="auto"/>
              <w:bottom w:val="single" w:sz="4" w:space="0" w:color="auto"/>
              <w:right w:val="single" w:sz="4" w:space="0" w:color="auto"/>
            </w:tcBorders>
            <w:hideMark/>
          </w:tcPr>
          <w:p w14:paraId="40A7D4D1" w14:textId="77777777" w:rsidR="00653571" w:rsidRPr="008C5F1C" w:rsidRDefault="00653571" w:rsidP="00534127">
            <w:pPr>
              <w:jc w:val="center"/>
              <w:rPr>
                <w:rFonts w:ascii="Times New Roman" w:eastAsia="Calibri" w:hAnsi="Times New Roman" w:cs="Times New Roman"/>
                <w:noProof/>
                <w:sz w:val="18"/>
                <w:szCs w:val="18"/>
                <w:lang w:eastAsia="en-GB"/>
              </w:rPr>
            </w:pPr>
            <w:r w:rsidRPr="008C5F1C">
              <w:rPr>
                <w:rFonts w:ascii="Times New Roman" w:eastAsia="Calibri" w:hAnsi="Times New Roman" w:cs="Times New Roman"/>
                <w:noProof/>
                <w:sz w:val="18"/>
                <w:szCs w:val="18"/>
                <w:lang w:eastAsia="en-GB"/>
              </w:rPr>
              <w:t>Code</w:t>
            </w:r>
          </w:p>
        </w:tc>
        <w:tc>
          <w:tcPr>
            <w:tcW w:w="472" w:type="pct"/>
            <w:tcBorders>
              <w:top w:val="single" w:sz="4" w:space="0" w:color="auto"/>
              <w:left w:val="single" w:sz="4" w:space="0" w:color="auto"/>
              <w:bottom w:val="single" w:sz="4" w:space="0" w:color="auto"/>
              <w:right w:val="single" w:sz="4" w:space="0" w:color="auto"/>
            </w:tcBorders>
            <w:hideMark/>
          </w:tcPr>
          <w:p w14:paraId="019C2EF2" w14:textId="77777777" w:rsidR="00653571" w:rsidRPr="008C5F1C" w:rsidRDefault="00653571" w:rsidP="00534127">
            <w:pPr>
              <w:jc w:val="center"/>
              <w:rPr>
                <w:rFonts w:ascii="Times New Roman" w:eastAsia="Calibri" w:hAnsi="Times New Roman" w:cs="Times New Roman"/>
                <w:noProof/>
                <w:sz w:val="18"/>
                <w:szCs w:val="18"/>
                <w:lang w:eastAsia="en-GB"/>
              </w:rPr>
            </w:pPr>
            <w:r w:rsidRPr="008C5F1C">
              <w:rPr>
                <w:rFonts w:ascii="Times New Roman" w:eastAsia="Calibri" w:hAnsi="Times New Roman" w:cs="Times New Roman"/>
                <w:noProof/>
                <w:sz w:val="18"/>
                <w:szCs w:val="18"/>
                <w:lang w:eastAsia="en-GB"/>
              </w:rPr>
              <w:t>Description</w:t>
            </w:r>
          </w:p>
        </w:tc>
        <w:tc>
          <w:tcPr>
            <w:tcW w:w="272" w:type="pct"/>
            <w:tcBorders>
              <w:top w:val="single" w:sz="4" w:space="0" w:color="auto"/>
              <w:left w:val="single" w:sz="4" w:space="0" w:color="auto"/>
              <w:bottom w:val="single" w:sz="4" w:space="0" w:color="auto"/>
              <w:right w:val="single" w:sz="4" w:space="0" w:color="auto"/>
            </w:tcBorders>
            <w:hideMark/>
          </w:tcPr>
          <w:p w14:paraId="5FC1A54C" w14:textId="77777777" w:rsidR="00653571" w:rsidRPr="008C5F1C" w:rsidRDefault="00653571" w:rsidP="00534127">
            <w:pPr>
              <w:jc w:val="center"/>
              <w:rPr>
                <w:rFonts w:ascii="Times New Roman" w:eastAsia="Calibri" w:hAnsi="Times New Roman" w:cs="Times New Roman"/>
                <w:noProof/>
                <w:sz w:val="18"/>
                <w:szCs w:val="18"/>
                <w:lang w:eastAsia="en-GB"/>
              </w:rPr>
            </w:pPr>
            <w:r w:rsidRPr="008C5F1C">
              <w:rPr>
                <w:rFonts w:ascii="Times New Roman" w:eastAsia="Calibri" w:hAnsi="Times New Roman" w:cs="Times New Roman"/>
                <w:noProof/>
                <w:sz w:val="18"/>
                <w:szCs w:val="18"/>
                <w:lang w:eastAsia="en-GB"/>
              </w:rPr>
              <w:t xml:space="preserve">Code </w:t>
            </w:r>
          </w:p>
        </w:tc>
        <w:tc>
          <w:tcPr>
            <w:tcW w:w="487" w:type="pct"/>
            <w:tcBorders>
              <w:top w:val="single" w:sz="4" w:space="0" w:color="auto"/>
              <w:left w:val="single" w:sz="4" w:space="0" w:color="auto"/>
              <w:bottom w:val="single" w:sz="4" w:space="0" w:color="auto"/>
              <w:right w:val="single" w:sz="4" w:space="0" w:color="auto"/>
            </w:tcBorders>
            <w:hideMark/>
          </w:tcPr>
          <w:p w14:paraId="22EF34F8" w14:textId="77777777" w:rsidR="00653571" w:rsidRPr="008C5F1C" w:rsidRDefault="00653571" w:rsidP="00534127">
            <w:pPr>
              <w:jc w:val="center"/>
              <w:rPr>
                <w:rFonts w:ascii="Times New Roman" w:eastAsia="Calibri" w:hAnsi="Times New Roman" w:cs="Times New Roman"/>
                <w:noProof/>
                <w:sz w:val="18"/>
                <w:szCs w:val="18"/>
                <w:lang w:eastAsia="en-GB"/>
              </w:rPr>
            </w:pPr>
            <w:r w:rsidRPr="008C5F1C">
              <w:rPr>
                <w:rFonts w:ascii="Times New Roman" w:eastAsia="Calibri" w:hAnsi="Times New Roman" w:cs="Times New Roman"/>
                <w:noProof/>
                <w:sz w:val="18"/>
                <w:szCs w:val="18"/>
                <w:lang w:eastAsia="en-GB"/>
              </w:rPr>
              <w:t>Description</w:t>
            </w:r>
          </w:p>
        </w:tc>
        <w:tc>
          <w:tcPr>
            <w:tcW w:w="553" w:type="pct"/>
            <w:tcBorders>
              <w:top w:val="single" w:sz="4" w:space="0" w:color="auto"/>
              <w:left w:val="single" w:sz="4" w:space="0" w:color="auto"/>
              <w:bottom w:val="single" w:sz="4" w:space="0" w:color="auto"/>
              <w:right w:val="single" w:sz="4" w:space="0" w:color="auto"/>
            </w:tcBorders>
          </w:tcPr>
          <w:p w14:paraId="4DCFE3A9"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414" w:type="pct"/>
            <w:tcBorders>
              <w:top w:val="single" w:sz="4" w:space="0" w:color="auto"/>
              <w:left w:val="single" w:sz="4" w:space="0" w:color="auto"/>
              <w:bottom w:val="single" w:sz="4" w:space="0" w:color="auto"/>
              <w:right w:val="single" w:sz="4" w:space="0" w:color="auto"/>
            </w:tcBorders>
          </w:tcPr>
          <w:p w14:paraId="3B5DB4DE"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573" w:type="pct"/>
            <w:tcBorders>
              <w:top w:val="single" w:sz="4" w:space="0" w:color="auto"/>
              <w:left w:val="single" w:sz="4" w:space="0" w:color="auto"/>
              <w:bottom w:val="single" w:sz="4" w:space="0" w:color="auto"/>
              <w:right w:val="single" w:sz="4" w:space="0" w:color="auto"/>
            </w:tcBorders>
          </w:tcPr>
          <w:p w14:paraId="14F086C3" w14:textId="77777777" w:rsidR="00653571" w:rsidRPr="008C5F1C" w:rsidRDefault="00653571" w:rsidP="00534127">
            <w:pPr>
              <w:jc w:val="center"/>
              <w:rPr>
                <w:rFonts w:ascii="Times New Roman" w:eastAsia="Calibri" w:hAnsi="Times New Roman" w:cs="Times New Roman"/>
                <w:noProof/>
                <w:sz w:val="18"/>
                <w:szCs w:val="18"/>
                <w:lang w:eastAsia="en-GB"/>
              </w:rPr>
            </w:pPr>
          </w:p>
        </w:tc>
      </w:tr>
      <w:tr w:rsidR="00653571" w:rsidRPr="008C5F1C" w14:paraId="68298021" w14:textId="77777777" w:rsidTr="00534127">
        <w:tc>
          <w:tcPr>
            <w:tcW w:w="342" w:type="pct"/>
            <w:tcBorders>
              <w:top w:val="single" w:sz="4" w:space="0" w:color="auto"/>
              <w:left w:val="single" w:sz="4" w:space="0" w:color="auto"/>
              <w:bottom w:val="single" w:sz="4" w:space="0" w:color="auto"/>
              <w:right w:val="single" w:sz="4" w:space="0" w:color="auto"/>
            </w:tcBorders>
          </w:tcPr>
          <w:p w14:paraId="30F1DDCA" w14:textId="77777777" w:rsidR="00653571" w:rsidRPr="008C5F1C" w:rsidRDefault="00653571" w:rsidP="00534127">
            <w:pPr>
              <w:jc w:val="center"/>
              <w:rPr>
                <w:rFonts w:ascii="Times New Roman" w:eastAsia="Calibri" w:hAnsi="Times New Roman" w:cs="Times New Roman"/>
                <w:b/>
                <w:i/>
                <w:noProof/>
                <w:sz w:val="18"/>
                <w:szCs w:val="18"/>
                <w:lang w:eastAsia="en-GB"/>
              </w:rPr>
            </w:pPr>
          </w:p>
        </w:tc>
        <w:tc>
          <w:tcPr>
            <w:tcW w:w="273" w:type="pct"/>
            <w:tcBorders>
              <w:top w:val="single" w:sz="4" w:space="0" w:color="auto"/>
              <w:left w:val="single" w:sz="4" w:space="0" w:color="auto"/>
              <w:bottom w:val="single" w:sz="4" w:space="0" w:color="auto"/>
              <w:right w:val="single" w:sz="4" w:space="0" w:color="auto"/>
            </w:tcBorders>
          </w:tcPr>
          <w:p w14:paraId="49D64B99" w14:textId="77777777" w:rsidR="00653571" w:rsidRPr="008C5F1C" w:rsidRDefault="00653571" w:rsidP="00534127">
            <w:pPr>
              <w:jc w:val="center"/>
              <w:rPr>
                <w:rFonts w:ascii="Times New Roman" w:eastAsia="Calibri" w:hAnsi="Times New Roman" w:cs="Times New Roman"/>
                <w:b/>
                <w:i/>
                <w:noProof/>
                <w:sz w:val="18"/>
                <w:szCs w:val="18"/>
                <w:lang w:eastAsia="en-GB"/>
              </w:rPr>
            </w:pPr>
          </w:p>
        </w:tc>
        <w:tc>
          <w:tcPr>
            <w:tcW w:w="444" w:type="pct"/>
            <w:tcBorders>
              <w:top w:val="single" w:sz="4" w:space="0" w:color="auto"/>
              <w:left w:val="single" w:sz="4" w:space="0" w:color="auto"/>
              <w:bottom w:val="single" w:sz="4" w:space="0" w:color="auto"/>
              <w:right w:val="single" w:sz="4" w:space="0" w:color="auto"/>
            </w:tcBorders>
          </w:tcPr>
          <w:p w14:paraId="3D1F15C8" w14:textId="77777777" w:rsidR="00653571" w:rsidRPr="008C5F1C" w:rsidRDefault="00653571" w:rsidP="00534127">
            <w:pPr>
              <w:jc w:val="center"/>
              <w:rPr>
                <w:rFonts w:ascii="Times New Roman" w:eastAsia="Calibri" w:hAnsi="Times New Roman" w:cs="Times New Roman"/>
                <w:b/>
                <w:i/>
                <w:noProof/>
                <w:sz w:val="18"/>
                <w:szCs w:val="18"/>
                <w:lang w:eastAsia="en-GB"/>
              </w:rPr>
            </w:pPr>
          </w:p>
        </w:tc>
        <w:tc>
          <w:tcPr>
            <w:tcW w:w="444" w:type="pct"/>
            <w:tcBorders>
              <w:top w:val="single" w:sz="4" w:space="0" w:color="auto"/>
              <w:left w:val="single" w:sz="4" w:space="0" w:color="auto"/>
              <w:bottom w:val="single" w:sz="4" w:space="0" w:color="auto"/>
              <w:right w:val="single" w:sz="4" w:space="0" w:color="auto"/>
            </w:tcBorders>
          </w:tcPr>
          <w:p w14:paraId="6C937464" w14:textId="77777777" w:rsidR="00653571" w:rsidRPr="008C5F1C" w:rsidRDefault="00653571" w:rsidP="00534127">
            <w:pPr>
              <w:jc w:val="center"/>
              <w:rPr>
                <w:rFonts w:ascii="Times New Roman" w:eastAsia="Calibri" w:hAnsi="Times New Roman" w:cs="Times New Roman"/>
                <w:b/>
                <w:i/>
                <w:noProof/>
                <w:sz w:val="18"/>
                <w:szCs w:val="18"/>
                <w:lang w:eastAsia="en-GB"/>
              </w:rPr>
            </w:pPr>
          </w:p>
        </w:tc>
        <w:tc>
          <w:tcPr>
            <w:tcW w:w="454" w:type="pct"/>
            <w:tcBorders>
              <w:top w:val="single" w:sz="4" w:space="0" w:color="auto"/>
              <w:left w:val="single" w:sz="4" w:space="0" w:color="auto"/>
              <w:bottom w:val="single" w:sz="4" w:space="0" w:color="auto"/>
              <w:right w:val="single" w:sz="4" w:space="0" w:color="auto"/>
            </w:tcBorders>
          </w:tcPr>
          <w:p w14:paraId="6FE51F41" w14:textId="77777777" w:rsidR="00653571" w:rsidRPr="008C5F1C" w:rsidRDefault="00653571" w:rsidP="00534127">
            <w:pPr>
              <w:jc w:val="center"/>
              <w:rPr>
                <w:rFonts w:ascii="Times New Roman" w:eastAsia="Calibri" w:hAnsi="Times New Roman" w:cs="Times New Roman"/>
                <w:b/>
                <w:i/>
                <w:noProof/>
                <w:sz w:val="18"/>
                <w:szCs w:val="18"/>
                <w:lang w:eastAsia="en-GB"/>
              </w:rPr>
            </w:pPr>
          </w:p>
        </w:tc>
        <w:tc>
          <w:tcPr>
            <w:tcW w:w="272" w:type="pct"/>
            <w:tcBorders>
              <w:top w:val="single" w:sz="4" w:space="0" w:color="auto"/>
              <w:left w:val="single" w:sz="4" w:space="0" w:color="auto"/>
              <w:bottom w:val="single" w:sz="4" w:space="0" w:color="auto"/>
              <w:right w:val="single" w:sz="4" w:space="0" w:color="auto"/>
            </w:tcBorders>
          </w:tcPr>
          <w:p w14:paraId="43ECF56D" w14:textId="77777777" w:rsidR="00653571" w:rsidRPr="008C5F1C" w:rsidRDefault="00653571" w:rsidP="00534127">
            <w:pPr>
              <w:jc w:val="center"/>
              <w:rPr>
                <w:rFonts w:ascii="Times New Roman" w:eastAsia="Calibri" w:hAnsi="Times New Roman" w:cs="Times New Roman"/>
                <w:i/>
                <w:noProof/>
                <w:sz w:val="18"/>
                <w:szCs w:val="18"/>
                <w:lang w:eastAsia="en-GB"/>
              </w:rPr>
            </w:pPr>
          </w:p>
        </w:tc>
        <w:tc>
          <w:tcPr>
            <w:tcW w:w="472" w:type="pct"/>
            <w:tcBorders>
              <w:top w:val="single" w:sz="4" w:space="0" w:color="auto"/>
              <w:left w:val="single" w:sz="4" w:space="0" w:color="auto"/>
              <w:bottom w:val="single" w:sz="4" w:space="0" w:color="auto"/>
              <w:right w:val="single" w:sz="4" w:space="0" w:color="auto"/>
            </w:tcBorders>
          </w:tcPr>
          <w:p w14:paraId="74903754" w14:textId="77777777" w:rsidR="00653571" w:rsidRPr="008C5F1C" w:rsidRDefault="00653571" w:rsidP="00534127">
            <w:pPr>
              <w:jc w:val="center"/>
              <w:rPr>
                <w:rFonts w:ascii="Times New Roman" w:eastAsia="Calibri" w:hAnsi="Times New Roman" w:cs="Times New Roman"/>
                <w:i/>
                <w:noProof/>
                <w:sz w:val="18"/>
                <w:szCs w:val="18"/>
                <w:lang w:eastAsia="en-GB"/>
              </w:rPr>
            </w:pPr>
          </w:p>
        </w:tc>
        <w:tc>
          <w:tcPr>
            <w:tcW w:w="272" w:type="pct"/>
            <w:tcBorders>
              <w:top w:val="single" w:sz="4" w:space="0" w:color="auto"/>
              <w:left w:val="single" w:sz="4" w:space="0" w:color="auto"/>
              <w:bottom w:val="single" w:sz="4" w:space="0" w:color="auto"/>
              <w:right w:val="single" w:sz="4" w:space="0" w:color="auto"/>
            </w:tcBorders>
          </w:tcPr>
          <w:p w14:paraId="5BA77E76" w14:textId="77777777" w:rsidR="00653571" w:rsidRPr="008C5F1C" w:rsidRDefault="00653571" w:rsidP="00534127">
            <w:pPr>
              <w:jc w:val="center"/>
              <w:rPr>
                <w:rFonts w:ascii="Times New Roman" w:eastAsia="Calibri" w:hAnsi="Times New Roman" w:cs="Times New Roman"/>
                <w:i/>
                <w:noProof/>
                <w:sz w:val="18"/>
                <w:szCs w:val="18"/>
                <w:lang w:eastAsia="en-GB"/>
              </w:rPr>
            </w:pPr>
          </w:p>
        </w:tc>
        <w:tc>
          <w:tcPr>
            <w:tcW w:w="487" w:type="pct"/>
            <w:tcBorders>
              <w:top w:val="single" w:sz="4" w:space="0" w:color="auto"/>
              <w:left w:val="single" w:sz="4" w:space="0" w:color="auto"/>
              <w:bottom w:val="single" w:sz="4" w:space="0" w:color="auto"/>
              <w:right w:val="single" w:sz="4" w:space="0" w:color="auto"/>
            </w:tcBorders>
          </w:tcPr>
          <w:p w14:paraId="43AB52E7" w14:textId="77777777" w:rsidR="00653571" w:rsidRPr="008C5F1C" w:rsidRDefault="00653571" w:rsidP="00534127">
            <w:pPr>
              <w:jc w:val="center"/>
              <w:rPr>
                <w:rFonts w:ascii="Times New Roman" w:eastAsia="Calibri" w:hAnsi="Times New Roman" w:cs="Times New Roman"/>
                <w:i/>
                <w:noProof/>
                <w:sz w:val="18"/>
                <w:szCs w:val="18"/>
                <w:lang w:eastAsia="en-GB"/>
              </w:rPr>
            </w:pPr>
          </w:p>
        </w:tc>
        <w:tc>
          <w:tcPr>
            <w:tcW w:w="553" w:type="pct"/>
            <w:tcBorders>
              <w:top w:val="single" w:sz="4" w:space="0" w:color="auto"/>
              <w:left w:val="single" w:sz="4" w:space="0" w:color="auto"/>
              <w:bottom w:val="single" w:sz="4" w:space="0" w:color="auto"/>
              <w:right w:val="single" w:sz="4" w:space="0" w:color="auto"/>
            </w:tcBorders>
          </w:tcPr>
          <w:p w14:paraId="1E984030" w14:textId="77777777" w:rsidR="00653571" w:rsidRPr="008C5F1C" w:rsidRDefault="00653571" w:rsidP="00534127">
            <w:pPr>
              <w:jc w:val="center"/>
              <w:rPr>
                <w:rFonts w:ascii="Times New Roman" w:eastAsia="Calibri" w:hAnsi="Times New Roman" w:cs="Times New Roman"/>
                <w:i/>
                <w:noProof/>
                <w:sz w:val="18"/>
                <w:szCs w:val="18"/>
                <w:lang w:eastAsia="en-GB"/>
              </w:rPr>
            </w:pPr>
          </w:p>
        </w:tc>
        <w:tc>
          <w:tcPr>
            <w:tcW w:w="414" w:type="pct"/>
            <w:tcBorders>
              <w:top w:val="single" w:sz="4" w:space="0" w:color="auto"/>
              <w:left w:val="single" w:sz="4" w:space="0" w:color="auto"/>
              <w:bottom w:val="single" w:sz="4" w:space="0" w:color="auto"/>
              <w:right w:val="single" w:sz="4" w:space="0" w:color="auto"/>
            </w:tcBorders>
          </w:tcPr>
          <w:p w14:paraId="51E323DD" w14:textId="77777777" w:rsidR="00653571" w:rsidRPr="008C5F1C" w:rsidRDefault="00653571" w:rsidP="00534127">
            <w:pPr>
              <w:jc w:val="center"/>
              <w:rPr>
                <w:rFonts w:ascii="Times New Roman" w:eastAsia="Calibri" w:hAnsi="Times New Roman" w:cs="Times New Roman"/>
                <w:i/>
                <w:noProof/>
                <w:sz w:val="18"/>
                <w:szCs w:val="18"/>
                <w:lang w:eastAsia="en-GB"/>
              </w:rPr>
            </w:pPr>
          </w:p>
        </w:tc>
        <w:tc>
          <w:tcPr>
            <w:tcW w:w="573" w:type="pct"/>
            <w:tcBorders>
              <w:top w:val="single" w:sz="4" w:space="0" w:color="auto"/>
              <w:left w:val="single" w:sz="4" w:space="0" w:color="auto"/>
              <w:bottom w:val="single" w:sz="4" w:space="0" w:color="auto"/>
              <w:right w:val="single" w:sz="4" w:space="0" w:color="auto"/>
            </w:tcBorders>
          </w:tcPr>
          <w:p w14:paraId="11E3B87E" w14:textId="77777777" w:rsidR="00653571" w:rsidRPr="008C5F1C" w:rsidRDefault="00653571" w:rsidP="00534127">
            <w:pPr>
              <w:jc w:val="center"/>
              <w:rPr>
                <w:rFonts w:ascii="Times New Roman" w:eastAsia="Calibri" w:hAnsi="Times New Roman" w:cs="Times New Roman"/>
                <w:i/>
                <w:noProof/>
                <w:sz w:val="18"/>
                <w:szCs w:val="18"/>
                <w:lang w:eastAsia="en-GB"/>
              </w:rPr>
            </w:pPr>
          </w:p>
        </w:tc>
      </w:tr>
      <w:tr w:rsidR="00653571" w:rsidRPr="008C5F1C" w14:paraId="6585980C" w14:textId="77777777" w:rsidTr="00534127">
        <w:tc>
          <w:tcPr>
            <w:tcW w:w="342" w:type="pct"/>
            <w:tcBorders>
              <w:top w:val="single" w:sz="4" w:space="0" w:color="auto"/>
              <w:left w:val="single" w:sz="4" w:space="0" w:color="auto"/>
              <w:bottom w:val="single" w:sz="4" w:space="0" w:color="auto"/>
              <w:right w:val="single" w:sz="4" w:space="0" w:color="auto"/>
            </w:tcBorders>
          </w:tcPr>
          <w:p w14:paraId="1B256156" w14:textId="77777777" w:rsidR="00653571" w:rsidRPr="008C5F1C" w:rsidRDefault="00653571" w:rsidP="00534127">
            <w:pPr>
              <w:jc w:val="center"/>
              <w:rPr>
                <w:rFonts w:ascii="Times New Roman" w:eastAsia="Calibri" w:hAnsi="Times New Roman" w:cs="Times New Roman"/>
                <w:b/>
                <w:i/>
                <w:noProof/>
                <w:sz w:val="18"/>
                <w:szCs w:val="18"/>
                <w:lang w:eastAsia="en-GB"/>
              </w:rPr>
            </w:pPr>
          </w:p>
        </w:tc>
        <w:tc>
          <w:tcPr>
            <w:tcW w:w="273" w:type="pct"/>
            <w:tcBorders>
              <w:top w:val="single" w:sz="4" w:space="0" w:color="auto"/>
              <w:left w:val="single" w:sz="4" w:space="0" w:color="auto"/>
              <w:bottom w:val="single" w:sz="4" w:space="0" w:color="auto"/>
              <w:right w:val="single" w:sz="4" w:space="0" w:color="auto"/>
            </w:tcBorders>
          </w:tcPr>
          <w:p w14:paraId="0413D093" w14:textId="77777777" w:rsidR="00653571" w:rsidRPr="008C5F1C" w:rsidRDefault="00653571" w:rsidP="00534127">
            <w:pPr>
              <w:jc w:val="center"/>
              <w:rPr>
                <w:rFonts w:ascii="Times New Roman" w:eastAsia="Calibri" w:hAnsi="Times New Roman" w:cs="Times New Roman"/>
                <w:b/>
                <w:i/>
                <w:noProof/>
                <w:sz w:val="18"/>
                <w:szCs w:val="18"/>
                <w:lang w:eastAsia="en-GB"/>
              </w:rPr>
            </w:pPr>
          </w:p>
        </w:tc>
        <w:tc>
          <w:tcPr>
            <w:tcW w:w="444" w:type="pct"/>
            <w:tcBorders>
              <w:top w:val="single" w:sz="4" w:space="0" w:color="auto"/>
              <w:left w:val="single" w:sz="4" w:space="0" w:color="auto"/>
              <w:bottom w:val="single" w:sz="4" w:space="0" w:color="auto"/>
              <w:right w:val="single" w:sz="4" w:space="0" w:color="auto"/>
            </w:tcBorders>
          </w:tcPr>
          <w:p w14:paraId="073550F3" w14:textId="77777777" w:rsidR="00653571" w:rsidRPr="008C5F1C" w:rsidRDefault="00653571" w:rsidP="00534127">
            <w:pPr>
              <w:jc w:val="center"/>
              <w:rPr>
                <w:rFonts w:ascii="Times New Roman" w:eastAsia="Calibri" w:hAnsi="Times New Roman" w:cs="Times New Roman"/>
                <w:b/>
                <w:i/>
                <w:noProof/>
                <w:sz w:val="18"/>
                <w:szCs w:val="18"/>
                <w:lang w:eastAsia="en-GB"/>
              </w:rPr>
            </w:pPr>
          </w:p>
        </w:tc>
        <w:tc>
          <w:tcPr>
            <w:tcW w:w="444" w:type="pct"/>
            <w:tcBorders>
              <w:top w:val="single" w:sz="4" w:space="0" w:color="auto"/>
              <w:left w:val="single" w:sz="4" w:space="0" w:color="auto"/>
              <w:bottom w:val="single" w:sz="4" w:space="0" w:color="auto"/>
              <w:right w:val="single" w:sz="4" w:space="0" w:color="auto"/>
            </w:tcBorders>
          </w:tcPr>
          <w:p w14:paraId="236F40F0" w14:textId="77777777" w:rsidR="00653571" w:rsidRPr="008C5F1C" w:rsidRDefault="00653571" w:rsidP="00534127">
            <w:pPr>
              <w:jc w:val="center"/>
              <w:rPr>
                <w:rFonts w:ascii="Times New Roman" w:eastAsia="Calibri" w:hAnsi="Times New Roman" w:cs="Times New Roman"/>
                <w:b/>
                <w:i/>
                <w:noProof/>
                <w:sz w:val="18"/>
                <w:szCs w:val="18"/>
                <w:lang w:eastAsia="en-GB"/>
              </w:rPr>
            </w:pPr>
          </w:p>
        </w:tc>
        <w:tc>
          <w:tcPr>
            <w:tcW w:w="454" w:type="pct"/>
            <w:tcBorders>
              <w:top w:val="single" w:sz="4" w:space="0" w:color="auto"/>
              <w:left w:val="single" w:sz="4" w:space="0" w:color="auto"/>
              <w:bottom w:val="single" w:sz="4" w:space="0" w:color="auto"/>
              <w:right w:val="single" w:sz="4" w:space="0" w:color="auto"/>
            </w:tcBorders>
          </w:tcPr>
          <w:p w14:paraId="7E1AF5AD" w14:textId="77777777" w:rsidR="00653571" w:rsidRPr="008C5F1C" w:rsidRDefault="00653571" w:rsidP="00534127">
            <w:pPr>
              <w:jc w:val="center"/>
              <w:rPr>
                <w:rFonts w:ascii="Times New Roman" w:eastAsia="Calibri" w:hAnsi="Times New Roman" w:cs="Times New Roman"/>
                <w:b/>
                <w:i/>
                <w:noProof/>
                <w:sz w:val="18"/>
                <w:szCs w:val="18"/>
                <w:lang w:eastAsia="en-GB"/>
              </w:rPr>
            </w:pPr>
          </w:p>
        </w:tc>
        <w:tc>
          <w:tcPr>
            <w:tcW w:w="272" w:type="pct"/>
            <w:tcBorders>
              <w:top w:val="single" w:sz="4" w:space="0" w:color="auto"/>
              <w:left w:val="single" w:sz="4" w:space="0" w:color="auto"/>
              <w:bottom w:val="single" w:sz="4" w:space="0" w:color="auto"/>
              <w:right w:val="single" w:sz="4" w:space="0" w:color="auto"/>
            </w:tcBorders>
          </w:tcPr>
          <w:p w14:paraId="6B4FDA6B" w14:textId="77777777" w:rsidR="00653571" w:rsidRPr="008C5F1C" w:rsidRDefault="00653571" w:rsidP="00534127">
            <w:pPr>
              <w:jc w:val="center"/>
              <w:rPr>
                <w:rFonts w:ascii="Times New Roman" w:eastAsia="Calibri" w:hAnsi="Times New Roman" w:cs="Times New Roman"/>
                <w:i/>
                <w:noProof/>
                <w:sz w:val="18"/>
                <w:szCs w:val="18"/>
                <w:lang w:eastAsia="en-GB"/>
              </w:rPr>
            </w:pPr>
          </w:p>
        </w:tc>
        <w:tc>
          <w:tcPr>
            <w:tcW w:w="472" w:type="pct"/>
            <w:tcBorders>
              <w:top w:val="single" w:sz="4" w:space="0" w:color="auto"/>
              <w:left w:val="single" w:sz="4" w:space="0" w:color="auto"/>
              <w:bottom w:val="single" w:sz="4" w:space="0" w:color="auto"/>
              <w:right w:val="single" w:sz="4" w:space="0" w:color="auto"/>
            </w:tcBorders>
          </w:tcPr>
          <w:p w14:paraId="717B1C5A" w14:textId="77777777" w:rsidR="00653571" w:rsidRPr="008C5F1C" w:rsidRDefault="00653571" w:rsidP="00534127">
            <w:pPr>
              <w:jc w:val="center"/>
              <w:rPr>
                <w:rFonts w:ascii="Times New Roman" w:eastAsia="Calibri" w:hAnsi="Times New Roman" w:cs="Times New Roman"/>
                <w:i/>
                <w:noProof/>
                <w:sz w:val="18"/>
                <w:szCs w:val="18"/>
                <w:lang w:eastAsia="en-GB"/>
              </w:rPr>
            </w:pPr>
          </w:p>
        </w:tc>
        <w:tc>
          <w:tcPr>
            <w:tcW w:w="272" w:type="pct"/>
            <w:tcBorders>
              <w:top w:val="single" w:sz="4" w:space="0" w:color="auto"/>
              <w:left w:val="single" w:sz="4" w:space="0" w:color="auto"/>
              <w:bottom w:val="single" w:sz="4" w:space="0" w:color="auto"/>
              <w:right w:val="single" w:sz="4" w:space="0" w:color="auto"/>
            </w:tcBorders>
          </w:tcPr>
          <w:p w14:paraId="1AFB8EAD" w14:textId="77777777" w:rsidR="00653571" w:rsidRPr="008C5F1C" w:rsidRDefault="00653571" w:rsidP="00534127">
            <w:pPr>
              <w:jc w:val="center"/>
              <w:rPr>
                <w:rFonts w:ascii="Times New Roman" w:eastAsia="Calibri" w:hAnsi="Times New Roman" w:cs="Times New Roman"/>
                <w:i/>
                <w:noProof/>
                <w:sz w:val="18"/>
                <w:szCs w:val="18"/>
                <w:lang w:eastAsia="en-GB"/>
              </w:rPr>
            </w:pPr>
          </w:p>
        </w:tc>
        <w:tc>
          <w:tcPr>
            <w:tcW w:w="487" w:type="pct"/>
            <w:tcBorders>
              <w:top w:val="single" w:sz="4" w:space="0" w:color="auto"/>
              <w:left w:val="single" w:sz="4" w:space="0" w:color="auto"/>
              <w:bottom w:val="single" w:sz="4" w:space="0" w:color="auto"/>
              <w:right w:val="single" w:sz="4" w:space="0" w:color="auto"/>
            </w:tcBorders>
          </w:tcPr>
          <w:p w14:paraId="3F9D3E91" w14:textId="77777777" w:rsidR="00653571" w:rsidRPr="008C5F1C" w:rsidRDefault="00653571" w:rsidP="00534127">
            <w:pPr>
              <w:jc w:val="center"/>
              <w:rPr>
                <w:rFonts w:ascii="Times New Roman" w:eastAsia="Calibri" w:hAnsi="Times New Roman" w:cs="Times New Roman"/>
                <w:i/>
                <w:noProof/>
                <w:sz w:val="18"/>
                <w:szCs w:val="18"/>
                <w:lang w:eastAsia="en-GB"/>
              </w:rPr>
            </w:pPr>
          </w:p>
        </w:tc>
        <w:tc>
          <w:tcPr>
            <w:tcW w:w="553" w:type="pct"/>
            <w:tcBorders>
              <w:top w:val="single" w:sz="4" w:space="0" w:color="auto"/>
              <w:left w:val="single" w:sz="4" w:space="0" w:color="auto"/>
              <w:bottom w:val="single" w:sz="4" w:space="0" w:color="auto"/>
              <w:right w:val="single" w:sz="4" w:space="0" w:color="auto"/>
            </w:tcBorders>
          </w:tcPr>
          <w:p w14:paraId="0E76119A" w14:textId="77777777" w:rsidR="00653571" w:rsidRPr="008C5F1C" w:rsidRDefault="00653571" w:rsidP="00534127">
            <w:pPr>
              <w:jc w:val="center"/>
              <w:rPr>
                <w:rFonts w:ascii="Times New Roman" w:eastAsia="Calibri" w:hAnsi="Times New Roman" w:cs="Times New Roman"/>
                <w:i/>
                <w:noProof/>
                <w:sz w:val="18"/>
                <w:szCs w:val="18"/>
                <w:lang w:eastAsia="en-GB"/>
              </w:rPr>
            </w:pPr>
          </w:p>
        </w:tc>
        <w:tc>
          <w:tcPr>
            <w:tcW w:w="414" w:type="pct"/>
            <w:tcBorders>
              <w:top w:val="single" w:sz="4" w:space="0" w:color="auto"/>
              <w:left w:val="single" w:sz="4" w:space="0" w:color="auto"/>
              <w:bottom w:val="single" w:sz="4" w:space="0" w:color="auto"/>
              <w:right w:val="single" w:sz="4" w:space="0" w:color="auto"/>
            </w:tcBorders>
          </w:tcPr>
          <w:p w14:paraId="628DFB03" w14:textId="77777777" w:rsidR="00653571" w:rsidRPr="008C5F1C" w:rsidRDefault="00653571" w:rsidP="00534127">
            <w:pPr>
              <w:jc w:val="center"/>
              <w:rPr>
                <w:rFonts w:ascii="Times New Roman" w:eastAsia="Calibri" w:hAnsi="Times New Roman" w:cs="Times New Roman"/>
                <w:i/>
                <w:noProof/>
                <w:sz w:val="18"/>
                <w:szCs w:val="18"/>
                <w:lang w:eastAsia="en-GB"/>
              </w:rPr>
            </w:pPr>
          </w:p>
        </w:tc>
        <w:tc>
          <w:tcPr>
            <w:tcW w:w="573" w:type="pct"/>
            <w:tcBorders>
              <w:top w:val="single" w:sz="4" w:space="0" w:color="auto"/>
              <w:left w:val="single" w:sz="4" w:space="0" w:color="auto"/>
              <w:bottom w:val="single" w:sz="4" w:space="0" w:color="auto"/>
              <w:right w:val="single" w:sz="4" w:space="0" w:color="auto"/>
            </w:tcBorders>
          </w:tcPr>
          <w:p w14:paraId="7BE39986" w14:textId="77777777" w:rsidR="00653571" w:rsidRPr="008C5F1C" w:rsidRDefault="00653571" w:rsidP="00534127">
            <w:pPr>
              <w:jc w:val="center"/>
              <w:rPr>
                <w:rFonts w:ascii="Times New Roman" w:eastAsia="Calibri" w:hAnsi="Times New Roman" w:cs="Times New Roman"/>
                <w:i/>
                <w:noProof/>
                <w:sz w:val="18"/>
                <w:szCs w:val="18"/>
                <w:lang w:eastAsia="en-GB"/>
              </w:rPr>
            </w:pPr>
          </w:p>
        </w:tc>
      </w:tr>
      <w:tr w:rsidR="00653571" w:rsidRPr="008C5F1C" w14:paraId="1770D7C5" w14:textId="77777777" w:rsidTr="00534127">
        <w:tc>
          <w:tcPr>
            <w:tcW w:w="342" w:type="pct"/>
            <w:tcBorders>
              <w:top w:val="single" w:sz="4" w:space="0" w:color="auto"/>
              <w:left w:val="single" w:sz="4" w:space="0" w:color="auto"/>
              <w:bottom w:val="single" w:sz="4" w:space="0" w:color="auto"/>
              <w:right w:val="single" w:sz="4" w:space="0" w:color="auto"/>
            </w:tcBorders>
          </w:tcPr>
          <w:p w14:paraId="5126F3A1"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273" w:type="pct"/>
            <w:tcBorders>
              <w:top w:val="single" w:sz="4" w:space="0" w:color="auto"/>
              <w:left w:val="single" w:sz="4" w:space="0" w:color="auto"/>
              <w:bottom w:val="single" w:sz="4" w:space="0" w:color="auto"/>
              <w:right w:val="single" w:sz="4" w:space="0" w:color="auto"/>
            </w:tcBorders>
          </w:tcPr>
          <w:p w14:paraId="5E5D3736"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444" w:type="pct"/>
            <w:tcBorders>
              <w:top w:val="single" w:sz="4" w:space="0" w:color="auto"/>
              <w:left w:val="single" w:sz="4" w:space="0" w:color="auto"/>
              <w:bottom w:val="single" w:sz="4" w:space="0" w:color="auto"/>
              <w:right w:val="single" w:sz="4" w:space="0" w:color="auto"/>
            </w:tcBorders>
          </w:tcPr>
          <w:p w14:paraId="391BF6A6"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444" w:type="pct"/>
            <w:tcBorders>
              <w:top w:val="single" w:sz="4" w:space="0" w:color="auto"/>
              <w:left w:val="single" w:sz="4" w:space="0" w:color="auto"/>
              <w:bottom w:val="single" w:sz="4" w:space="0" w:color="auto"/>
              <w:right w:val="single" w:sz="4" w:space="0" w:color="auto"/>
            </w:tcBorders>
          </w:tcPr>
          <w:p w14:paraId="00D20497"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454" w:type="pct"/>
            <w:tcBorders>
              <w:top w:val="single" w:sz="4" w:space="0" w:color="auto"/>
              <w:left w:val="single" w:sz="4" w:space="0" w:color="auto"/>
              <w:bottom w:val="single" w:sz="4" w:space="0" w:color="auto"/>
              <w:right w:val="single" w:sz="4" w:space="0" w:color="auto"/>
            </w:tcBorders>
          </w:tcPr>
          <w:p w14:paraId="1406D6DF"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272" w:type="pct"/>
            <w:tcBorders>
              <w:top w:val="single" w:sz="4" w:space="0" w:color="auto"/>
              <w:left w:val="single" w:sz="4" w:space="0" w:color="auto"/>
              <w:bottom w:val="single" w:sz="4" w:space="0" w:color="auto"/>
              <w:right w:val="single" w:sz="4" w:space="0" w:color="auto"/>
            </w:tcBorders>
          </w:tcPr>
          <w:p w14:paraId="656DDD76"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472" w:type="pct"/>
            <w:tcBorders>
              <w:top w:val="single" w:sz="4" w:space="0" w:color="auto"/>
              <w:left w:val="single" w:sz="4" w:space="0" w:color="auto"/>
              <w:bottom w:val="single" w:sz="4" w:space="0" w:color="auto"/>
              <w:right w:val="single" w:sz="4" w:space="0" w:color="auto"/>
            </w:tcBorders>
          </w:tcPr>
          <w:p w14:paraId="42D5E2E7"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272" w:type="pct"/>
            <w:tcBorders>
              <w:top w:val="single" w:sz="4" w:space="0" w:color="auto"/>
              <w:left w:val="single" w:sz="4" w:space="0" w:color="auto"/>
              <w:bottom w:val="single" w:sz="4" w:space="0" w:color="auto"/>
              <w:right w:val="single" w:sz="4" w:space="0" w:color="auto"/>
            </w:tcBorders>
          </w:tcPr>
          <w:p w14:paraId="226E90C9"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487" w:type="pct"/>
            <w:tcBorders>
              <w:top w:val="single" w:sz="4" w:space="0" w:color="auto"/>
              <w:left w:val="single" w:sz="4" w:space="0" w:color="auto"/>
              <w:bottom w:val="single" w:sz="4" w:space="0" w:color="auto"/>
              <w:right w:val="single" w:sz="4" w:space="0" w:color="auto"/>
            </w:tcBorders>
          </w:tcPr>
          <w:p w14:paraId="06B532D5"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553" w:type="pct"/>
            <w:tcBorders>
              <w:top w:val="single" w:sz="4" w:space="0" w:color="auto"/>
              <w:left w:val="single" w:sz="4" w:space="0" w:color="auto"/>
              <w:bottom w:val="single" w:sz="4" w:space="0" w:color="auto"/>
              <w:right w:val="single" w:sz="4" w:space="0" w:color="auto"/>
            </w:tcBorders>
          </w:tcPr>
          <w:p w14:paraId="706BD79D"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414" w:type="pct"/>
            <w:tcBorders>
              <w:top w:val="single" w:sz="4" w:space="0" w:color="auto"/>
              <w:left w:val="single" w:sz="4" w:space="0" w:color="auto"/>
              <w:bottom w:val="single" w:sz="4" w:space="0" w:color="auto"/>
              <w:right w:val="single" w:sz="4" w:space="0" w:color="auto"/>
            </w:tcBorders>
          </w:tcPr>
          <w:p w14:paraId="743B91C0"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573" w:type="pct"/>
            <w:tcBorders>
              <w:top w:val="single" w:sz="4" w:space="0" w:color="auto"/>
              <w:left w:val="single" w:sz="4" w:space="0" w:color="auto"/>
              <w:bottom w:val="single" w:sz="4" w:space="0" w:color="auto"/>
              <w:right w:val="single" w:sz="4" w:space="0" w:color="auto"/>
            </w:tcBorders>
          </w:tcPr>
          <w:p w14:paraId="2C536C5C" w14:textId="77777777" w:rsidR="00653571" w:rsidRPr="008C5F1C" w:rsidRDefault="00653571" w:rsidP="00534127">
            <w:pPr>
              <w:jc w:val="center"/>
              <w:rPr>
                <w:rFonts w:ascii="Times New Roman" w:eastAsia="Calibri" w:hAnsi="Times New Roman" w:cs="Times New Roman"/>
                <w:noProof/>
                <w:sz w:val="18"/>
                <w:szCs w:val="18"/>
                <w:lang w:eastAsia="en-GB"/>
              </w:rPr>
            </w:pPr>
          </w:p>
        </w:tc>
      </w:tr>
      <w:tr w:rsidR="00653571" w:rsidRPr="008C5F1C" w14:paraId="20014B86" w14:textId="77777777" w:rsidTr="00534127">
        <w:tc>
          <w:tcPr>
            <w:tcW w:w="342" w:type="pct"/>
            <w:tcBorders>
              <w:top w:val="single" w:sz="4" w:space="0" w:color="auto"/>
              <w:left w:val="single" w:sz="4" w:space="0" w:color="auto"/>
              <w:bottom w:val="single" w:sz="4" w:space="0" w:color="auto"/>
              <w:right w:val="single" w:sz="4" w:space="0" w:color="auto"/>
            </w:tcBorders>
          </w:tcPr>
          <w:p w14:paraId="5F126BF1"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273" w:type="pct"/>
            <w:tcBorders>
              <w:top w:val="single" w:sz="4" w:space="0" w:color="auto"/>
              <w:left w:val="single" w:sz="4" w:space="0" w:color="auto"/>
              <w:bottom w:val="single" w:sz="4" w:space="0" w:color="auto"/>
              <w:right w:val="single" w:sz="4" w:space="0" w:color="auto"/>
            </w:tcBorders>
          </w:tcPr>
          <w:p w14:paraId="60C3F269"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444" w:type="pct"/>
            <w:tcBorders>
              <w:top w:val="single" w:sz="4" w:space="0" w:color="auto"/>
              <w:left w:val="single" w:sz="4" w:space="0" w:color="auto"/>
              <w:bottom w:val="single" w:sz="4" w:space="0" w:color="auto"/>
              <w:right w:val="single" w:sz="4" w:space="0" w:color="auto"/>
            </w:tcBorders>
          </w:tcPr>
          <w:p w14:paraId="58379BA2"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444" w:type="pct"/>
            <w:tcBorders>
              <w:top w:val="single" w:sz="4" w:space="0" w:color="auto"/>
              <w:left w:val="single" w:sz="4" w:space="0" w:color="auto"/>
              <w:bottom w:val="single" w:sz="4" w:space="0" w:color="auto"/>
              <w:right w:val="single" w:sz="4" w:space="0" w:color="auto"/>
            </w:tcBorders>
          </w:tcPr>
          <w:p w14:paraId="685A687F"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454" w:type="pct"/>
            <w:tcBorders>
              <w:top w:val="single" w:sz="4" w:space="0" w:color="auto"/>
              <w:left w:val="single" w:sz="4" w:space="0" w:color="auto"/>
              <w:bottom w:val="single" w:sz="4" w:space="0" w:color="auto"/>
              <w:right w:val="single" w:sz="4" w:space="0" w:color="auto"/>
            </w:tcBorders>
          </w:tcPr>
          <w:p w14:paraId="6F67B763"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272" w:type="pct"/>
            <w:tcBorders>
              <w:top w:val="single" w:sz="4" w:space="0" w:color="auto"/>
              <w:left w:val="single" w:sz="4" w:space="0" w:color="auto"/>
              <w:bottom w:val="single" w:sz="4" w:space="0" w:color="auto"/>
              <w:right w:val="single" w:sz="4" w:space="0" w:color="auto"/>
            </w:tcBorders>
          </w:tcPr>
          <w:p w14:paraId="78F33657"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472" w:type="pct"/>
            <w:tcBorders>
              <w:top w:val="single" w:sz="4" w:space="0" w:color="auto"/>
              <w:left w:val="single" w:sz="4" w:space="0" w:color="auto"/>
              <w:bottom w:val="single" w:sz="4" w:space="0" w:color="auto"/>
              <w:right w:val="single" w:sz="4" w:space="0" w:color="auto"/>
            </w:tcBorders>
          </w:tcPr>
          <w:p w14:paraId="25789EAB"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272" w:type="pct"/>
            <w:tcBorders>
              <w:top w:val="single" w:sz="4" w:space="0" w:color="auto"/>
              <w:left w:val="single" w:sz="4" w:space="0" w:color="auto"/>
              <w:bottom w:val="single" w:sz="4" w:space="0" w:color="auto"/>
              <w:right w:val="single" w:sz="4" w:space="0" w:color="auto"/>
            </w:tcBorders>
          </w:tcPr>
          <w:p w14:paraId="1F6BD1BA"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487" w:type="pct"/>
            <w:tcBorders>
              <w:top w:val="single" w:sz="4" w:space="0" w:color="auto"/>
              <w:left w:val="single" w:sz="4" w:space="0" w:color="auto"/>
              <w:bottom w:val="single" w:sz="4" w:space="0" w:color="auto"/>
              <w:right w:val="single" w:sz="4" w:space="0" w:color="auto"/>
            </w:tcBorders>
          </w:tcPr>
          <w:p w14:paraId="06598A9D"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553" w:type="pct"/>
            <w:tcBorders>
              <w:top w:val="single" w:sz="4" w:space="0" w:color="auto"/>
              <w:left w:val="single" w:sz="4" w:space="0" w:color="auto"/>
              <w:bottom w:val="single" w:sz="4" w:space="0" w:color="auto"/>
              <w:right w:val="single" w:sz="4" w:space="0" w:color="auto"/>
            </w:tcBorders>
          </w:tcPr>
          <w:p w14:paraId="34276BCC"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414" w:type="pct"/>
            <w:tcBorders>
              <w:top w:val="single" w:sz="4" w:space="0" w:color="auto"/>
              <w:left w:val="single" w:sz="4" w:space="0" w:color="auto"/>
              <w:bottom w:val="single" w:sz="4" w:space="0" w:color="auto"/>
              <w:right w:val="single" w:sz="4" w:space="0" w:color="auto"/>
            </w:tcBorders>
          </w:tcPr>
          <w:p w14:paraId="675F44E1"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573" w:type="pct"/>
            <w:tcBorders>
              <w:top w:val="single" w:sz="4" w:space="0" w:color="auto"/>
              <w:left w:val="single" w:sz="4" w:space="0" w:color="auto"/>
              <w:bottom w:val="single" w:sz="4" w:space="0" w:color="auto"/>
              <w:right w:val="single" w:sz="4" w:space="0" w:color="auto"/>
            </w:tcBorders>
          </w:tcPr>
          <w:p w14:paraId="4CE2486D" w14:textId="77777777" w:rsidR="00653571" w:rsidRPr="008C5F1C" w:rsidRDefault="00653571" w:rsidP="00534127">
            <w:pPr>
              <w:jc w:val="center"/>
              <w:rPr>
                <w:rFonts w:ascii="Times New Roman" w:eastAsia="Calibri" w:hAnsi="Times New Roman" w:cs="Times New Roman"/>
                <w:noProof/>
                <w:sz w:val="18"/>
                <w:szCs w:val="18"/>
                <w:lang w:eastAsia="en-GB"/>
              </w:rPr>
            </w:pPr>
          </w:p>
        </w:tc>
      </w:tr>
      <w:tr w:rsidR="00653571" w:rsidRPr="008C5F1C" w14:paraId="22D4CC66" w14:textId="77777777" w:rsidTr="00534127">
        <w:tc>
          <w:tcPr>
            <w:tcW w:w="342" w:type="pct"/>
            <w:tcBorders>
              <w:top w:val="single" w:sz="4" w:space="0" w:color="auto"/>
              <w:left w:val="single" w:sz="4" w:space="0" w:color="auto"/>
              <w:bottom w:val="single" w:sz="4" w:space="0" w:color="auto"/>
              <w:right w:val="single" w:sz="4" w:space="0" w:color="auto"/>
            </w:tcBorders>
          </w:tcPr>
          <w:p w14:paraId="6CBB29EB"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273" w:type="pct"/>
            <w:tcBorders>
              <w:top w:val="single" w:sz="4" w:space="0" w:color="auto"/>
              <w:left w:val="single" w:sz="4" w:space="0" w:color="auto"/>
              <w:bottom w:val="single" w:sz="4" w:space="0" w:color="auto"/>
              <w:right w:val="single" w:sz="4" w:space="0" w:color="auto"/>
            </w:tcBorders>
          </w:tcPr>
          <w:p w14:paraId="63441F32"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444" w:type="pct"/>
            <w:tcBorders>
              <w:top w:val="single" w:sz="4" w:space="0" w:color="auto"/>
              <w:left w:val="single" w:sz="4" w:space="0" w:color="auto"/>
              <w:bottom w:val="single" w:sz="4" w:space="0" w:color="auto"/>
              <w:right w:val="single" w:sz="4" w:space="0" w:color="auto"/>
            </w:tcBorders>
          </w:tcPr>
          <w:p w14:paraId="476DA0B3"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444" w:type="pct"/>
            <w:tcBorders>
              <w:top w:val="single" w:sz="4" w:space="0" w:color="auto"/>
              <w:left w:val="single" w:sz="4" w:space="0" w:color="auto"/>
              <w:bottom w:val="single" w:sz="4" w:space="0" w:color="auto"/>
              <w:right w:val="single" w:sz="4" w:space="0" w:color="auto"/>
            </w:tcBorders>
          </w:tcPr>
          <w:p w14:paraId="53BABD35"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454" w:type="pct"/>
            <w:tcBorders>
              <w:top w:val="single" w:sz="4" w:space="0" w:color="auto"/>
              <w:left w:val="single" w:sz="4" w:space="0" w:color="auto"/>
              <w:bottom w:val="single" w:sz="4" w:space="0" w:color="auto"/>
              <w:right w:val="single" w:sz="4" w:space="0" w:color="auto"/>
            </w:tcBorders>
          </w:tcPr>
          <w:p w14:paraId="3DF96D5A"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272" w:type="pct"/>
            <w:tcBorders>
              <w:top w:val="single" w:sz="4" w:space="0" w:color="auto"/>
              <w:left w:val="single" w:sz="4" w:space="0" w:color="auto"/>
              <w:bottom w:val="single" w:sz="4" w:space="0" w:color="auto"/>
              <w:right w:val="single" w:sz="4" w:space="0" w:color="auto"/>
            </w:tcBorders>
          </w:tcPr>
          <w:p w14:paraId="24E4DA08"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472" w:type="pct"/>
            <w:tcBorders>
              <w:top w:val="single" w:sz="4" w:space="0" w:color="auto"/>
              <w:left w:val="single" w:sz="4" w:space="0" w:color="auto"/>
              <w:bottom w:val="single" w:sz="4" w:space="0" w:color="auto"/>
              <w:right w:val="single" w:sz="4" w:space="0" w:color="auto"/>
            </w:tcBorders>
          </w:tcPr>
          <w:p w14:paraId="7A8D318E"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272" w:type="pct"/>
            <w:tcBorders>
              <w:top w:val="single" w:sz="4" w:space="0" w:color="auto"/>
              <w:left w:val="single" w:sz="4" w:space="0" w:color="auto"/>
              <w:bottom w:val="single" w:sz="4" w:space="0" w:color="auto"/>
              <w:right w:val="single" w:sz="4" w:space="0" w:color="auto"/>
            </w:tcBorders>
          </w:tcPr>
          <w:p w14:paraId="15B30DD3"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487" w:type="pct"/>
            <w:tcBorders>
              <w:top w:val="single" w:sz="4" w:space="0" w:color="auto"/>
              <w:left w:val="single" w:sz="4" w:space="0" w:color="auto"/>
              <w:bottom w:val="single" w:sz="4" w:space="0" w:color="auto"/>
              <w:right w:val="single" w:sz="4" w:space="0" w:color="auto"/>
            </w:tcBorders>
          </w:tcPr>
          <w:p w14:paraId="1126073C"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553" w:type="pct"/>
            <w:tcBorders>
              <w:top w:val="single" w:sz="4" w:space="0" w:color="auto"/>
              <w:left w:val="single" w:sz="4" w:space="0" w:color="auto"/>
              <w:bottom w:val="single" w:sz="4" w:space="0" w:color="auto"/>
              <w:right w:val="single" w:sz="4" w:space="0" w:color="auto"/>
            </w:tcBorders>
          </w:tcPr>
          <w:p w14:paraId="7AF04962"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414" w:type="pct"/>
            <w:tcBorders>
              <w:top w:val="single" w:sz="4" w:space="0" w:color="auto"/>
              <w:left w:val="single" w:sz="4" w:space="0" w:color="auto"/>
              <w:bottom w:val="single" w:sz="4" w:space="0" w:color="auto"/>
              <w:right w:val="single" w:sz="4" w:space="0" w:color="auto"/>
            </w:tcBorders>
          </w:tcPr>
          <w:p w14:paraId="6F3C2478"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573" w:type="pct"/>
            <w:tcBorders>
              <w:top w:val="single" w:sz="4" w:space="0" w:color="auto"/>
              <w:left w:val="single" w:sz="4" w:space="0" w:color="auto"/>
              <w:bottom w:val="single" w:sz="4" w:space="0" w:color="auto"/>
              <w:right w:val="single" w:sz="4" w:space="0" w:color="auto"/>
            </w:tcBorders>
          </w:tcPr>
          <w:p w14:paraId="714FF0C6" w14:textId="77777777" w:rsidR="00653571" w:rsidRPr="008C5F1C" w:rsidRDefault="00653571" w:rsidP="00534127">
            <w:pPr>
              <w:jc w:val="center"/>
              <w:rPr>
                <w:rFonts w:ascii="Times New Roman" w:eastAsia="Calibri" w:hAnsi="Times New Roman" w:cs="Times New Roman"/>
                <w:noProof/>
                <w:sz w:val="18"/>
                <w:szCs w:val="18"/>
                <w:lang w:eastAsia="en-GB"/>
              </w:rPr>
            </w:pPr>
          </w:p>
        </w:tc>
      </w:tr>
    </w:tbl>
    <w:p w14:paraId="58B23141" w14:textId="77777777" w:rsidR="00653571" w:rsidRPr="008C5F1C" w:rsidRDefault="00653571" w:rsidP="00653571">
      <w:pPr>
        <w:spacing w:after="0"/>
        <w:rPr>
          <w:rFonts w:ascii="Times New Roman" w:eastAsia="Calibri" w:hAnsi="Times New Roman" w:cs="Times New Roman"/>
          <w:noProof/>
          <w:szCs w:val="20"/>
          <w:lang w:eastAsia="en-GB"/>
        </w:rPr>
        <w:sectPr w:rsidR="00653571" w:rsidRPr="008C5F1C" w:rsidSect="00534127">
          <w:headerReference w:type="default" r:id="rId17"/>
          <w:footerReference w:type="default" r:id="rId18"/>
          <w:pgSz w:w="16838" w:h="11906" w:orient="landscape"/>
          <w:pgMar w:top="1134" w:right="1134" w:bottom="1134" w:left="1134" w:header="567" w:footer="567" w:gutter="0"/>
          <w:cols w:space="720"/>
          <w:docGrid w:linePitch="326"/>
        </w:sectPr>
      </w:pPr>
    </w:p>
    <w:p w14:paraId="47188067" w14:textId="77777777" w:rsidR="00653571" w:rsidRPr="008C5F1C" w:rsidRDefault="00653571" w:rsidP="00653571">
      <w:pPr>
        <w:rPr>
          <w:rFonts w:ascii="Times New Roman" w:eastAsia="Calibri" w:hAnsi="Times New Roman" w:cs="Times New Roman"/>
          <w:b/>
          <w:noProof/>
          <w:szCs w:val="20"/>
          <w:u w:val="single"/>
          <w:lang w:eastAsia="en-GB"/>
        </w:rPr>
      </w:pPr>
      <w:r w:rsidRPr="008C5F1C">
        <w:rPr>
          <w:rFonts w:ascii="Times New Roman" w:eastAsia="Calibri" w:hAnsi="Times New Roman" w:cs="Times New Roman"/>
          <w:b/>
          <w:noProof/>
          <w:szCs w:val="20"/>
          <w:u w:val="single"/>
          <w:lang w:eastAsia="en-GB"/>
        </w:rPr>
        <w:lastRenderedPageBreak/>
        <w:t>B. Details by type of operation (to be completed for every type of operation)</w:t>
      </w:r>
    </w:p>
    <w:p w14:paraId="1202B794" w14:textId="77777777" w:rsidR="00653571" w:rsidRPr="008C5F1C" w:rsidRDefault="00653571" w:rsidP="00653571">
      <w:pPr>
        <w:rPr>
          <w:rFonts w:ascii="Times New Roman" w:eastAsia="Calibri" w:hAnsi="Times New Roman" w:cs="Times New Roman"/>
          <w:b/>
          <w:noProof/>
          <w:szCs w:val="20"/>
          <w:lang w:eastAsia="en-GB"/>
        </w:rPr>
      </w:pPr>
      <w:r w:rsidRPr="008C5F1C">
        <w:rPr>
          <w:rFonts w:ascii="Times New Roman" w:eastAsia="Calibri" w:hAnsi="Times New Roman" w:cs="Times New Roman"/>
          <w:b/>
          <w:noProof/>
          <w:szCs w:val="20"/>
          <w:lang w:eastAsia="en-GB"/>
        </w:rPr>
        <w:t xml:space="preserve">Did the managing authority receive support from an external company to set out the simplified costs below? </w:t>
      </w:r>
    </w:p>
    <w:p w14:paraId="0D49592C" w14:textId="77777777" w:rsidR="00653571" w:rsidRPr="008C5F1C" w:rsidRDefault="00653571" w:rsidP="00653571">
      <w:pPr>
        <w:rPr>
          <w:rFonts w:ascii="Times New Roman" w:eastAsia="Calibri" w:hAnsi="Times New Roman" w:cs="Times New Roman"/>
          <w:b/>
          <w:noProof/>
          <w:szCs w:val="20"/>
          <w:lang w:eastAsia="en-GB"/>
        </w:rPr>
      </w:pPr>
      <w:r w:rsidRPr="008C5F1C">
        <w:rPr>
          <w:rFonts w:ascii="Times New Roman" w:eastAsia="Calibri" w:hAnsi="Times New Roman" w:cs="Times New Roman"/>
          <w:b/>
          <w:noProof/>
          <w:szCs w:val="20"/>
          <w:lang w:eastAsia="en-GB"/>
        </w:rPr>
        <w:t xml:space="preserve">If so, please specify which external company: </w:t>
      </w:r>
      <w:r w:rsidRPr="008C5F1C">
        <w:rPr>
          <w:rFonts w:ascii="Times New Roman" w:eastAsia="Calibri" w:hAnsi="Times New Roman" w:cs="Times New Roman"/>
          <w:b/>
          <w:noProof/>
          <w:szCs w:val="20"/>
          <w:lang w:eastAsia="en-GB"/>
        </w:rPr>
        <w:tab/>
      </w:r>
      <w:r w:rsidRPr="008C5F1C">
        <w:rPr>
          <w:rFonts w:ascii="Times New Roman" w:eastAsia="Calibri" w:hAnsi="Times New Roman" w:cs="Times New Roman"/>
          <w:b/>
          <w:noProof/>
          <w:szCs w:val="20"/>
          <w:bdr w:val="single" w:sz="4" w:space="0" w:color="auto" w:frame="1"/>
          <w:lang w:eastAsia="en-GB"/>
        </w:rPr>
        <w:t>Yes/No – Name of external company</w:t>
      </w:r>
    </w:p>
    <w:p w14:paraId="51EEAD7F" w14:textId="77777777" w:rsidR="00653571" w:rsidRPr="008C5F1C" w:rsidRDefault="00653571" w:rsidP="00653571">
      <w:pPr>
        <w:rPr>
          <w:rFonts w:ascii="Times New Roman" w:eastAsia="Calibri" w:hAnsi="Times New Roman" w:cs="Times New Roman"/>
          <w:noProof/>
          <w:szCs w:val="20"/>
          <w:lang w:eastAsia="en-GB"/>
        </w:rPr>
      </w:pPr>
      <w:r w:rsidRPr="008C5F1C">
        <w:rPr>
          <w:rFonts w:ascii="Times New Roman" w:eastAsia="Calibri" w:hAnsi="Times New Roman" w:cs="Times New Roman"/>
          <w:noProof/>
          <w:szCs w:val="20"/>
          <w:lang w:eastAsia="en-GB"/>
        </w:rPr>
        <w:t>Types of operation:</w:t>
      </w:r>
    </w:p>
    <w:tbl>
      <w:tblPr>
        <w:tblW w:w="908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5670"/>
      </w:tblGrid>
      <w:tr w:rsidR="00653571" w:rsidRPr="008C5F1C" w14:paraId="6453112F" w14:textId="77777777" w:rsidTr="00534127">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4C82CA09" w14:textId="77777777" w:rsidR="00653571" w:rsidRPr="008C5F1C" w:rsidRDefault="00653571" w:rsidP="00534127">
            <w:pPr>
              <w:rPr>
                <w:rFonts w:ascii="Times New Roman" w:eastAsia="Calibri" w:hAnsi="Times New Roman" w:cs="Times New Roman"/>
                <w:bCs/>
                <w:noProof/>
                <w:szCs w:val="20"/>
                <w:lang w:eastAsia="en-GB"/>
              </w:rPr>
            </w:pPr>
            <w:r w:rsidRPr="008C5F1C">
              <w:rPr>
                <w:rFonts w:ascii="Times New Roman" w:eastAsia="Calibri" w:hAnsi="Times New Roman" w:cs="Times New Roman"/>
                <w:bCs/>
                <w:noProof/>
                <w:szCs w:val="20"/>
                <w:lang w:eastAsia="en-GB"/>
              </w:rPr>
              <w:t xml:space="preserve">1.1. Description of the operation type </w:t>
            </w:r>
          </w:p>
        </w:tc>
        <w:tc>
          <w:tcPr>
            <w:tcW w:w="5670" w:type="dxa"/>
            <w:tcBorders>
              <w:top w:val="single" w:sz="4" w:space="0" w:color="auto"/>
              <w:left w:val="single" w:sz="4" w:space="0" w:color="auto"/>
              <w:bottom w:val="single" w:sz="4" w:space="0" w:color="auto"/>
              <w:right w:val="single" w:sz="4" w:space="0" w:color="auto"/>
            </w:tcBorders>
            <w:vAlign w:val="center"/>
          </w:tcPr>
          <w:p w14:paraId="508DA07F" w14:textId="77777777" w:rsidR="00653571" w:rsidRPr="008C5F1C" w:rsidRDefault="00653571" w:rsidP="00534127">
            <w:pPr>
              <w:jc w:val="center"/>
              <w:rPr>
                <w:rFonts w:ascii="Times New Roman" w:eastAsia="Calibri" w:hAnsi="Times New Roman" w:cs="Times New Roman"/>
                <w:noProof/>
                <w:szCs w:val="20"/>
                <w:lang w:eastAsia="en-GB"/>
              </w:rPr>
            </w:pPr>
          </w:p>
        </w:tc>
      </w:tr>
      <w:tr w:rsidR="00653571" w:rsidRPr="008C5F1C" w14:paraId="6EAB6F74" w14:textId="77777777" w:rsidTr="00534127">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61C72B3D" w14:textId="77777777" w:rsidR="00653571" w:rsidRPr="008C5F1C" w:rsidRDefault="00653571" w:rsidP="00534127">
            <w:pPr>
              <w:rPr>
                <w:rFonts w:ascii="Times New Roman" w:eastAsia="Calibri" w:hAnsi="Times New Roman" w:cs="Times New Roman"/>
                <w:bCs/>
                <w:noProof/>
                <w:szCs w:val="20"/>
                <w:lang w:eastAsia="en-GB"/>
              </w:rPr>
            </w:pPr>
            <w:r w:rsidRPr="008C5F1C">
              <w:rPr>
                <w:rFonts w:ascii="Times New Roman" w:eastAsia="Calibri" w:hAnsi="Times New Roman" w:cs="Times New Roman"/>
                <w:bCs/>
                <w:noProof/>
                <w:szCs w:val="20"/>
                <w:lang w:eastAsia="en-GB"/>
              </w:rPr>
              <w:t>1.2 specific objective</w:t>
            </w:r>
          </w:p>
        </w:tc>
        <w:tc>
          <w:tcPr>
            <w:tcW w:w="5670" w:type="dxa"/>
            <w:tcBorders>
              <w:top w:val="single" w:sz="4" w:space="0" w:color="auto"/>
              <w:left w:val="single" w:sz="4" w:space="0" w:color="auto"/>
              <w:bottom w:val="single" w:sz="4" w:space="0" w:color="auto"/>
              <w:right w:val="single" w:sz="4" w:space="0" w:color="auto"/>
            </w:tcBorders>
            <w:vAlign w:val="center"/>
          </w:tcPr>
          <w:p w14:paraId="30D2A3F8" w14:textId="77777777" w:rsidR="00653571" w:rsidRPr="008C5F1C" w:rsidRDefault="00653571" w:rsidP="00534127">
            <w:pPr>
              <w:jc w:val="center"/>
              <w:rPr>
                <w:rFonts w:ascii="Times New Roman" w:eastAsia="Calibri" w:hAnsi="Times New Roman" w:cs="Times New Roman"/>
                <w:noProof/>
                <w:szCs w:val="20"/>
                <w:lang w:eastAsia="en-GB"/>
              </w:rPr>
            </w:pPr>
          </w:p>
          <w:p w14:paraId="1BE92EA6" w14:textId="77777777" w:rsidR="00653571" w:rsidRPr="008C5F1C" w:rsidRDefault="00653571" w:rsidP="00534127">
            <w:pPr>
              <w:jc w:val="center"/>
              <w:rPr>
                <w:rFonts w:ascii="Times New Roman" w:eastAsia="Calibri" w:hAnsi="Times New Roman" w:cs="Times New Roman"/>
                <w:noProof/>
                <w:szCs w:val="20"/>
                <w:lang w:eastAsia="en-GB"/>
              </w:rPr>
            </w:pPr>
          </w:p>
          <w:p w14:paraId="5BAF49B4" w14:textId="77777777" w:rsidR="00653571" w:rsidRPr="008C5F1C" w:rsidRDefault="00653571" w:rsidP="00534127">
            <w:pPr>
              <w:jc w:val="center"/>
              <w:rPr>
                <w:rFonts w:ascii="Times New Roman" w:eastAsia="Calibri" w:hAnsi="Times New Roman" w:cs="Times New Roman"/>
                <w:noProof/>
                <w:szCs w:val="20"/>
                <w:lang w:eastAsia="en-GB"/>
              </w:rPr>
            </w:pPr>
          </w:p>
        </w:tc>
      </w:tr>
      <w:tr w:rsidR="00653571" w:rsidRPr="008C5F1C" w14:paraId="577E2B9C" w14:textId="77777777" w:rsidTr="00534127">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41DFB904" w14:textId="77777777" w:rsidR="00653571" w:rsidRPr="008C5F1C" w:rsidRDefault="00653571" w:rsidP="00534127">
            <w:pPr>
              <w:rPr>
                <w:rFonts w:ascii="Times New Roman" w:eastAsia="Calibri" w:hAnsi="Times New Roman" w:cs="Times New Roman"/>
                <w:bCs/>
                <w:noProof/>
                <w:szCs w:val="20"/>
                <w:lang w:eastAsia="en-GB"/>
              </w:rPr>
            </w:pPr>
            <w:r w:rsidRPr="008C5F1C">
              <w:rPr>
                <w:rFonts w:ascii="Times New Roman" w:eastAsia="Calibri" w:hAnsi="Times New Roman" w:cs="Times New Roman"/>
                <w:bCs/>
                <w:noProof/>
                <w:szCs w:val="20"/>
                <w:lang w:eastAsia="en-GB"/>
              </w:rPr>
              <w:t>1.3 Indicator name</w:t>
            </w:r>
            <w:r w:rsidRPr="008C5F1C">
              <w:rPr>
                <w:rFonts w:ascii="Times New Roman" w:eastAsia="Calibri" w:hAnsi="Times New Roman" w:cs="Times New Roman"/>
                <w:bCs/>
                <w:noProof/>
                <w:szCs w:val="20"/>
                <w:vertAlign w:val="superscript"/>
                <w:lang w:eastAsia="en-GB"/>
              </w:rPr>
              <w:footnoteReference w:id="67"/>
            </w:r>
          </w:p>
        </w:tc>
        <w:tc>
          <w:tcPr>
            <w:tcW w:w="5670" w:type="dxa"/>
            <w:tcBorders>
              <w:top w:val="single" w:sz="4" w:space="0" w:color="auto"/>
              <w:left w:val="single" w:sz="4" w:space="0" w:color="auto"/>
              <w:bottom w:val="single" w:sz="4" w:space="0" w:color="auto"/>
              <w:right w:val="single" w:sz="4" w:space="0" w:color="auto"/>
            </w:tcBorders>
            <w:vAlign w:val="center"/>
          </w:tcPr>
          <w:p w14:paraId="3EC99C4E" w14:textId="77777777" w:rsidR="00653571" w:rsidRPr="008C5F1C" w:rsidRDefault="00653571" w:rsidP="00534127">
            <w:pPr>
              <w:jc w:val="center"/>
              <w:rPr>
                <w:rFonts w:ascii="Times New Roman" w:eastAsia="Calibri" w:hAnsi="Times New Roman" w:cs="Times New Roman"/>
                <w:noProof/>
                <w:szCs w:val="20"/>
                <w:lang w:eastAsia="en-GB"/>
              </w:rPr>
            </w:pPr>
          </w:p>
        </w:tc>
      </w:tr>
      <w:tr w:rsidR="00653571" w:rsidRPr="008C5F1C" w14:paraId="180645E4" w14:textId="77777777" w:rsidTr="00534127">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1E5BE042" w14:textId="77777777" w:rsidR="00653571" w:rsidRPr="008C5F1C" w:rsidRDefault="00653571" w:rsidP="00534127">
            <w:pPr>
              <w:rPr>
                <w:rFonts w:ascii="Times New Roman" w:eastAsia="Calibri" w:hAnsi="Times New Roman" w:cs="Times New Roman"/>
                <w:bCs/>
                <w:noProof/>
                <w:szCs w:val="20"/>
                <w:lang w:eastAsia="en-GB"/>
              </w:rPr>
            </w:pPr>
            <w:r w:rsidRPr="008C5F1C">
              <w:rPr>
                <w:rFonts w:ascii="Times New Roman" w:eastAsia="Calibri" w:hAnsi="Times New Roman" w:cs="Times New Roman"/>
                <w:bCs/>
                <w:noProof/>
                <w:szCs w:val="20"/>
                <w:lang w:eastAsia="en-GB"/>
              </w:rPr>
              <w:t xml:space="preserve">1.4 </w:t>
            </w:r>
            <w:r w:rsidRPr="008C5F1C">
              <w:rPr>
                <w:rFonts w:ascii="Times New Roman" w:eastAsia="Calibri" w:hAnsi="Times New Roman" w:cs="Times New Roman"/>
                <w:noProof/>
                <w:szCs w:val="20"/>
                <w:lang w:eastAsia="en-GB"/>
              </w:rPr>
              <w:t>Unit of measurement for indicator</w:t>
            </w:r>
          </w:p>
        </w:tc>
        <w:tc>
          <w:tcPr>
            <w:tcW w:w="5670" w:type="dxa"/>
            <w:tcBorders>
              <w:top w:val="single" w:sz="4" w:space="0" w:color="auto"/>
              <w:left w:val="single" w:sz="4" w:space="0" w:color="auto"/>
              <w:bottom w:val="single" w:sz="4" w:space="0" w:color="auto"/>
              <w:right w:val="single" w:sz="4" w:space="0" w:color="auto"/>
            </w:tcBorders>
            <w:vAlign w:val="center"/>
          </w:tcPr>
          <w:p w14:paraId="45B6FC9F" w14:textId="77777777" w:rsidR="00653571" w:rsidRPr="008C5F1C" w:rsidRDefault="00653571" w:rsidP="00534127">
            <w:pPr>
              <w:jc w:val="center"/>
              <w:rPr>
                <w:rFonts w:ascii="Times New Roman" w:eastAsia="Calibri" w:hAnsi="Times New Roman" w:cs="Times New Roman"/>
                <w:noProof/>
                <w:szCs w:val="20"/>
                <w:lang w:eastAsia="en-GB"/>
              </w:rPr>
            </w:pPr>
          </w:p>
        </w:tc>
      </w:tr>
      <w:tr w:rsidR="00653571" w:rsidRPr="008C5F1C" w14:paraId="7A1E0CDC" w14:textId="77777777" w:rsidTr="00534127">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43B40568" w14:textId="77777777" w:rsidR="00653571" w:rsidRPr="008C5F1C" w:rsidRDefault="00653571" w:rsidP="00534127">
            <w:pPr>
              <w:rPr>
                <w:rFonts w:ascii="Times New Roman" w:eastAsia="Calibri" w:hAnsi="Times New Roman" w:cs="Times New Roman"/>
                <w:bCs/>
                <w:noProof/>
                <w:szCs w:val="20"/>
                <w:lang w:eastAsia="en-GB"/>
              </w:rPr>
            </w:pPr>
            <w:r w:rsidRPr="008C5F1C">
              <w:rPr>
                <w:rFonts w:ascii="Times New Roman" w:eastAsia="Calibri" w:hAnsi="Times New Roman" w:cs="Times New Roman"/>
                <w:bCs/>
                <w:noProof/>
                <w:szCs w:val="20"/>
                <w:lang w:eastAsia="en-GB"/>
              </w:rPr>
              <w:t>1.5 Standard scale of unit cost, lump sum or flat rate</w:t>
            </w:r>
          </w:p>
        </w:tc>
        <w:tc>
          <w:tcPr>
            <w:tcW w:w="5670" w:type="dxa"/>
            <w:tcBorders>
              <w:top w:val="single" w:sz="4" w:space="0" w:color="auto"/>
              <w:left w:val="single" w:sz="4" w:space="0" w:color="auto"/>
              <w:bottom w:val="single" w:sz="4" w:space="0" w:color="auto"/>
              <w:right w:val="single" w:sz="4" w:space="0" w:color="auto"/>
            </w:tcBorders>
            <w:vAlign w:val="center"/>
          </w:tcPr>
          <w:p w14:paraId="6C404EDB" w14:textId="77777777" w:rsidR="00653571" w:rsidRPr="008C5F1C" w:rsidRDefault="00653571" w:rsidP="00534127">
            <w:pPr>
              <w:rPr>
                <w:rFonts w:ascii="Times New Roman" w:eastAsia="Calibri" w:hAnsi="Times New Roman" w:cs="Times New Roman"/>
                <w:noProof/>
                <w:szCs w:val="20"/>
                <w:lang w:eastAsia="en-GB"/>
              </w:rPr>
            </w:pPr>
          </w:p>
        </w:tc>
      </w:tr>
      <w:tr w:rsidR="00653571" w:rsidRPr="008C5F1C" w14:paraId="118BC190" w14:textId="77777777" w:rsidTr="00534127">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6DE043F0" w14:textId="77777777" w:rsidR="00653571" w:rsidRPr="008C5F1C" w:rsidRDefault="00653571" w:rsidP="00534127">
            <w:pPr>
              <w:rPr>
                <w:rFonts w:ascii="Times New Roman" w:eastAsia="Calibri" w:hAnsi="Times New Roman" w:cs="Times New Roman"/>
                <w:bCs/>
                <w:noProof/>
                <w:szCs w:val="20"/>
                <w:lang w:eastAsia="en-GB"/>
              </w:rPr>
            </w:pPr>
            <w:r w:rsidRPr="008C5F1C">
              <w:rPr>
                <w:rFonts w:ascii="Times New Roman" w:eastAsia="Calibri" w:hAnsi="Times New Roman" w:cs="Times New Roman"/>
                <w:bCs/>
                <w:noProof/>
                <w:szCs w:val="20"/>
                <w:lang w:eastAsia="en-GB"/>
              </w:rPr>
              <w:t xml:space="preserve">1.6 Amount </w:t>
            </w:r>
          </w:p>
        </w:tc>
        <w:tc>
          <w:tcPr>
            <w:tcW w:w="5670" w:type="dxa"/>
            <w:tcBorders>
              <w:top w:val="single" w:sz="4" w:space="0" w:color="auto"/>
              <w:left w:val="single" w:sz="4" w:space="0" w:color="auto"/>
              <w:bottom w:val="single" w:sz="4" w:space="0" w:color="auto"/>
              <w:right w:val="single" w:sz="4" w:space="0" w:color="auto"/>
            </w:tcBorders>
            <w:vAlign w:val="center"/>
          </w:tcPr>
          <w:p w14:paraId="4F9B3D4E" w14:textId="77777777" w:rsidR="00653571" w:rsidRPr="008C5F1C" w:rsidRDefault="00653571" w:rsidP="00534127">
            <w:pPr>
              <w:jc w:val="center"/>
              <w:rPr>
                <w:rFonts w:ascii="Times New Roman" w:eastAsia="Calibri" w:hAnsi="Times New Roman" w:cs="Times New Roman"/>
                <w:noProof/>
                <w:szCs w:val="20"/>
                <w:lang w:eastAsia="en-GB"/>
              </w:rPr>
            </w:pPr>
          </w:p>
        </w:tc>
      </w:tr>
      <w:tr w:rsidR="00653571" w:rsidRPr="008C5F1C" w14:paraId="15360A6A" w14:textId="77777777" w:rsidTr="00534127">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398D7E31" w14:textId="77777777" w:rsidR="00653571" w:rsidRPr="008C5F1C" w:rsidRDefault="00653571" w:rsidP="00534127">
            <w:pPr>
              <w:rPr>
                <w:rFonts w:ascii="Times New Roman" w:eastAsia="Calibri" w:hAnsi="Times New Roman" w:cs="Times New Roman"/>
                <w:bCs/>
                <w:noProof/>
                <w:szCs w:val="20"/>
                <w:lang w:eastAsia="en-GB"/>
              </w:rPr>
            </w:pPr>
            <w:r w:rsidRPr="008C5F1C">
              <w:rPr>
                <w:rFonts w:ascii="Times New Roman" w:eastAsia="Calibri" w:hAnsi="Times New Roman" w:cs="Times New Roman"/>
                <w:bCs/>
                <w:noProof/>
                <w:szCs w:val="20"/>
                <w:lang w:eastAsia="en-GB"/>
              </w:rPr>
              <w:t>1.7 Categories of costs covered by unit cost, lump sum or flat rate</w:t>
            </w:r>
          </w:p>
        </w:tc>
        <w:tc>
          <w:tcPr>
            <w:tcW w:w="5670" w:type="dxa"/>
            <w:tcBorders>
              <w:top w:val="single" w:sz="4" w:space="0" w:color="auto"/>
              <w:left w:val="single" w:sz="4" w:space="0" w:color="auto"/>
              <w:bottom w:val="single" w:sz="4" w:space="0" w:color="auto"/>
              <w:right w:val="single" w:sz="4" w:space="0" w:color="auto"/>
            </w:tcBorders>
            <w:vAlign w:val="center"/>
          </w:tcPr>
          <w:p w14:paraId="042EDF38" w14:textId="77777777" w:rsidR="00653571" w:rsidRPr="008C5F1C" w:rsidRDefault="00653571" w:rsidP="00534127">
            <w:pPr>
              <w:jc w:val="center"/>
              <w:rPr>
                <w:rFonts w:ascii="Times New Roman" w:eastAsia="Calibri" w:hAnsi="Times New Roman" w:cs="Times New Roman"/>
                <w:noProof/>
                <w:szCs w:val="20"/>
                <w:lang w:eastAsia="en-GB"/>
              </w:rPr>
            </w:pPr>
          </w:p>
        </w:tc>
      </w:tr>
      <w:tr w:rsidR="00653571" w:rsidRPr="008C5F1C" w14:paraId="25FD354C" w14:textId="77777777" w:rsidTr="00534127">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553A3848" w14:textId="77777777" w:rsidR="00653571" w:rsidRPr="008C5F1C" w:rsidRDefault="00653571" w:rsidP="00534127">
            <w:pPr>
              <w:rPr>
                <w:rFonts w:ascii="Times New Roman" w:eastAsia="Calibri" w:hAnsi="Times New Roman" w:cs="Times New Roman"/>
                <w:bCs/>
                <w:noProof/>
                <w:szCs w:val="20"/>
                <w:lang w:eastAsia="en-GB"/>
              </w:rPr>
            </w:pPr>
            <w:r w:rsidRPr="008C5F1C">
              <w:rPr>
                <w:rFonts w:ascii="Times New Roman" w:eastAsia="Calibri" w:hAnsi="Times New Roman" w:cs="Times New Roman"/>
                <w:bCs/>
                <w:noProof/>
                <w:szCs w:val="20"/>
                <w:lang w:eastAsia="en-GB"/>
              </w:rPr>
              <w:t>1.8 Do these categories of costs cover all eligible expenditure for the operation? (Y/N)</w:t>
            </w:r>
          </w:p>
        </w:tc>
        <w:tc>
          <w:tcPr>
            <w:tcW w:w="5670" w:type="dxa"/>
            <w:tcBorders>
              <w:top w:val="single" w:sz="4" w:space="0" w:color="auto"/>
              <w:left w:val="single" w:sz="4" w:space="0" w:color="auto"/>
              <w:bottom w:val="single" w:sz="4" w:space="0" w:color="auto"/>
              <w:right w:val="single" w:sz="4" w:space="0" w:color="auto"/>
            </w:tcBorders>
            <w:vAlign w:val="center"/>
          </w:tcPr>
          <w:p w14:paraId="358E0FB4" w14:textId="77777777" w:rsidR="00653571" w:rsidRPr="008C5F1C" w:rsidRDefault="00653571" w:rsidP="00534127">
            <w:pPr>
              <w:jc w:val="center"/>
              <w:rPr>
                <w:rFonts w:ascii="Times New Roman" w:eastAsia="Calibri" w:hAnsi="Times New Roman" w:cs="Times New Roman"/>
                <w:i/>
                <w:noProof/>
                <w:szCs w:val="20"/>
                <w:lang w:eastAsia="en-GB"/>
              </w:rPr>
            </w:pPr>
          </w:p>
        </w:tc>
      </w:tr>
      <w:tr w:rsidR="00653571" w:rsidRPr="008C5F1C" w14:paraId="303FE501" w14:textId="77777777" w:rsidTr="00534127">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7DF27454" w14:textId="77777777" w:rsidR="00653571" w:rsidRPr="008C5F1C" w:rsidRDefault="00653571" w:rsidP="00534127">
            <w:pPr>
              <w:rPr>
                <w:rFonts w:ascii="Times New Roman" w:eastAsia="Calibri" w:hAnsi="Times New Roman" w:cs="Times New Roman"/>
                <w:bCs/>
                <w:noProof/>
                <w:szCs w:val="20"/>
                <w:lang w:eastAsia="en-GB"/>
              </w:rPr>
            </w:pPr>
            <w:r w:rsidRPr="008C5F1C">
              <w:rPr>
                <w:rFonts w:ascii="Times New Roman" w:eastAsia="Calibri" w:hAnsi="Times New Roman" w:cs="Times New Roman"/>
                <w:bCs/>
                <w:noProof/>
                <w:szCs w:val="20"/>
                <w:lang w:eastAsia="en-GB"/>
              </w:rPr>
              <w:t xml:space="preserve">1.9 Adjustment(s) method </w:t>
            </w:r>
          </w:p>
        </w:tc>
        <w:tc>
          <w:tcPr>
            <w:tcW w:w="5670" w:type="dxa"/>
            <w:tcBorders>
              <w:top w:val="single" w:sz="4" w:space="0" w:color="auto"/>
              <w:left w:val="single" w:sz="4" w:space="0" w:color="auto"/>
              <w:bottom w:val="single" w:sz="4" w:space="0" w:color="auto"/>
              <w:right w:val="single" w:sz="4" w:space="0" w:color="auto"/>
            </w:tcBorders>
            <w:vAlign w:val="center"/>
          </w:tcPr>
          <w:p w14:paraId="5965C4E8" w14:textId="77777777" w:rsidR="00653571" w:rsidRPr="008C5F1C" w:rsidRDefault="00653571" w:rsidP="00534127">
            <w:pPr>
              <w:jc w:val="center"/>
              <w:rPr>
                <w:rFonts w:ascii="Times New Roman" w:eastAsia="Calibri" w:hAnsi="Times New Roman" w:cs="Times New Roman"/>
                <w:noProof/>
                <w:szCs w:val="20"/>
                <w:lang w:eastAsia="en-GB"/>
              </w:rPr>
            </w:pPr>
          </w:p>
        </w:tc>
      </w:tr>
      <w:tr w:rsidR="00653571" w:rsidRPr="008C5F1C" w14:paraId="434FE459" w14:textId="77777777" w:rsidTr="00534127">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1E412059" w14:textId="77777777" w:rsidR="00653571" w:rsidRPr="008C5F1C" w:rsidRDefault="00653571" w:rsidP="00534127">
            <w:pPr>
              <w:rPr>
                <w:rFonts w:ascii="Times New Roman" w:eastAsia="Calibri" w:hAnsi="Times New Roman" w:cs="Times New Roman"/>
                <w:noProof/>
                <w:szCs w:val="20"/>
                <w:lang w:eastAsia="en-GB"/>
              </w:rPr>
            </w:pPr>
            <w:r w:rsidRPr="008C5F1C">
              <w:rPr>
                <w:rFonts w:ascii="Times New Roman" w:eastAsia="Calibri" w:hAnsi="Times New Roman" w:cs="Times New Roman"/>
                <w:noProof/>
                <w:szCs w:val="20"/>
                <w:lang w:eastAsia="en-GB"/>
              </w:rPr>
              <w:t xml:space="preserve">1.10 Verification of the achievement of the unit of measurement  </w:t>
            </w:r>
          </w:p>
          <w:p w14:paraId="4382A6A9" w14:textId="77777777" w:rsidR="00653571" w:rsidRPr="008C5F1C" w:rsidRDefault="00653571" w:rsidP="00534127">
            <w:pPr>
              <w:rPr>
                <w:rFonts w:ascii="Times New Roman" w:eastAsia="Calibri" w:hAnsi="Times New Roman" w:cs="Times New Roman"/>
                <w:noProof/>
                <w:szCs w:val="20"/>
                <w:lang w:eastAsia="en-GB"/>
              </w:rPr>
            </w:pPr>
            <w:r w:rsidRPr="008C5F1C">
              <w:rPr>
                <w:rFonts w:ascii="Times New Roman" w:eastAsia="Calibri" w:hAnsi="Times New Roman" w:cs="Times New Roman"/>
                <w:noProof/>
                <w:szCs w:val="20"/>
                <w:lang w:eastAsia="en-GB"/>
              </w:rPr>
              <w:t>- what document(s) will be used to verify the achievement of the unit of measurement?</w:t>
            </w:r>
          </w:p>
          <w:p w14:paraId="0640814E" w14:textId="77777777" w:rsidR="00653571" w:rsidRPr="008C5F1C" w:rsidRDefault="00653571" w:rsidP="00534127">
            <w:pPr>
              <w:rPr>
                <w:rFonts w:ascii="Times New Roman" w:eastAsia="Calibri" w:hAnsi="Times New Roman" w:cs="Times New Roman"/>
                <w:noProof/>
                <w:szCs w:val="20"/>
                <w:lang w:eastAsia="en-GB"/>
              </w:rPr>
            </w:pPr>
            <w:r w:rsidRPr="008C5F1C">
              <w:rPr>
                <w:rFonts w:ascii="Times New Roman" w:eastAsia="Calibri" w:hAnsi="Times New Roman" w:cs="Times New Roman"/>
                <w:noProof/>
                <w:szCs w:val="20"/>
                <w:lang w:eastAsia="en-GB"/>
              </w:rPr>
              <w:t xml:space="preserve">- describe what will be checked during management verifications (including on-the-spot), and by whom.  </w:t>
            </w:r>
          </w:p>
          <w:p w14:paraId="73AD53FE" w14:textId="77777777" w:rsidR="00653571" w:rsidRPr="008C5F1C" w:rsidRDefault="00653571" w:rsidP="00534127">
            <w:pPr>
              <w:rPr>
                <w:rFonts w:ascii="Times New Roman" w:eastAsia="Calibri" w:hAnsi="Times New Roman" w:cs="Times New Roman"/>
                <w:noProof/>
                <w:szCs w:val="20"/>
                <w:lang w:eastAsia="en-GB"/>
              </w:rPr>
            </w:pPr>
            <w:r w:rsidRPr="008C5F1C">
              <w:rPr>
                <w:rFonts w:ascii="Times New Roman" w:eastAsia="Calibri" w:hAnsi="Times New Roman" w:cs="Times New Roman"/>
                <w:noProof/>
                <w:szCs w:val="20"/>
                <w:lang w:eastAsia="en-GB"/>
              </w:rPr>
              <w:lastRenderedPageBreak/>
              <w:t>- what arrangements to collect and store the data/documents described?</w:t>
            </w:r>
          </w:p>
        </w:tc>
        <w:tc>
          <w:tcPr>
            <w:tcW w:w="5670" w:type="dxa"/>
            <w:tcBorders>
              <w:top w:val="single" w:sz="4" w:space="0" w:color="auto"/>
              <w:left w:val="single" w:sz="4" w:space="0" w:color="auto"/>
              <w:bottom w:val="single" w:sz="4" w:space="0" w:color="auto"/>
              <w:right w:val="single" w:sz="4" w:space="0" w:color="auto"/>
            </w:tcBorders>
            <w:vAlign w:val="center"/>
          </w:tcPr>
          <w:p w14:paraId="5B7C1C20" w14:textId="77777777" w:rsidR="00653571" w:rsidRPr="008C5F1C" w:rsidRDefault="00653571" w:rsidP="00534127">
            <w:pPr>
              <w:jc w:val="center"/>
              <w:rPr>
                <w:rFonts w:ascii="Times New Roman" w:eastAsia="Calibri" w:hAnsi="Times New Roman" w:cs="Times New Roman"/>
                <w:noProof/>
                <w:szCs w:val="20"/>
                <w:lang w:eastAsia="en-GB"/>
              </w:rPr>
            </w:pPr>
          </w:p>
        </w:tc>
      </w:tr>
      <w:tr w:rsidR="00653571" w:rsidRPr="008C5F1C" w14:paraId="7A953E18" w14:textId="77777777" w:rsidTr="00534127">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6AF7F34F" w14:textId="77777777" w:rsidR="00653571" w:rsidRPr="008C5F1C" w:rsidRDefault="00653571" w:rsidP="00534127">
            <w:pPr>
              <w:rPr>
                <w:rFonts w:ascii="Times New Roman" w:eastAsia="Calibri" w:hAnsi="Times New Roman" w:cs="Times New Roman"/>
                <w:bCs/>
                <w:noProof/>
                <w:szCs w:val="20"/>
                <w:lang w:eastAsia="en-GB"/>
              </w:rPr>
            </w:pPr>
            <w:r w:rsidRPr="008C5F1C">
              <w:rPr>
                <w:rFonts w:ascii="Times New Roman" w:eastAsia="Calibri" w:hAnsi="Times New Roman" w:cs="Times New Roman"/>
                <w:noProof/>
                <w:szCs w:val="20"/>
                <w:lang w:eastAsia="en-GB"/>
              </w:rPr>
              <w:t>1.11 Possible perverse incentives or problems caused by this indicator, how they could be mitigated, and the estimated level of risk</w:t>
            </w:r>
          </w:p>
        </w:tc>
        <w:tc>
          <w:tcPr>
            <w:tcW w:w="5670" w:type="dxa"/>
            <w:tcBorders>
              <w:top w:val="single" w:sz="4" w:space="0" w:color="auto"/>
              <w:left w:val="single" w:sz="4" w:space="0" w:color="auto"/>
              <w:bottom w:val="single" w:sz="4" w:space="0" w:color="auto"/>
              <w:right w:val="single" w:sz="4" w:space="0" w:color="auto"/>
            </w:tcBorders>
            <w:vAlign w:val="center"/>
          </w:tcPr>
          <w:p w14:paraId="453E1AC1" w14:textId="77777777" w:rsidR="00653571" w:rsidRPr="008C5F1C" w:rsidRDefault="00653571" w:rsidP="00534127">
            <w:pPr>
              <w:jc w:val="center"/>
              <w:rPr>
                <w:rFonts w:ascii="Times New Roman" w:eastAsia="Calibri" w:hAnsi="Times New Roman" w:cs="Times New Roman"/>
                <w:noProof/>
                <w:szCs w:val="20"/>
                <w:lang w:eastAsia="en-GB"/>
              </w:rPr>
            </w:pPr>
          </w:p>
        </w:tc>
      </w:tr>
      <w:tr w:rsidR="00653571" w:rsidRPr="008C5F1C" w14:paraId="6B5BA3FE" w14:textId="77777777" w:rsidTr="00534127">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4A7C12B5" w14:textId="77777777" w:rsidR="00653571" w:rsidRPr="008C5F1C" w:rsidRDefault="00653571" w:rsidP="00534127">
            <w:pPr>
              <w:rPr>
                <w:rFonts w:ascii="Times New Roman" w:eastAsia="Calibri" w:hAnsi="Times New Roman" w:cs="Times New Roman"/>
                <w:noProof/>
                <w:szCs w:val="20"/>
                <w:lang w:eastAsia="en-GB"/>
              </w:rPr>
            </w:pPr>
            <w:r w:rsidRPr="008C5F1C">
              <w:rPr>
                <w:rFonts w:ascii="Times New Roman" w:eastAsia="Calibri" w:hAnsi="Times New Roman" w:cs="Times New Roman"/>
                <w:bCs/>
                <w:noProof/>
                <w:szCs w:val="20"/>
                <w:lang w:eastAsia="en-GB"/>
              </w:rPr>
              <w:t xml:space="preserve">1.12 Total amount (national and EU) expected to be reimbursed </w:t>
            </w:r>
          </w:p>
        </w:tc>
        <w:tc>
          <w:tcPr>
            <w:tcW w:w="5670" w:type="dxa"/>
            <w:tcBorders>
              <w:top w:val="single" w:sz="4" w:space="0" w:color="auto"/>
              <w:left w:val="single" w:sz="4" w:space="0" w:color="auto"/>
              <w:bottom w:val="single" w:sz="4" w:space="0" w:color="auto"/>
              <w:right w:val="single" w:sz="4" w:space="0" w:color="auto"/>
            </w:tcBorders>
            <w:vAlign w:val="center"/>
          </w:tcPr>
          <w:p w14:paraId="14E68A7D" w14:textId="77777777" w:rsidR="00653571" w:rsidRPr="008C5F1C" w:rsidRDefault="00653571" w:rsidP="00534127">
            <w:pPr>
              <w:jc w:val="center"/>
              <w:rPr>
                <w:rFonts w:ascii="Times New Roman" w:eastAsia="Calibri" w:hAnsi="Times New Roman" w:cs="Times New Roman"/>
                <w:noProof/>
                <w:szCs w:val="20"/>
                <w:lang w:eastAsia="en-GB"/>
              </w:rPr>
            </w:pPr>
          </w:p>
        </w:tc>
      </w:tr>
    </w:tbl>
    <w:p w14:paraId="35AF2529" w14:textId="77777777" w:rsidR="00653571" w:rsidRPr="008C5F1C" w:rsidRDefault="00653571" w:rsidP="00653571">
      <w:pPr>
        <w:spacing w:after="0"/>
        <w:rPr>
          <w:rFonts w:ascii="Times New Roman" w:eastAsia="Calibri" w:hAnsi="Times New Roman" w:cs="Times New Roman"/>
          <w:b/>
          <w:noProof/>
          <w:szCs w:val="20"/>
          <w:u w:val="single"/>
          <w:lang w:eastAsia="en-GB"/>
        </w:rPr>
        <w:sectPr w:rsidR="00653571" w:rsidRPr="008C5F1C" w:rsidSect="00534127">
          <w:headerReference w:type="default" r:id="rId19"/>
          <w:footerReference w:type="default" r:id="rId20"/>
          <w:pgSz w:w="11906" w:h="16838"/>
          <w:pgMar w:top="1134" w:right="1134" w:bottom="1134" w:left="1134" w:header="567" w:footer="567" w:gutter="0"/>
          <w:cols w:space="720"/>
          <w:docGrid w:linePitch="326"/>
        </w:sectPr>
      </w:pPr>
    </w:p>
    <w:p w14:paraId="1B31604D" w14:textId="77777777" w:rsidR="00653571" w:rsidRPr="008C5F1C" w:rsidRDefault="00653571" w:rsidP="00653571">
      <w:pPr>
        <w:rPr>
          <w:rFonts w:ascii="Times New Roman" w:eastAsia="Calibri" w:hAnsi="Times New Roman" w:cs="Times New Roman"/>
          <w:b/>
          <w:noProof/>
          <w:szCs w:val="20"/>
          <w:u w:val="single"/>
          <w:lang w:eastAsia="en-GB"/>
        </w:rPr>
      </w:pPr>
      <w:r w:rsidRPr="008C5F1C">
        <w:rPr>
          <w:rFonts w:ascii="Times New Roman" w:eastAsia="Calibri" w:hAnsi="Times New Roman" w:cs="Times New Roman"/>
          <w:b/>
          <w:noProof/>
          <w:szCs w:val="20"/>
          <w:u w:val="single"/>
          <w:lang w:eastAsia="en-GB"/>
        </w:rPr>
        <w:lastRenderedPageBreak/>
        <w:t>C: Calculation of the standard scale of unit costs, lump sums or flat rates</w:t>
      </w:r>
    </w:p>
    <w:p w14:paraId="50482B9C" w14:textId="77777777" w:rsidR="00653571" w:rsidRPr="008C5F1C" w:rsidRDefault="00653571" w:rsidP="00653571">
      <w:pPr>
        <w:autoSpaceDE w:val="0"/>
        <w:autoSpaceDN w:val="0"/>
        <w:adjustRightInd w:val="0"/>
        <w:spacing w:after="240"/>
        <w:ind w:right="112"/>
        <w:rPr>
          <w:rFonts w:ascii="Times New Roman" w:eastAsia="Calibri" w:hAnsi="Times New Roman" w:cs="Times New Roman"/>
          <w:noProof/>
          <w:szCs w:val="20"/>
          <w:lang w:eastAsia="en-GB"/>
        </w:rPr>
      </w:pPr>
      <w:r w:rsidRPr="008C5F1C">
        <w:rPr>
          <w:rFonts w:ascii="Times New Roman" w:eastAsia="Calibri" w:hAnsi="Times New Roman" w:cs="Times New Roman"/>
          <w:bCs/>
          <w:i/>
          <w:noProof/>
          <w:szCs w:val="20"/>
          <w:lang w:eastAsia="en-GB"/>
        </w:rPr>
        <w:t>1.</w:t>
      </w:r>
      <w:r w:rsidRPr="008C5F1C">
        <w:rPr>
          <w:rFonts w:ascii="Times New Roman" w:eastAsia="Calibri" w:hAnsi="Times New Roman" w:cs="Times New Roman"/>
          <w:bCs/>
          <w:noProof/>
          <w:szCs w:val="20"/>
          <w:lang w:eastAsia="en-GB"/>
        </w:rPr>
        <w:t xml:space="preserve"> </w:t>
      </w:r>
      <w:r w:rsidRPr="008C5F1C">
        <w:rPr>
          <w:rFonts w:ascii="Times New Roman" w:eastAsia="Calibri" w:hAnsi="Times New Roman" w:cs="Times New Roman"/>
          <w:noProof/>
          <w:szCs w:val="20"/>
          <w:lang w:eastAsia="en-GB"/>
        </w:rPr>
        <w:t>Source of data used to calculate the standard scale of unit costs, lump sums or flat rates (who produced, collected and recorded the data; where the data are stored; cut-off dates; validation, etc.).</w:t>
      </w:r>
    </w:p>
    <w:p w14:paraId="7BBDDE01" w14:textId="77777777" w:rsidR="00653571" w:rsidRPr="008C5F1C" w:rsidRDefault="00653571" w:rsidP="00653571">
      <w:pPr>
        <w:pBdr>
          <w:top w:val="single" w:sz="4" w:space="1" w:color="auto"/>
          <w:left w:val="single" w:sz="4" w:space="4" w:color="auto"/>
          <w:bottom w:val="single" w:sz="4" w:space="5" w:color="auto"/>
          <w:right w:val="single" w:sz="4" w:space="4" w:color="auto"/>
        </w:pBdr>
        <w:autoSpaceDE w:val="0"/>
        <w:autoSpaceDN w:val="0"/>
        <w:adjustRightInd w:val="0"/>
        <w:spacing w:after="240"/>
        <w:rPr>
          <w:rFonts w:ascii="Times New Roman" w:eastAsia="Calibri" w:hAnsi="Times New Roman" w:cs="Times New Roman"/>
          <w:bCs/>
          <w:noProof/>
          <w:szCs w:val="20"/>
          <w:lang w:eastAsia="fr-LU"/>
        </w:rPr>
      </w:pPr>
    </w:p>
    <w:p w14:paraId="3DFAC081" w14:textId="77777777" w:rsidR="00653571" w:rsidRPr="008C5F1C" w:rsidRDefault="00653571" w:rsidP="00653571">
      <w:pPr>
        <w:autoSpaceDE w:val="0"/>
        <w:autoSpaceDN w:val="0"/>
        <w:adjustRightInd w:val="0"/>
        <w:spacing w:after="240"/>
        <w:rPr>
          <w:rFonts w:ascii="Times New Roman" w:eastAsia="Calibri" w:hAnsi="Times New Roman" w:cs="Times New Roman"/>
          <w:bCs/>
          <w:noProof/>
          <w:szCs w:val="20"/>
          <w:lang w:eastAsia="fr-LU"/>
        </w:rPr>
      </w:pPr>
      <w:r w:rsidRPr="008C5F1C">
        <w:rPr>
          <w:rFonts w:ascii="Times New Roman" w:eastAsia="Calibri" w:hAnsi="Times New Roman" w:cs="Times New Roman"/>
          <w:bCs/>
          <w:i/>
          <w:noProof/>
          <w:szCs w:val="20"/>
          <w:lang w:eastAsia="fr-LU"/>
        </w:rPr>
        <w:t>2.</w:t>
      </w:r>
      <w:r w:rsidRPr="008C5F1C">
        <w:rPr>
          <w:rFonts w:ascii="Times New Roman" w:eastAsia="Calibri" w:hAnsi="Times New Roman" w:cs="Times New Roman"/>
          <w:bCs/>
          <w:noProof/>
          <w:szCs w:val="20"/>
          <w:lang w:eastAsia="fr-LU"/>
        </w:rPr>
        <w:t xml:space="preserve"> Please specify why the proposed method and calculation is relevant to the type of operation.</w:t>
      </w:r>
    </w:p>
    <w:p w14:paraId="57B7DD51" w14:textId="77777777" w:rsidR="00653571" w:rsidRPr="008C5F1C" w:rsidRDefault="00653571" w:rsidP="00653571">
      <w:pPr>
        <w:pBdr>
          <w:top w:val="single" w:sz="4" w:space="1" w:color="auto"/>
          <w:left w:val="single" w:sz="4" w:space="4" w:color="auto"/>
          <w:bottom w:val="single" w:sz="4" w:space="5" w:color="auto"/>
          <w:right w:val="single" w:sz="4" w:space="4" w:color="auto"/>
        </w:pBdr>
        <w:autoSpaceDE w:val="0"/>
        <w:autoSpaceDN w:val="0"/>
        <w:adjustRightInd w:val="0"/>
        <w:spacing w:after="240"/>
        <w:rPr>
          <w:rFonts w:ascii="Times New Roman" w:eastAsia="Calibri" w:hAnsi="Times New Roman" w:cs="Times New Roman"/>
          <w:bCs/>
          <w:noProof/>
          <w:szCs w:val="20"/>
          <w:lang w:eastAsia="fr-LU"/>
        </w:rPr>
      </w:pPr>
    </w:p>
    <w:p w14:paraId="43B25F11" w14:textId="77777777" w:rsidR="00653571" w:rsidRPr="008C5F1C" w:rsidRDefault="00653571" w:rsidP="00653571">
      <w:pPr>
        <w:autoSpaceDE w:val="0"/>
        <w:autoSpaceDN w:val="0"/>
        <w:adjustRightInd w:val="0"/>
        <w:spacing w:after="240"/>
        <w:rPr>
          <w:rFonts w:ascii="Times New Roman" w:eastAsia="Calibri" w:hAnsi="Times New Roman" w:cs="Times New Roman"/>
          <w:bCs/>
          <w:noProof/>
          <w:szCs w:val="20"/>
          <w:lang w:eastAsia="fr-LU"/>
        </w:rPr>
      </w:pPr>
      <w:r w:rsidRPr="008C5F1C">
        <w:rPr>
          <w:rFonts w:ascii="Times New Roman" w:eastAsia="Calibri" w:hAnsi="Times New Roman" w:cs="Times New Roman"/>
          <w:bCs/>
          <w:i/>
          <w:noProof/>
          <w:szCs w:val="20"/>
          <w:lang w:eastAsia="fr-LU"/>
        </w:rPr>
        <w:t>3.</w:t>
      </w:r>
      <w:r w:rsidRPr="008C5F1C">
        <w:rPr>
          <w:rFonts w:ascii="Times New Roman" w:eastAsia="Calibri" w:hAnsi="Times New Roman" w:cs="Times New Roman"/>
          <w:bCs/>
          <w:noProof/>
          <w:szCs w:val="20"/>
          <w:lang w:eastAsia="fr-LU"/>
        </w:rPr>
        <w:t xml:space="preserve"> Please specify how the calculations were made, in particular including any assumptions made in terms of quality or quantities. Where relevant, statistical evidence and benchmarks should be used and attached to this annex in a format that is usable by the Commission. </w:t>
      </w:r>
    </w:p>
    <w:p w14:paraId="2CF5E592" w14:textId="77777777" w:rsidR="00653571" w:rsidRPr="008C5F1C" w:rsidRDefault="00653571" w:rsidP="00653571">
      <w:pPr>
        <w:pBdr>
          <w:top w:val="single" w:sz="4" w:space="1" w:color="auto"/>
          <w:left w:val="single" w:sz="4" w:space="4" w:color="auto"/>
          <w:bottom w:val="single" w:sz="4" w:space="1" w:color="auto"/>
          <w:right w:val="single" w:sz="4" w:space="4" w:color="auto"/>
        </w:pBdr>
        <w:autoSpaceDE w:val="0"/>
        <w:autoSpaceDN w:val="0"/>
        <w:adjustRightInd w:val="0"/>
        <w:spacing w:after="240"/>
        <w:rPr>
          <w:rFonts w:ascii="Times New Roman" w:eastAsia="Calibri" w:hAnsi="Times New Roman" w:cs="Times New Roman"/>
          <w:bCs/>
          <w:noProof/>
          <w:szCs w:val="20"/>
          <w:lang w:eastAsia="fr-LU"/>
        </w:rPr>
      </w:pPr>
    </w:p>
    <w:p w14:paraId="7074D612" w14:textId="77777777" w:rsidR="00653571" w:rsidRPr="008C5F1C" w:rsidRDefault="00653571" w:rsidP="00653571">
      <w:pPr>
        <w:autoSpaceDE w:val="0"/>
        <w:autoSpaceDN w:val="0"/>
        <w:adjustRightInd w:val="0"/>
        <w:spacing w:after="240"/>
        <w:rPr>
          <w:rFonts w:ascii="Times New Roman" w:eastAsia="Calibri" w:hAnsi="Times New Roman" w:cs="Times New Roman"/>
          <w:bCs/>
          <w:noProof/>
          <w:szCs w:val="20"/>
          <w:lang w:eastAsia="fr-LU"/>
        </w:rPr>
      </w:pPr>
      <w:r w:rsidRPr="008C5F1C">
        <w:rPr>
          <w:rFonts w:ascii="Times New Roman" w:eastAsia="Calibri" w:hAnsi="Times New Roman" w:cs="Times New Roman"/>
          <w:bCs/>
          <w:i/>
          <w:noProof/>
          <w:szCs w:val="20"/>
          <w:lang w:eastAsia="fr-LU"/>
        </w:rPr>
        <w:t>4</w:t>
      </w:r>
      <w:r w:rsidRPr="008C5F1C">
        <w:rPr>
          <w:rFonts w:ascii="Times New Roman" w:eastAsia="Calibri" w:hAnsi="Times New Roman" w:cs="Times New Roman"/>
          <w:bCs/>
          <w:noProof/>
          <w:szCs w:val="20"/>
          <w:lang w:eastAsia="fr-LU"/>
        </w:rPr>
        <w:t>. Please explain how you have ensured that only eligible expenditure was included in the calculation of the standard scale of unit cost, lump sum or flat rate.</w:t>
      </w:r>
    </w:p>
    <w:p w14:paraId="4D456E0B" w14:textId="77777777" w:rsidR="00653571" w:rsidRPr="008C5F1C" w:rsidRDefault="00653571" w:rsidP="00653571">
      <w:pPr>
        <w:pBdr>
          <w:top w:val="single" w:sz="4" w:space="1" w:color="auto"/>
          <w:left w:val="single" w:sz="4" w:space="4" w:color="auto"/>
          <w:bottom w:val="single" w:sz="4" w:space="1" w:color="auto"/>
          <w:right w:val="single" w:sz="4" w:space="4" w:color="auto"/>
        </w:pBdr>
        <w:autoSpaceDE w:val="0"/>
        <w:autoSpaceDN w:val="0"/>
        <w:adjustRightInd w:val="0"/>
        <w:spacing w:after="240"/>
        <w:rPr>
          <w:rFonts w:ascii="Times New Roman" w:eastAsia="Calibri" w:hAnsi="Times New Roman" w:cs="Times New Roman"/>
          <w:bCs/>
          <w:noProof/>
          <w:szCs w:val="20"/>
          <w:lang w:eastAsia="fr-LU"/>
        </w:rPr>
      </w:pPr>
    </w:p>
    <w:p w14:paraId="7B9B7F6C" w14:textId="77777777" w:rsidR="00653571" w:rsidRPr="008C5F1C" w:rsidRDefault="00653571" w:rsidP="00653571">
      <w:pPr>
        <w:spacing w:after="240"/>
        <w:rPr>
          <w:rFonts w:ascii="Times New Roman" w:eastAsia="Calibri" w:hAnsi="Times New Roman" w:cs="Times New Roman"/>
          <w:bCs/>
          <w:noProof/>
          <w:szCs w:val="20"/>
          <w:lang w:eastAsia="fr-LU"/>
        </w:rPr>
      </w:pPr>
      <w:r w:rsidRPr="008C5F1C">
        <w:rPr>
          <w:rFonts w:ascii="Times New Roman" w:eastAsia="Calibri" w:hAnsi="Times New Roman" w:cs="Times New Roman"/>
          <w:bCs/>
          <w:i/>
          <w:noProof/>
          <w:szCs w:val="20"/>
          <w:lang w:eastAsia="fr-LU"/>
        </w:rPr>
        <w:t>5</w:t>
      </w:r>
      <w:r w:rsidRPr="008C5F1C">
        <w:rPr>
          <w:rFonts w:ascii="Times New Roman" w:eastAsia="Calibri" w:hAnsi="Times New Roman" w:cs="Times New Roman"/>
          <w:bCs/>
          <w:noProof/>
          <w:szCs w:val="20"/>
          <w:lang w:eastAsia="fr-LU"/>
        </w:rPr>
        <w:t xml:space="preserve">. Assessment of the audit authority(ies) </w:t>
      </w:r>
      <w:r w:rsidRPr="008C5F1C">
        <w:rPr>
          <w:rFonts w:ascii="Times New Roman" w:eastAsia="Calibri" w:hAnsi="Times New Roman" w:cs="Times New Roman"/>
          <w:noProof/>
          <w:szCs w:val="20"/>
          <w:lang w:eastAsia="en-GB"/>
        </w:rPr>
        <w:t xml:space="preserve">of the calculation methodology and amounts and the arrangements </w:t>
      </w:r>
      <w:r w:rsidRPr="008C5F1C">
        <w:rPr>
          <w:rFonts w:ascii="Times New Roman" w:eastAsia="Calibri" w:hAnsi="Times New Roman" w:cs="Times New Roman"/>
          <w:noProof/>
          <w:szCs w:val="20"/>
          <w:lang w:eastAsia="fr-LU"/>
        </w:rPr>
        <w:t>to ensure the verification, quality, collection and storage of data</w:t>
      </w:r>
      <w:r w:rsidRPr="008C5F1C">
        <w:rPr>
          <w:rFonts w:ascii="Times New Roman" w:eastAsia="Calibri" w:hAnsi="Times New Roman" w:cs="Times New Roman"/>
          <w:bCs/>
          <w:noProof/>
          <w:szCs w:val="20"/>
          <w:lang w:eastAsia="fr-LU"/>
        </w:rPr>
        <w:t>.</w:t>
      </w:r>
    </w:p>
    <w:p w14:paraId="177453DD" w14:textId="77777777" w:rsidR="00653571" w:rsidRPr="008C5F1C" w:rsidRDefault="00653571" w:rsidP="00653571">
      <w:pPr>
        <w:pBdr>
          <w:top w:val="single" w:sz="4" w:space="1" w:color="auto"/>
          <w:left w:val="single" w:sz="4" w:space="4" w:color="auto"/>
          <w:bottom w:val="single" w:sz="4" w:space="1" w:color="auto"/>
          <w:right w:val="single" w:sz="4" w:space="4" w:color="auto"/>
        </w:pBdr>
        <w:autoSpaceDE w:val="0"/>
        <w:autoSpaceDN w:val="0"/>
        <w:adjustRightInd w:val="0"/>
        <w:spacing w:after="240"/>
        <w:rPr>
          <w:rFonts w:ascii="Times New Roman" w:eastAsia="Calibri" w:hAnsi="Times New Roman" w:cs="Times New Roman"/>
          <w:bCs/>
          <w:noProof/>
          <w:szCs w:val="20"/>
          <w:lang w:eastAsia="fr-LU"/>
        </w:rPr>
      </w:pPr>
    </w:p>
    <w:p w14:paraId="64C2020D" w14:textId="77777777" w:rsidR="00653571" w:rsidRPr="008C5F1C" w:rsidRDefault="00653571" w:rsidP="00653571">
      <w:pPr>
        <w:rPr>
          <w:rFonts w:ascii="Times New Roman" w:eastAsia="Calibri" w:hAnsi="Times New Roman" w:cs="Times New Roman"/>
          <w:b/>
          <w:noProof/>
          <w:szCs w:val="24"/>
          <w:lang w:eastAsia="en-GB"/>
        </w:rPr>
      </w:pPr>
    </w:p>
    <w:p w14:paraId="01D5927B" w14:textId="77777777" w:rsidR="00653571" w:rsidRPr="008C5F1C" w:rsidRDefault="00653571" w:rsidP="00653571">
      <w:pPr>
        <w:rPr>
          <w:rFonts w:ascii="Times New Roman" w:eastAsia="Calibri" w:hAnsi="Times New Roman" w:cs="Times New Roman"/>
          <w:noProof/>
          <w:szCs w:val="20"/>
          <w:lang w:eastAsia="en-GB"/>
        </w:rPr>
      </w:pPr>
      <w:r w:rsidRPr="008C5F1C">
        <w:rPr>
          <w:rFonts w:ascii="Times New Roman" w:eastAsia="Calibri" w:hAnsi="Times New Roman" w:cs="Times New Roman"/>
          <w:noProof/>
          <w:szCs w:val="20"/>
          <w:lang w:eastAsia="en-GB"/>
        </w:rPr>
        <w:br w:type="page"/>
      </w:r>
    </w:p>
    <w:p w14:paraId="79611F6B" w14:textId="77777777" w:rsidR="00653571" w:rsidRPr="008C5F1C" w:rsidRDefault="00653571" w:rsidP="00653571">
      <w:pPr>
        <w:spacing w:after="0"/>
        <w:rPr>
          <w:rFonts w:ascii="Times New Roman" w:eastAsia="Calibri" w:hAnsi="Times New Roman" w:cs="Times New Roman"/>
          <w:b/>
          <w:noProof/>
          <w:szCs w:val="24"/>
          <w:lang w:eastAsia="en-GB"/>
        </w:rPr>
      </w:pPr>
      <w:r w:rsidRPr="008C5F1C">
        <w:rPr>
          <w:rFonts w:ascii="Times New Roman" w:eastAsia="Calibri" w:hAnsi="Times New Roman" w:cs="Times New Roman"/>
          <w:b/>
          <w:i/>
          <w:noProof/>
          <w:szCs w:val="24"/>
          <w:lang w:eastAsia="en-GB"/>
        </w:rPr>
        <w:lastRenderedPageBreak/>
        <w:t>Appendix 2:</w:t>
      </w:r>
      <w:r w:rsidRPr="008C5F1C">
        <w:rPr>
          <w:rFonts w:ascii="Times New Roman" w:eastAsia="Calibri" w:hAnsi="Times New Roman" w:cs="Times New Roman"/>
          <w:b/>
          <w:noProof/>
          <w:szCs w:val="24"/>
          <w:lang w:eastAsia="en-GB"/>
        </w:rPr>
        <w:t xml:space="preserve"> Union contribution based on financing not linked to costs</w:t>
      </w:r>
    </w:p>
    <w:p w14:paraId="1DFF488E" w14:textId="77777777" w:rsidR="00653571" w:rsidRPr="008C5F1C" w:rsidRDefault="00653571" w:rsidP="00653571">
      <w:pPr>
        <w:spacing w:after="0"/>
        <w:jc w:val="center"/>
        <w:rPr>
          <w:rFonts w:ascii="Times New Roman" w:eastAsia="Calibri" w:hAnsi="Times New Roman" w:cs="Times New Roman"/>
          <w:b/>
          <w:noProof/>
          <w:szCs w:val="24"/>
          <w:u w:val="single"/>
          <w:lang w:eastAsia="en-GB"/>
        </w:rPr>
      </w:pPr>
    </w:p>
    <w:p w14:paraId="658F43BA" w14:textId="77777777" w:rsidR="00653571" w:rsidRPr="008C5F1C" w:rsidRDefault="00653571" w:rsidP="00653571">
      <w:pPr>
        <w:jc w:val="center"/>
        <w:rPr>
          <w:rFonts w:ascii="Times New Roman" w:eastAsia="Calibri" w:hAnsi="Times New Roman" w:cs="Times New Roman"/>
          <w:b/>
          <w:noProof/>
          <w:szCs w:val="24"/>
          <w:u w:val="single"/>
          <w:lang w:eastAsia="en-GB"/>
        </w:rPr>
      </w:pPr>
      <w:r w:rsidRPr="008C5F1C">
        <w:rPr>
          <w:rFonts w:ascii="Times New Roman" w:eastAsia="Calibri" w:hAnsi="Times New Roman" w:cs="Times New Roman"/>
          <w:b/>
          <w:noProof/>
          <w:szCs w:val="24"/>
          <w:u w:val="single"/>
          <w:lang w:eastAsia="en-GB"/>
        </w:rPr>
        <w:t>Template for submitting data for the consideration of the Commission</w:t>
      </w:r>
    </w:p>
    <w:p w14:paraId="44263619" w14:textId="77777777" w:rsidR="00653571" w:rsidRPr="008C5F1C" w:rsidRDefault="00653571" w:rsidP="00653571">
      <w:pPr>
        <w:jc w:val="center"/>
        <w:rPr>
          <w:rFonts w:ascii="Times New Roman" w:eastAsia="Calibri" w:hAnsi="Times New Roman" w:cs="Times New Roman"/>
          <w:b/>
          <w:i/>
          <w:noProof/>
          <w:szCs w:val="24"/>
          <w:lang w:eastAsia="en-GB"/>
        </w:rPr>
      </w:pPr>
      <w:r w:rsidRPr="008C5F1C">
        <w:rPr>
          <w:rFonts w:ascii="Times New Roman" w:eastAsia="Calibri" w:hAnsi="Times New Roman" w:cs="Times New Roman"/>
          <w:b/>
          <w:noProof/>
          <w:szCs w:val="24"/>
          <w:u w:val="single"/>
          <w:lang w:eastAsia="en-GB"/>
        </w:rPr>
        <w:t>(Article 89)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653571" w:rsidRPr="008C5F1C" w14:paraId="553A2BA4" w14:textId="77777777" w:rsidTr="00534127">
        <w:tc>
          <w:tcPr>
            <w:tcW w:w="4644" w:type="dxa"/>
            <w:tcBorders>
              <w:top w:val="single" w:sz="4" w:space="0" w:color="auto"/>
              <w:left w:val="single" w:sz="4" w:space="0" w:color="auto"/>
              <w:bottom w:val="single" w:sz="4" w:space="0" w:color="auto"/>
              <w:right w:val="single" w:sz="4" w:space="0" w:color="auto"/>
            </w:tcBorders>
            <w:hideMark/>
          </w:tcPr>
          <w:p w14:paraId="08F63CC5" w14:textId="77777777" w:rsidR="00653571" w:rsidRPr="008C5F1C" w:rsidRDefault="00653571" w:rsidP="00534127">
            <w:pPr>
              <w:rPr>
                <w:rFonts w:ascii="Times New Roman" w:eastAsia="Calibri" w:hAnsi="Times New Roman" w:cs="Times New Roman"/>
                <w:noProof/>
                <w:szCs w:val="24"/>
                <w:lang w:eastAsia="en-GB"/>
              </w:rPr>
            </w:pPr>
            <w:r w:rsidRPr="008C5F1C">
              <w:rPr>
                <w:rFonts w:ascii="Times New Roman" w:eastAsia="Calibri" w:hAnsi="Times New Roman" w:cs="Times New Roman"/>
                <w:noProof/>
                <w:szCs w:val="24"/>
                <w:lang w:eastAsia="en-GB"/>
              </w:rPr>
              <w:t>Date of submitting the proposal</w:t>
            </w:r>
          </w:p>
        </w:tc>
        <w:tc>
          <w:tcPr>
            <w:tcW w:w="4644" w:type="dxa"/>
            <w:tcBorders>
              <w:top w:val="single" w:sz="4" w:space="0" w:color="auto"/>
              <w:left w:val="single" w:sz="4" w:space="0" w:color="auto"/>
              <w:bottom w:val="single" w:sz="4" w:space="0" w:color="auto"/>
              <w:right w:val="single" w:sz="4" w:space="0" w:color="auto"/>
            </w:tcBorders>
          </w:tcPr>
          <w:p w14:paraId="69860351" w14:textId="77777777" w:rsidR="00653571" w:rsidRPr="008C5F1C" w:rsidRDefault="00653571" w:rsidP="00534127">
            <w:pPr>
              <w:rPr>
                <w:rFonts w:ascii="Times New Roman" w:eastAsia="Calibri" w:hAnsi="Times New Roman" w:cs="Times New Roman"/>
                <w:noProof/>
                <w:szCs w:val="24"/>
                <w:lang w:eastAsia="en-GB"/>
              </w:rPr>
            </w:pPr>
          </w:p>
        </w:tc>
      </w:tr>
      <w:tr w:rsidR="00653571" w:rsidRPr="008C5F1C" w14:paraId="4DE998DE" w14:textId="77777777" w:rsidTr="00534127">
        <w:tc>
          <w:tcPr>
            <w:tcW w:w="4644" w:type="dxa"/>
            <w:tcBorders>
              <w:top w:val="single" w:sz="4" w:space="0" w:color="auto"/>
              <w:left w:val="single" w:sz="4" w:space="0" w:color="auto"/>
              <w:bottom w:val="single" w:sz="4" w:space="0" w:color="auto"/>
              <w:right w:val="single" w:sz="4" w:space="0" w:color="auto"/>
            </w:tcBorders>
          </w:tcPr>
          <w:p w14:paraId="33A91E07" w14:textId="77777777" w:rsidR="00653571" w:rsidRPr="008C5F1C" w:rsidRDefault="00653571" w:rsidP="00534127">
            <w:pPr>
              <w:rPr>
                <w:rFonts w:ascii="Times New Roman" w:eastAsia="Calibri" w:hAnsi="Times New Roman" w:cs="Times New Roman"/>
                <w:noProof/>
                <w:szCs w:val="24"/>
                <w:lang w:eastAsia="en-GB"/>
              </w:rPr>
            </w:pPr>
            <w:r w:rsidRPr="008C5F1C">
              <w:rPr>
                <w:rFonts w:ascii="Times New Roman" w:eastAsia="Calibri" w:hAnsi="Times New Roman" w:cs="Times New Roman"/>
                <w:noProof/>
                <w:szCs w:val="24"/>
                <w:lang w:eastAsia="en-GB"/>
              </w:rPr>
              <w:t xml:space="preserve">Current version </w:t>
            </w:r>
          </w:p>
          <w:p w14:paraId="79F1B826" w14:textId="77777777" w:rsidR="00653571" w:rsidRPr="008C5F1C" w:rsidRDefault="00653571" w:rsidP="00534127">
            <w:pPr>
              <w:rPr>
                <w:rFonts w:ascii="Times New Roman" w:eastAsia="Calibri" w:hAnsi="Times New Roman" w:cs="Times New Roman"/>
                <w:szCs w:val="24"/>
                <w:lang w:eastAsia="en-GB"/>
              </w:rPr>
            </w:pPr>
          </w:p>
          <w:p w14:paraId="49328031" w14:textId="77777777" w:rsidR="00653571" w:rsidRPr="008C5F1C" w:rsidRDefault="00653571" w:rsidP="00534127">
            <w:pPr>
              <w:rPr>
                <w:rFonts w:ascii="Times New Roman" w:eastAsia="Calibri" w:hAnsi="Times New Roman" w:cs="Times New Roman"/>
                <w:szCs w:val="24"/>
                <w:lang w:eastAsia="en-GB"/>
              </w:rPr>
            </w:pPr>
          </w:p>
          <w:p w14:paraId="316CB157" w14:textId="77777777" w:rsidR="00653571" w:rsidRPr="008C5F1C" w:rsidRDefault="00653571" w:rsidP="00534127">
            <w:pPr>
              <w:rPr>
                <w:rFonts w:ascii="Times New Roman" w:eastAsia="Calibri" w:hAnsi="Times New Roman" w:cs="Times New Roman"/>
                <w:szCs w:val="24"/>
                <w:lang w:eastAsia="en-GB"/>
              </w:rPr>
            </w:pPr>
          </w:p>
          <w:p w14:paraId="31DC32C5" w14:textId="77777777" w:rsidR="00653571" w:rsidRPr="008C5F1C" w:rsidRDefault="00653571" w:rsidP="00534127">
            <w:pPr>
              <w:rPr>
                <w:rFonts w:ascii="Times New Roman" w:eastAsia="Calibri" w:hAnsi="Times New Roman" w:cs="Times New Roman"/>
                <w:szCs w:val="24"/>
                <w:lang w:eastAsia="en-GB"/>
              </w:rPr>
            </w:pPr>
          </w:p>
          <w:p w14:paraId="67947313" w14:textId="77777777" w:rsidR="00653571" w:rsidRPr="008C5F1C" w:rsidRDefault="00653571" w:rsidP="00534127">
            <w:pPr>
              <w:rPr>
                <w:rFonts w:ascii="Times New Roman" w:eastAsia="Calibri" w:hAnsi="Times New Roman" w:cs="Times New Roman"/>
                <w:szCs w:val="24"/>
                <w:lang w:eastAsia="en-GB"/>
              </w:rPr>
            </w:pPr>
          </w:p>
          <w:p w14:paraId="450F92FE" w14:textId="77777777" w:rsidR="00653571" w:rsidRPr="008C5F1C" w:rsidRDefault="00653571" w:rsidP="00534127">
            <w:pPr>
              <w:rPr>
                <w:rFonts w:ascii="Times New Roman" w:eastAsia="Calibri" w:hAnsi="Times New Roman" w:cs="Times New Roman"/>
                <w:szCs w:val="24"/>
                <w:lang w:eastAsia="en-GB"/>
              </w:rPr>
            </w:pPr>
          </w:p>
          <w:p w14:paraId="0186F41E" w14:textId="77777777" w:rsidR="00653571" w:rsidRPr="008C5F1C" w:rsidRDefault="00653571" w:rsidP="00534127">
            <w:pPr>
              <w:rPr>
                <w:rFonts w:ascii="Times New Roman" w:eastAsia="Calibri" w:hAnsi="Times New Roman" w:cs="Times New Roman"/>
                <w:szCs w:val="24"/>
                <w:lang w:eastAsia="en-GB"/>
              </w:rPr>
            </w:pPr>
          </w:p>
          <w:p w14:paraId="314FCE35" w14:textId="77777777" w:rsidR="00653571" w:rsidRPr="008C5F1C" w:rsidRDefault="00653571" w:rsidP="00534127">
            <w:pPr>
              <w:rPr>
                <w:rFonts w:ascii="Times New Roman" w:eastAsia="Calibri" w:hAnsi="Times New Roman" w:cs="Times New Roman"/>
                <w:szCs w:val="24"/>
                <w:lang w:eastAsia="en-GB"/>
              </w:rPr>
            </w:pPr>
          </w:p>
          <w:p w14:paraId="5DA6A0A5" w14:textId="77777777" w:rsidR="00653571" w:rsidRPr="008C5F1C" w:rsidRDefault="00653571" w:rsidP="00534127">
            <w:pPr>
              <w:rPr>
                <w:rFonts w:ascii="Times New Roman" w:eastAsia="Calibri" w:hAnsi="Times New Roman" w:cs="Times New Roman"/>
                <w:szCs w:val="24"/>
                <w:lang w:eastAsia="en-GB"/>
              </w:rPr>
            </w:pPr>
          </w:p>
          <w:p w14:paraId="5C6DB3AB" w14:textId="77777777" w:rsidR="00653571" w:rsidRPr="008C5F1C" w:rsidRDefault="00653571" w:rsidP="00534127">
            <w:pPr>
              <w:rPr>
                <w:rFonts w:ascii="Times New Roman" w:eastAsia="Calibri" w:hAnsi="Times New Roman" w:cs="Times New Roman"/>
                <w:szCs w:val="24"/>
                <w:lang w:eastAsia="en-GB"/>
              </w:rPr>
            </w:pPr>
          </w:p>
          <w:p w14:paraId="7792817B" w14:textId="77777777" w:rsidR="00653571" w:rsidRPr="008C5F1C" w:rsidRDefault="00653571" w:rsidP="00534127">
            <w:pPr>
              <w:rPr>
                <w:rFonts w:ascii="Times New Roman" w:eastAsia="Calibri" w:hAnsi="Times New Roman" w:cs="Times New Roman"/>
                <w:szCs w:val="24"/>
                <w:lang w:eastAsia="en-GB"/>
              </w:rPr>
            </w:pPr>
          </w:p>
          <w:p w14:paraId="4A7E4E22" w14:textId="77777777" w:rsidR="00653571" w:rsidRPr="008C5F1C" w:rsidRDefault="00653571" w:rsidP="00534127">
            <w:pPr>
              <w:rPr>
                <w:rFonts w:ascii="Times New Roman" w:eastAsia="Calibri" w:hAnsi="Times New Roman" w:cs="Times New Roman"/>
                <w:szCs w:val="24"/>
                <w:lang w:eastAsia="en-GB"/>
              </w:rPr>
            </w:pPr>
          </w:p>
          <w:p w14:paraId="6A885154" w14:textId="77777777" w:rsidR="00653571" w:rsidRPr="008C5F1C" w:rsidRDefault="00653571" w:rsidP="00534127">
            <w:pPr>
              <w:rPr>
                <w:rFonts w:ascii="Times New Roman" w:eastAsia="Calibri" w:hAnsi="Times New Roman" w:cs="Times New Roman"/>
                <w:szCs w:val="24"/>
                <w:lang w:eastAsia="en-GB"/>
              </w:rPr>
            </w:pPr>
          </w:p>
          <w:p w14:paraId="0AA501B3" w14:textId="77777777" w:rsidR="00653571" w:rsidRPr="008C5F1C" w:rsidRDefault="00653571" w:rsidP="00534127">
            <w:pPr>
              <w:rPr>
                <w:rFonts w:ascii="Times New Roman" w:eastAsia="Calibri" w:hAnsi="Times New Roman" w:cs="Times New Roman"/>
                <w:szCs w:val="24"/>
                <w:lang w:eastAsia="en-GB"/>
              </w:rPr>
            </w:pPr>
          </w:p>
          <w:p w14:paraId="773EDF01" w14:textId="77777777" w:rsidR="00653571" w:rsidRPr="008C5F1C" w:rsidRDefault="00653571" w:rsidP="00534127">
            <w:pPr>
              <w:tabs>
                <w:tab w:val="left" w:pos="960"/>
              </w:tabs>
              <w:rPr>
                <w:rFonts w:ascii="Times New Roman" w:eastAsia="Calibri" w:hAnsi="Times New Roman" w:cs="Times New Roman"/>
                <w:szCs w:val="24"/>
                <w:lang w:eastAsia="en-GB"/>
              </w:rPr>
            </w:pPr>
            <w:r w:rsidRPr="008C5F1C">
              <w:rPr>
                <w:rFonts w:ascii="Times New Roman" w:eastAsia="Calibri" w:hAnsi="Times New Roman" w:cs="Times New Roman"/>
                <w:szCs w:val="24"/>
                <w:lang w:eastAsia="en-GB"/>
              </w:rPr>
              <w:tab/>
            </w:r>
          </w:p>
        </w:tc>
        <w:tc>
          <w:tcPr>
            <w:tcW w:w="4644" w:type="dxa"/>
            <w:tcBorders>
              <w:top w:val="single" w:sz="4" w:space="0" w:color="auto"/>
              <w:left w:val="single" w:sz="4" w:space="0" w:color="auto"/>
              <w:bottom w:val="single" w:sz="4" w:space="0" w:color="auto"/>
              <w:right w:val="single" w:sz="4" w:space="0" w:color="auto"/>
            </w:tcBorders>
          </w:tcPr>
          <w:p w14:paraId="41FE254B" w14:textId="77777777" w:rsidR="00653571" w:rsidRPr="008C5F1C" w:rsidRDefault="00653571" w:rsidP="00534127">
            <w:pPr>
              <w:rPr>
                <w:rFonts w:ascii="Times New Roman" w:eastAsia="Calibri" w:hAnsi="Times New Roman" w:cs="Times New Roman"/>
                <w:noProof/>
                <w:szCs w:val="24"/>
                <w:lang w:eastAsia="en-GB"/>
              </w:rPr>
            </w:pPr>
          </w:p>
        </w:tc>
      </w:tr>
    </w:tbl>
    <w:p w14:paraId="159A68B3" w14:textId="77777777" w:rsidR="00653571" w:rsidRPr="008C5F1C" w:rsidRDefault="00653571" w:rsidP="00653571">
      <w:pPr>
        <w:spacing w:after="0"/>
        <w:rPr>
          <w:rFonts w:ascii="Times New Roman" w:eastAsia="Times New Roman" w:hAnsi="Times New Roman" w:cs="Times New Roman"/>
          <w:b/>
          <w:i/>
          <w:iCs/>
          <w:noProof/>
          <w:szCs w:val="24"/>
          <w:lang w:eastAsia="en-GB"/>
        </w:rPr>
        <w:sectPr w:rsidR="00653571" w:rsidRPr="008C5F1C" w:rsidSect="00534127">
          <w:pgSz w:w="11906" w:h="16838"/>
          <w:pgMar w:top="1134" w:right="1134" w:bottom="1134" w:left="1134" w:header="567" w:footer="567" w:gutter="0"/>
          <w:cols w:space="720"/>
          <w:docGrid w:linePitch="326"/>
        </w:sectPr>
      </w:pPr>
    </w:p>
    <w:p w14:paraId="5FAF4BA7" w14:textId="77777777" w:rsidR="00653571" w:rsidRPr="008C5F1C" w:rsidRDefault="00653571" w:rsidP="00653571">
      <w:pPr>
        <w:spacing w:after="240"/>
        <w:rPr>
          <w:rFonts w:ascii="Times New Roman" w:eastAsia="Calibri" w:hAnsi="Times New Roman" w:cs="Times New Roman"/>
          <w:b/>
          <w:noProof/>
          <w:szCs w:val="20"/>
          <w:u w:val="single"/>
          <w:lang w:eastAsia="en-GB"/>
        </w:rPr>
      </w:pPr>
      <w:r w:rsidRPr="008C5F1C">
        <w:rPr>
          <w:rFonts w:ascii="Times New Roman" w:eastAsia="Calibri" w:hAnsi="Times New Roman" w:cs="Times New Roman"/>
          <w:b/>
          <w:noProof/>
          <w:szCs w:val="20"/>
          <w:u w:val="single"/>
          <w:lang w:eastAsia="en-GB"/>
        </w:rPr>
        <w:lastRenderedPageBreak/>
        <w:t>A.</w:t>
      </w:r>
      <w:r w:rsidRPr="008C5F1C">
        <w:rPr>
          <w:rFonts w:ascii="Times New Roman" w:eastAsia="Calibri" w:hAnsi="Times New Roman" w:cs="Times New Roman"/>
          <w:b/>
          <w:noProof/>
          <w:szCs w:val="20"/>
          <w:u w:val="single"/>
          <w:lang w:eastAsia="en-GB"/>
        </w:rPr>
        <w:tab/>
        <w:t xml:space="preserve">Summary of the main elements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567"/>
        <w:gridCol w:w="806"/>
        <w:gridCol w:w="823"/>
        <w:gridCol w:w="832"/>
        <w:gridCol w:w="849"/>
        <w:gridCol w:w="1208"/>
        <w:gridCol w:w="541"/>
        <w:gridCol w:w="934"/>
        <w:gridCol w:w="1105"/>
        <w:gridCol w:w="1225"/>
      </w:tblGrid>
      <w:tr w:rsidR="00653571" w:rsidRPr="008C5F1C" w14:paraId="5A19E813" w14:textId="77777777" w:rsidTr="009D5041">
        <w:tc>
          <w:tcPr>
            <w:tcW w:w="375" w:type="pct"/>
            <w:tcBorders>
              <w:top w:val="single" w:sz="4" w:space="0" w:color="auto"/>
              <w:left w:val="single" w:sz="4" w:space="0" w:color="auto"/>
              <w:bottom w:val="single" w:sz="4" w:space="0" w:color="auto"/>
              <w:right w:val="single" w:sz="4" w:space="0" w:color="auto"/>
            </w:tcBorders>
            <w:hideMark/>
          </w:tcPr>
          <w:p w14:paraId="62F64173" w14:textId="77777777" w:rsidR="00653571" w:rsidRPr="008C5F1C" w:rsidRDefault="00653571" w:rsidP="00534127">
            <w:pPr>
              <w:jc w:val="center"/>
              <w:rPr>
                <w:rFonts w:ascii="Times New Roman" w:eastAsia="Calibri" w:hAnsi="Times New Roman" w:cs="Times New Roman"/>
                <w:b/>
                <w:noProof/>
                <w:sz w:val="18"/>
                <w:szCs w:val="18"/>
                <w:lang w:eastAsia="en-GB"/>
              </w:rPr>
            </w:pPr>
            <w:r w:rsidRPr="008C5F1C">
              <w:rPr>
                <w:rFonts w:ascii="Times New Roman" w:eastAsia="Calibri" w:hAnsi="Times New Roman" w:cs="Times New Roman"/>
                <w:b/>
                <w:noProof/>
                <w:sz w:val="18"/>
                <w:szCs w:val="18"/>
                <w:lang w:eastAsia="en-GB"/>
              </w:rPr>
              <w:t xml:space="preserve">Priority </w:t>
            </w:r>
          </w:p>
        </w:tc>
        <w:tc>
          <w:tcPr>
            <w:tcW w:w="288" w:type="pct"/>
            <w:tcBorders>
              <w:top w:val="single" w:sz="4" w:space="0" w:color="auto"/>
              <w:left w:val="single" w:sz="4" w:space="0" w:color="auto"/>
              <w:bottom w:val="single" w:sz="4" w:space="0" w:color="auto"/>
              <w:right w:val="single" w:sz="4" w:space="0" w:color="auto"/>
            </w:tcBorders>
            <w:hideMark/>
          </w:tcPr>
          <w:p w14:paraId="1C39B551" w14:textId="77777777" w:rsidR="00653571" w:rsidRPr="008C5F1C" w:rsidRDefault="00653571" w:rsidP="00534127">
            <w:pPr>
              <w:jc w:val="center"/>
              <w:rPr>
                <w:rFonts w:ascii="Times New Roman" w:eastAsia="Calibri" w:hAnsi="Times New Roman" w:cs="Times New Roman"/>
                <w:b/>
                <w:noProof/>
                <w:sz w:val="18"/>
                <w:szCs w:val="18"/>
                <w:lang w:eastAsia="en-GB"/>
              </w:rPr>
            </w:pPr>
            <w:r w:rsidRPr="008C5F1C">
              <w:rPr>
                <w:rFonts w:ascii="Times New Roman" w:eastAsia="Calibri" w:hAnsi="Times New Roman" w:cs="Times New Roman"/>
                <w:b/>
                <w:noProof/>
                <w:sz w:val="18"/>
                <w:szCs w:val="18"/>
                <w:lang w:eastAsia="en-GB"/>
              </w:rPr>
              <w:t>Fund</w:t>
            </w:r>
          </w:p>
        </w:tc>
        <w:tc>
          <w:tcPr>
            <w:tcW w:w="410" w:type="pct"/>
            <w:tcBorders>
              <w:top w:val="single" w:sz="4" w:space="0" w:color="auto"/>
              <w:left w:val="single" w:sz="4" w:space="0" w:color="auto"/>
              <w:bottom w:val="single" w:sz="4" w:space="0" w:color="auto"/>
              <w:right w:val="single" w:sz="4" w:space="0" w:color="auto"/>
            </w:tcBorders>
            <w:hideMark/>
          </w:tcPr>
          <w:p w14:paraId="6CEDA46A" w14:textId="77777777" w:rsidR="00653571" w:rsidRPr="008C5F1C" w:rsidRDefault="00653571" w:rsidP="00534127">
            <w:pPr>
              <w:jc w:val="center"/>
              <w:rPr>
                <w:rFonts w:ascii="Times New Roman" w:eastAsia="Calibri" w:hAnsi="Times New Roman" w:cs="Times New Roman"/>
                <w:b/>
                <w:noProof/>
                <w:sz w:val="18"/>
                <w:szCs w:val="18"/>
                <w:lang w:eastAsia="en-GB"/>
              </w:rPr>
            </w:pPr>
            <w:r w:rsidRPr="008C5F1C">
              <w:rPr>
                <w:rFonts w:ascii="Times New Roman" w:eastAsia="Calibri" w:hAnsi="Times New Roman" w:cs="Times New Roman"/>
                <w:b/>
                <w:noProof/>
                <w:sz w:val="18"/>
                <w:szCs w:val="18"/>
                <w:lang w:eastAsia="en-GB"/>
              </w:rPr>
              <w:t xml:space="preserve">Specific objective </w:t>
            </w:r>
          </w:p>
        </w:tc>
        <w:tc>
          <w:tcPr>
            <w:tcW w:w="418" w:type="pct"/>
            <w:tcBorders>
              <w:top w:val="single" w:sz="4" w:space="0" w:color="auto"/>
              <w:left w:val="single" w:sz="4" w:space="0" w:color="auto"/>
              <w:bottom w:val="single" w:sz="4" w:space="0" w:color="auto"/>
              <w:right w:val="single" w:sz="4" w:space="0" w:color="auto"/>
            </w:tcBorders>
            <w:hideMark/>
          </w:tcPr>
          <w:p w14:paraId="73C954FD" w14:textId="77777777" w:rsidR="00653571" w:rsidRPr="008C5F1C" w:rsidRDefault="00653571" w:rsidP="00534127">
            <w:pPr>
              <w:jc w:val="center"/>
              <w:rPr>
                <w:rFonts w:ascii="Times New Roman" w:eastAsia="Calibri" w:hAnsi="Times New Roman" w:cs="Times New Roman"/>
                <w:b/>
                <w:noProof/>
                <w:sz w:val="18"/>
                <w:szCs w:val="18"/>
                <w:lang w:eastAsia="en-GB"/>
              </w:rPr>
            </w:pPr>
            <w:r w:rsidRPr="008C5F1C">
              <w:rPr>
                <w:rFonts w:ascii="Times New Roman" w:eastAsia="Calibri" w:hAnsi="Times New Roman" w:cs="Times New Roman"/>
                <w:b/>
                <w:noProof/>
                <w:sz w:val="18"/>
                <w:szCs w:val="18"/>
                <w:lang w:eastAsia="en-GB"/>
              </w:rPr>
              <w:t xml:space="preserve">Category of region </w:t>
            </w:r>
          </w:p>
        </w:tc>
        <w:tc>
          <w:tcPr>
            <w:tcW w:w="423" w:type="pct"/>
            <w:tcBorders>
              <w:top w:val="single" w:sz="4" w:space="0" w:color="auto"/>
              <w:left w:val="single" w:sz="4" w:space="0" w:color="auto"/>
              <w:bottom w:val="single" w:sz="4" w:space="0" w:color="auto"/>
              <w:right w:val="single" w:sz="4" w:space="0" w:color="auto"/>
            </w:tcBorders>
            <w:hideMark/>
          </w:tcPr>
          <w:p w14:paraId="0DCE7010" w14:textId="77777777" w:rsidR="00653571" w:rsidRPr="008C5F1C" w:rsidRDefault="00653571" w:rsidP="00534127">
            <w:pPr>
              <w:jc w:val="center"/>
              <w:rPr>
                <w:rFonts w:ascii="Times New Roman" w:eastAsia="Calibri" w:hAnsi="Times New Roman" w:cs="Times New Roman"/>
                <w:b/>
                <w:noProof/>
                <w:sz w:val="18"/>
                <w:szCs w:val="18"/>
                <w:lang w:eastAsia="en-GB"/>
              </w:rPr>
            </w:pPr>
            <w:r w:rsidRPr="008C5F1C">
              <w:rPr>
                <w:rFonts w:ascii="Times New Roman" w:eastAsia="Calibri" w:hAnsi="Times New Roman" w:cs="Times New Roman"/>
                <w:b/>
                <w:noProof/>
                <w:sz w:val="18"/>
                <w:szCs w:val="18"/>
                <w:lang w:eastAsia="en-GB"/>
              </w:rPr>
              <w:t>The amount covered by the financing not linked to cost</w:t>
            </w:r>
          </w:p>
        </w:tc>
        <w:tc>
          <w:tcPr>
            <w:tcW w:w="431" w:type="pct"/>
            <w:tcBorders>
              <w:top w:val="single" w:sz="4" w:space="0" w:color="auto"/>
              <w:left w:val="single" w:sz="4" w:space="0" w:color="auto"/>
              <w:bottom w:val="single" w:sz="4" w:space="0" w:color="auto"/>
              <w:right w:val="single" w:sz="4" w:space="0" w:color="auto"/>
            </w:tcBorders>
            <w:hideMark/>
          </w:tcPr>
          <w:p w14:paraId="43ADDCEB" w14:textId="77777777" w:rsidR="00653571" w:rsidRPr="008C5F1C" w:rsidRDefault="00653571" w:rsidP="00534127">
            <w:pPr>
              <w:jc w:val="center"/>
              <w:rPr>
                <w:rFonts w:ascii="Times New Roman" w:eastAsia="Calibri" w:hAnsi="Times New Roman" w:cs="Times New Roman"/>
                <w:b/>
                <w:noProof/>
                <w:sz w:val="18"/>
                <w:szCs w:val="18"/>
                <w:lang w:eastAsia="en-GB"/>
              </w:rPr>
            </w:pPr>
            <w:r w:rsidRPr="008C5F1C">
              <w:rPr>
                <w:rFonts w:ascii="Times New Roman" w:eastAsia="Calibri" w:hAnsi="Times New Roman" w:cs="Times New Roman"/>
                <w:b/>
                <w:noProof/>
                <w:sz w:val="18"/>
                <w:szCs w:val="18"/>
                <w:lang w:eastAsia="en-GB"/>
              </w:rPr>
              <w:t>Type(s) of operation</w:t>
            </w:r>
          </w:p>
        </w:tc>
        <w:tc>
          <w:tcPr>
            <w:tcW w:w="614" w:type="pct"/>
            <w:tcBorders>
              <w:top w:val="single" w:sz="4" w:space="0" w:color="auto"/>
              <w:left w:val="single" w:sz="4" w:space="0" w:color="auto"/>
              <w:bottom w:val="single" w:sz="4" w:space="0" w:color="auto"/>
              <w:right w:val="single" w:sz="4" w:space="0" w:color="auto"/>
            </w:tcBorders>
            <w:hideMark/>
          </w:tcPr>
          <w:p w14:paraId="00010BAD" w14:textId="77777777" w:rsidR="00653571" w:rsidRPr="008C5F1C" w:rsidRDefault="00653571" w:rsidP="00534127">
            <w:pPr>
              <w:jc w:val="center"/>
              <w:rPr>
                <w:rFonts w:ascii="Times New Roman" w:eastAsia="Calibri" w:hAnsi="Times New Roman" w:cs="Times New Roman"/>
                <w:b/>
                <w:noProof/>
                <w:sz w:val="18"/>
                <w:szCs w:val="18"/>
                <w:lang w:eastAsia="en-GB"/>
              </w:rPr>
            </w:pPr>
            <w:r w:rsidRPr="008C5F1C">
              <w:rPr>
                <w:rFonts w:ascii="Times New Roman" w:eastAsia="Calibri" w:hAnsi="Times New Roman" w:cs="Times New Roman"/>
                <w:b/>
                <w:noProof/>
                <w:sz w:val="18"/>
                <w:szCs w:val="18"/>
                <w:lang w:eastAsia="en-GB"/>
              </w:rPr>
              <w:t>Conditions to be fulfilled/results to be achieved</w:t>
            </w:r>
          </w:p>
        </w:tc>
        <w:tc>
          <w:tcPr>
            <w:tcW w:w="856" w:type="pct"/>
            <w:gridSpan w:val="2"/>
            <w:tcBorders>
              <w:top w:val="single" w:sz="4" w:space="0" w:color="auto"/>
              <w:left w:val="single" w:sz="4" w:space="0" w:color="auto"/>
              <w:bottom w:val="single" w:sz="4" w:space="0" w:color="auto"/>
              <w:right w:val="single" w:sz="4" w:space="0" w:color="auto"/>
            </w:tcBorders>
            <w:hideMark/>
          </w:tcPr>
          <w:p w14:paraId="43299954" w14:textId="77777777" w:rsidR="00653571" w:rsidRPr="008C5F1C" w:rsidRDefault="00653571" w:rsidP="00534127">
            <w:pPr>
              <w:jc w:val="center"/>
              <w:rPr>
                <w:rFonts w:ascii="Times New Roman" w:eastAsia="Calibri" w:hAnsi="Times New Roman" w:cs="Times New Roman"/>
                <w:b/>
                <w:noProof/>
                <w:sz w:val="18"/>
                <w:szCs w:val="18"/>
                <w:lang w:eastAsia="en-GB"/>
              </w:rPr>
            </w:pPr>
            <w:r w:rsidRPr="008C5F1C">
              <w:rPr>
                <w:rFonts w:ascii="Times New Roman" w:eastAsia="Calibri" w:hAnsi="Times New Roman" w:cs="Times New Roman"/>
                <w:b/>
                <w:noProof/>
                <w:sz w:val="18"/>
                <w:szCs w:val="18"/>
                <w:lang w:eastAsia="en-GB"/>
              </w:rPr>
              <w:t>Corresponding indicator name(s)</w:t>
            </w:r>
          </w:p>
        </w:tc>
        <w:tc>
          <w:tcPr>
            <w:tcW w:w="562" w:type="pct"/>
            <w:tcBorders>
              <w:top w:val="single" w:sz="4" w:space="0" w:color="auto"/>
              <w:left w:val="single" w:sz="4" w:space="0" w:color="auto"/>
              <w:bottom w:val="single" w:sz="4" w:space="0" w:color="auto"/>
              <w:right w:val="single" w:sz="4" w:space="0" w:color="auto"/>
            </w:tcBorders>
            <w:hideMark/>
          </w:tcPr>
          <w:p w14:paraId="2DEC0F2C" w14:textId="77777777" w:rsidR="00653571" w:rsidRPr="008C5F1C" w:rsidRDefault="00653571" w:rsidP="00534127">
            <w:pPr>
              <w:jc w:val="center"/>
              <w:rPr>
                <w:rFonts w:ascii="Times New Roman" w:eastAsia="Calibri" w:hAnsi="Times New Roman" w:cs="Times New Roman"/>
                <w:b/>
                <w:noProof/>
                <w:sz w:val="18"/>
                <w:szCs w:val="18"/>
                <w:lang w:eastAsia="en-GB"/>
              </w:rPr>
            </w:pPr>
            <w:r w:rsidRPr="008C5F1C">
              <w:rPr>
                <w:rFonts w:ascii="Times New Roman" w:eastAsia="Calibri" w:hAnsi="Times New Roman" w:cs="Times New Roman"/>
                <w:b/>
                <w:noProof/>
                <w:sz w:val="18"/>
                <w:szCs w:val="18"/>
                <w:lang w:eastAsia="en-GB"/>
              </w:rPr>
              <w:t>Unit of measurement for the indicator</w:t>
            </w:r>
          </w:p>
        </w:tc>
        <w:tc>
          <w:tcPr>
            <w:tcW w:w="623" w:type="pct"/>
            <w:tcBorders>
              <w:top w:val="single" w:sz="4" w:space="0" w:color="auto"/>
              <w:left w:val="single" w:sz="4" w:space="0" w:color="auto"/>
              <w:bottom w:val="single" w:sz="4" w:space="0" w:color="auto"/>
              <w:right w:val="single" w:sz="4" w:space="0" w:color="auto"/>
            </w:tcBorders>
            <w:hideMark/>
          </w:tcPr>
          <w:p w14:paraId="540EE2A6" w14:textId="77777777" w:rsidR="00653571" w:rsidRPr="008C5F1C" w:rsidRDefault="00653571" w:rsidP="00534127">
            <w:pPr>
              <w:jc w:val="center"/>
              <w:rPr>
                <w:rFonts w:ascii="Times New Roman" w:eastAsia="Calibri" w:hAnsi="Times New Roman" w:cs="Times New Roman"/>
                <w:b/>
                <w:noProof/>
                <w:sz w:val="18"/>
                <w:szCs w:val="18"/>
                <w:lang w:eastAsia="en-GB"/>
              </w:rPr>
            </w:pPr>
            <w:r w:rsidRPr="008C5F1C">
              <w:rPr>
                <w:rFonts w:ascii="Times New Roman" w:eastAsia="Calibri" w:hAnsi="Times New Roman" w:cs="Times New Roman"/>
                <w:b/>
                <w:noProof/>
                <w:sz w:val="18"/>
                <w:szCs w:val="18"/>
                <w:lang w:eastAsia="en-GB"/>
              </w:rPr>
              <w:t>Envisaged reimbursement to the beneficiaries</w:t>
            </w:r>
          </w:p>
        </w:tc>
      </w:tr>
      <w:tr w:rsidR="00653571" w:rsidRPr="008C5F1C" w14:paraId="481260C7" w14:textId="77777777" w:rsidTr="009D5041">
        <w:tc>
          <w:tcPr>
            <w:tcW w:w="375" w:type="pct"/>
            <w:tcBorders>
              <w:top w:val="single" w:sz="4" w:space="0" w:color="auto"/>
              <w:left w:val="single" w:sz="4" w:space="0" w:color="auto"/>
              <w:bottom w:val="single" w:sz="4" w:space="0" w:color="auto"/>
              <w:right w:val="single" w:sz="4" w:space="0" w:color="auto"/>
            </w:tcBorders>
          </w:tcPr>
          <w:p w14:paraId="2EE8FEB7"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288" w:type="pct"/>
            <w:tcBorders>
              <w:top w:val="single" w:sz="4" w:space="0" w:color="auto"/>
              <w:left w:val="single" w:sz="4" w:space="0" w:color="auto"/>
              <w:bottom w:val="single" w:sz="4" w:space="0" w:color="auto"/>
              <w:right w:val="single" w:sz="4" w:space="0" w:color="auto"/>
            </w:tcBorders>
          </w:tcPr>
          <w:p w14:paraId="3B8075D7"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410" w:type="pct"/>
            <w:tcBorders>
              <w:top w:val="single" w:sz="4" w:space="0" w:color="auto"/>
              <w:left w:val="single" w:sz="4" w:space="0" w:color="auto"/>
              <w:bottom w:val="single" w:sz="4" w:space="0" w:color="auto"/>
              <w:right w:val="single" w:sz="4" w:space="0" w:color="auto"/>
            </w:tcBorders>
          </w:tcPr>
          <w:p w14:paraId="4A359E42"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418" w:type="pct"/>
            <w:tcBorders>
              <w:top w:val="single" w:sz="4" w:space="0" w:color="auto"/>
              <w:left w:val="single" w:sz="4" w:space="0" w:color="auto"/>
              <w:bottom w:val="single" w:sz="4" w:space="0" w:color="auto"/>
              <w:right w:val="single" w:sz="4" w:space="0" w:color="auto"/>
            </w:tcBorders>
          </w:tcPr>
          <w:p w14:paraId="06052C10"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423" w:type="pct"/>
            <w:tcBorders>
              <w:top w:val="single" w:sz="4" w:space="0" w:color="auto"/>
              <w:left w:val="single" w:sz="4" w:space="0" w:color="auto"/>
              <w:bottom w:val="single" w:sz="4" w:space="0" w:color="auto"/>
              <w:right w:val="single" w:sz="4" w:space="0" w:color="auto"/>
            </w:tcBorders>
          </w:tcPr>
          <w:p w14:paraId="0F780C60"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431" w:type="pct"/>
            <w:tcBorders>
              <w:top w:val="single" w:sz="4" w:space="0" w:color="auto"/>
              <w:left w:val="single" w:sz="4" w:space="0" w:color="auto"/>
              <w:bottom w:val="single" w:sz="4" w:space="0" w:color="auto"/>
              <w:right w:val="single" w:sz="4" w:space="0" w:color="auto"/>
            </w:tcBorders>
          </w:tcPr>
          <w:p w14:paraId="0B7F78F3"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614" w:type="pct"/>
            <w:tcBorders>
              <w:top w:val="single" w:sz="4" w:space="0" w:color="auto"/>
              <w:left w:val="single" w:sz="4" w:space="0" w:color="auto"/>
              <w:bottom w:val="single" w:sz="4" w:space="0" w:color="auto"/>
              <w:right w:val="single" w:sz="4" w:space="0" w:color="auto"/>
            </w:tcBorders>
          </w:tcPr>
          <w:p w14:paraId="344FACFD"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275" w:type="pct"/>
            <w:tcBorders>
              <w:top w:val="single" w:sz="4" w:space="0" w:color="auto"/>
              <w:left w:val="single" w:sz="4" w:space="0" w:color="auto"/>
              <w:bottom w:val="single" w:sz="4" w:space="0" w:color="auto"/>
              <w:right w:val="single" w:sz="4" w:space="0" w:color="auto"/>
            </w:tcBorders>
            <w:hideMark/>
          </w:tcPr>
          <w:p w14:paraId="6FAC2DEA" w14:textId="77777777" w:rsidR="00653571" w:rsidRPr="008C5F1C" w:rsidRDefault="00653571" w:rsidP="00534127">
            <w:pPr>
              <w:jc w:val="center"/>
              <w:rPr>
                <w:rFonts w:ascii="Times New Roman" w:eastAsia="Calibri" w:hAnsi="Times New Roman" w:cs="Times New Roman"/>
                <w:noProof/>
                <w:sz w:val="18"/>
                <w:szCs w:val="18"/>
                <w:lang w:eastAsia="en-GB"/>
              </w:rPr>
            </w:pPr>
            <w:r w:rsidRPr="008C5F1C">
              <w:rPr>
                <w:rFonts w:ascii="Times New Roman" w:eastAsia="Calibri" w:hAnsi="Times New Roman" w:cs="Times New Roman"/>
                <w:noProof/>
                <w:sz w:val="18"/>
                <w:szCs w:val="18"/>
                <w:lang w:eastAsia="en-GB"/>
              </w:rPr>
              <w:t xml:space="preserve">Code </w:t>
            </w:r>
          </w:p>
        </w:tc>
        <w:tc>
          <w:tcPr>
            <w:tcW w:w="581" w:type="pct"/>
            <w:tcBorders>
              <w:top w:val="single" w:sz="4" w:space="0" w:color="auto"/>
              <w:left w:val="single" w:sz="4" w:space="0" w:color="auto"/>
              <w:bottom w:val="single" w:sz="4" w:space="0" w:color="auto"/>
              <w:right w:val="single" w:sz="4" w:space="0" w:color="auto"/>
            </w:tcBorders>
            <w:hideMark/>
          </w:tcPr>
          <w:p w14:paraId="3B6A5934" w14:textId="77777777" w:rsidR="00653571" w:rsidRPr="008C5F1C" w:rsidRDefault="00653571" w:rsidP="00534127">
            <w:pPr>
              <w:jc w:val="center"/>
              <w:rPr>
                <w:rFonts w:ascii="Times New Roman" w:eastAsia="Calibri" w:hAnsi="Times New Roman" w:cs="Times New Roman"/>
                <w:noProof/>
                <w:sz w:val="18"/>
                <w:szCs w:val="18"/>
                <w:lang w:eastAsia="en-GB"/>
              </w:rPr>
            </w:pPr>
            <w:r w:rsidRPr="008C5F1C">
              <w:rPr>
                <w:rFonts w:ascii="Times New Roman" w:eastAsia="Calibri" w:hAnsi="Times New Roman" w:cs="Times New Roman"/>
                <w:noProof/>
                <w:sz w:val="18"/>
                <w:szCs w:val="18"/>
                <w:lang w:eastAsia="en-GB"/>
              </w:rPr>
              <w:t>Description</w:t>
            </w:r>
          </w:p>
        </w:tc>
        <w:tc>
          <w:tcPr>
            <w:tcW w:w="562" w:type="pct"/>
            <w:tcBorders>
              <w:top w:val="single" w:sz="4" w:space="0" w:color="auto"/>
              <w:left w:val="single" w:sz="4" w:space="0" w:color="auto"/>
              <w:bottom w:val="single" w:sz="4" w:space="0" w:color="auto"/>
              <w:right w:val="single" w:sz="4" w:space="0" w:color="auto"/>
            </w:tcBorders>
          </w:tcPr>
          <w:p w14:paraId="79ECE8A5"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623" w:type="pct"/>
            <w:tcBorders>
              <w:top w:val="single" w:sz="4" w:space="0" w:color="auto"/>
              <w:left w:val="single" w:sz="4" w:space="0" w:color="auto"/>
              <w:bottom w:val="single" w:sz="4" w:space="0" w:color="auto"/>
              <w:right w:val="single" w:sz="4" w:space="0" w:color="auto"/>
            </w:tcBorders>
          </w:tcPr>
          <w:p w14:paraId="10A5EA18" w14:textId="77777777" w:rsidR="00653571" w:rsidRPr="008C5F1C" w:rsidRDefault="00653571" w:rsidP="00534127">
            <w:pPr>
              <w:jc w:val="center"/>
              <w:rPr>
                <w:rFonts w:ascii="Times New Roman" w:eastAsia="Calibri" w:hAnsi="Times New Roman" w:cs="Times New Roman"/>
                <w:noProof/>
                <w:sz w:val="18"/>
                <w:szCs w:val="18"/>
                <w:lang w:eastAsia="en-GB"/>
              </w:rPr>
            </w:pPr>
          </w:p>
        </w:tc>
      </w:tr>
      <w:tr w:rsidR="00653571" w:rsidRPr="008C5F1C" w14:paraId="767B8093" w14:textId="77777777" w:rsidTr="009D5041">
        <w:tc>
          <w:tcPr>
            <w:tcW w:w="375" w:type="pct"/>
            <w:tcBorders>
              <w:top w:val="single" w:sz="4" w:space="0" w:color="auto"/>
              <w:left w:val="single" w:sz="4" w:space="0" w:color="auto"/>
              <w:bottom w:val="single" w:sz="4" w:space="0" w:color="auto"/>
              <w:right w:val="single" w:sz="4" w:space="0" w:color="auto"/>
            </w:tcBorders>
          </w:tcPr>
          <w:p w14:paraId="041785C4" w14:textId="77777777" w:rsidR="00653571" w:rsidRPr="008C5F1C" w:rsidRDefault="00653571" w:rsidP="00534127">
            <w:pPr>
              <w:jc w:val="center"/>
              <w:rPr>
                <w:rFonts w:ascii="Times New Roman" w:eastAsia="Calibri" w:hAnsi="Times New Roman" w:cs="Times New Roman"/>
                <w:b/>
                <w:i/>
                <w:noProof/>
                <w:sz w:val="18"/>
                <w:szCs w:val="18"/>
                <w:lang w:eastAsia="en-GB"/>
              </w:rPr>
            </w:pPr>
          </w:p>
        </w:tc>
        <w:tc>
          <w:tcPr>
            <w:tcW w:w="288" w:type="pct"/>
            <w:tcBorders>
              <w:top w:val="single" w:sz="4" w:space="0" w:color="auto"/>
              <w:left w:val="single" w:sz="4" w:space="0" w:color="auto"/>
              <w:bottom w:val="single" w:sz="4" w:space="0" w:color="auto"/>
              <w:right w:val="single" w:sz="4" w:space="0" w:color="auto"/>
            </w:tcBorders>
          </w:tcPr>
          <w:p w14:paraId="15737105" w14:textId="77777777" w:rsidR="00653571" w:rsidRPr="008C5F1C" w:rsidRDefault="00653571" w:rsidP="00534127">
            <w:pPr>
              <w:jc w:val="center"/>
              <w:rPr>
                <w:rFonts w:ascii="Times New Roman" w:eastAsia="Calibri" w:hAnsi="Times New Roman" w:cs="Times New Roman"/>
                <w:b/>
                <w:i/>
                <w:noProof/>
                <w:sz w:val="18"/>
                <w:szCs w:val="18"/>
                <w:lang w:eastAsia="en-GB"/>
              </w:rPr>
            </w:pPr>
          </w:p>
        </w:tc>
        <w:tc>
          <w:tcPr>
            <w:tcW w:w="410" w:type="pct"/>
            <w:tcBorders>
              <w:top w:val="single" w:sz="4" w:space="0" w:color="auto"/>
              <w:left w:val="single" w:sz="4" w:space="0" w:color="auto"/>
              <w:bottom w:val="single" w:sz="4" w:space="0" w:color="auto"/>
              <w:right w:val="single" w:sz="4" w:space="0" w:color="auto"/>
            </w:tcBorders>
          </w:tcPr>
          <w:p w14:paraId="08C384DE" w14:textId="77777777" w:rsidR="00653571" w:rsidRPr="008C5F1C" w:rsidRDefault="00653571" w:rsidP="00534127">
            <w:pPr>
              <w:jc w:val="center"/>
              <w:rPr>
                <w:rFonts w:ascii="Times New Roman" w:eastAsia="Calibri" w:hAnsi="Times New Roman" w:cs="Times New Roman"/>
                <w:b/>
                <w:i/>
                <w:noProof/>
                <w:sz w:val="18"/>
                <w:szCs w:val="18"/>
                <w:lang w:eastAsia="en-GB"/>
              </w:rPr>
            </w:pPr>
          </w:p>
        </w:tc>
        <w:tc>
          <w:tcPr>
            <w:tcW w:w="418" w:type="pct"/>
            <w:tcBorders>
              <w:top w:val="single" w:sz="4" w:space="0" w:color="auto"/>
              <w:left w:val="single" w:sz="4" w:space="0" w:color="auto"/>
              <w:bottom w:val="single" w:sz="4" w:space="0" w:color="auto"/>
              <w:right w:val="single" w:sz="4" w:space="0" w:color="auto"/>
            </w:tcBorders>
          </w:tcPr>
          <w:p w14:paraId="4FCCE707" w14:textId="77777777" w:rsidR="00653571" w:rsidRPr="008C5F1C" w:rsidRDefault="00653571" w:rsidP="00534127">
            <w:pPr>
              <w:jc w:val="center"/>
              <w:rPr>
                <w:rFonts w:ascii="Times New Roman" w:eastAsia="Calibri" w:hAnsi="Times New Roman" w:cs="Times New Roman"/>
                <w:b/>
                <w:i/>
                <w:noProof/>
                <w:sz w:val="18"/>
                <w:szCs w:val="18"/>
                <w:lang w:eastAsia="en-GB"/>
              </w:rPr>
            </w:pPr>
          </w:p>
        </w:tc>
        <w:tc>
          <w:tcPr>
            <w:tcW w:w="423" w:type="pct"/>
            <w:tcBorders>
              <w:top w:val="single" w:sz="4" w:space="0" w:color="auto"/>
              <w:left w:val="single" w:sz="4" w:space="0" w:color="auto"/>
              <w:bottom w:val="single" w:sz="4" w:space="0" w:color="auto"/>
              <w:right w:val="single" w:sz="4" w:space="0" w:color="auto"/>
            </w:tcBorders>
          </w:tcPr>
          <w:p w14:paraId="02C7E218" w14:textId="77777777" w:rsidR="00653571" w:rsidRPr="008C5F1C" w:rsidRDefault="00653571" w:rsidP="00534127">
            <w:pPr>
              <w:jc w:val="center"/>
              <w:rPr>
                <w:rFonts w:ascii="Times New Roman" w:eastAsia="Calibri" w:hAnsi="Times New Roman" w:cs="Times New Roman"/>
                <w:b/>
                <w:i/>
                <w:noProof/>
                <w:sz w:val="18"/>
                <w:szCs w:val="18"/>
                <w:lang w:eastAsia="en-GB"/>
              </w:rPr>
            </w:pPr>
          </w:p>
        </w:tc>
        <w:tc>
          <w:tcPr>
            <w:tcW w:w="431" w:type="pct"/>
            <w:tcBorders>
              <w:top w:val="single" w:sz="4" w:space="0" w:color="auto"/>
              <w:left w:val="single" w:sz="4" w:space="0" w:color="auto"/>
              <w:bottom w:val="single" w:sz="4" w:space="0" w:color="auto"/>
              <w:right w:val="single" w:sz="4" w:space="0" w:color="auto"/>
            </w:tcBorders>
          </w:tcPr>
          <w:p w14:paraId="4939716F" w14:textId="77777777" w:rsidR="00653571" w:rsidRPr="008C5F1C" w:rsidRDefault="00653571" w:rsidP="00534127">
            <w:pPr>
              <w:jc w:val="center"/>
              <w:rPr>
                <w:rFonts w:ascii="Times New Roman" w:eastAsia="Calibri" w:hAnsi="Times New Roman" w:cs="Times New Roman"/>
                <w:i/>
                <w:noProof/>
                <w:sz w:val="18"/>
                <w:szCs w:val="18"/>
                <w:lang w:eastAsia="en-GB"/>
              </w:rPr>
            </w:pPr>
          </w:p>
        </w:tc>
        <w:tc>
          <w:tcPr>
            <w:tcW w:w="614" w:type="pct"/>
            <w:tcBorders>
              <w:top w:val="single" w:sz="4" w:space="0" w:color="auto"/>
              <w:left w:val="single" w:sz="4" w:space="0" w:color="auto"/>
              <w:bottom w:val="single" w:sz="4" w:space="0" w:color="auto"/>
              <w:right w:val="single" w:sz="4" w:space="0" w:color="auto"/>
            </w:tcBorders>
          </w:tcPr>
          <w:p w14:paraId="3BC18A71" w14:textId="77777777" w:rsidR="00653571" w:rsidRPr="008C5F1C" w:rsidRDefault="00653571" w:rsidP="00534127">
            <w:pPr>
              <w:jc w:val="center"/>
              <w:rPr>
                <w:rFonts w:ascii="Times New Roman" w:eastAsia="Calibri" w:hAnsi="Times New Roman" w:cs="Times New Roman"/>
                <w:i/>
                <w:noProof/>
                <w:sz w:val="18"/>
                <w:szCs w:val="18"/>
                <w:lang w:eastAsia="en-GB"/>
              </w:rPr>
            </w:pPr>
          </w:p>
        </w:tc>
        <w:tc>
          <w:tcPr>
            <w:tcW w:w="275" w:type="pct"/>
            <w:tcBorders>
              <w:top w:val="single" w:sz="4" w:space="0" w:color="auto"/>
              <w:left w:val="single" w:sz="4" w:space="0" w:color="auto"/>
              <w:bottom w:val="single" w:sz="4" w:space="0" w:color="auto"/>
              <w:right w:val="single" w:sz="4" w:space="0" w:color="auto"/>
            </w:tcBorders>
          </w:tcPr>
          <w:p w14:paraId="0AE8D6BD" w14:textId="77777777" w:rsidR="00653571" w:rsidRPr="008C5F1C" w:rsidRDefault="00653571" w:rsidP="00534127">
            <w:pPr>
              <w:jc w:val="center"/>
              <w:rPr>
                <w:rFonts w:ascii="Times New Roman" w:eastAsia="Calibri" w:hAnsi="Times New Roman" w:cs="Times New Roman"/>
                <w:i/>
                <w:noProof/>
                <w:sz w:val="18"/>
                <w:szCs w:val="18"/>
                <w:lang w:eastAsia="en-GB"/>
              </w:rPr>
            </w:pPr>
          </w:p>
        </w:tc>
        <w:tc>
          <w:tcPr>
            <w:tcW w:w="581" w:type="pct"/>
            <w:tcBorders>
              <w:top w:val="single" w:sz="4" w:space="0" w:color="auto"/>
              <w:left w:val="single" w:sz="4" w:space="0" w:color="auto"/>
              <w:bottom w:val="single" w:sz="4" w:space="0" w:color="auto"/>
              <w:right w:val="single" w:sz="4" w:space="0" w:color="auto"/>
            </w:tcBorders>
          </w:tcPr>
          <w:p w14:paraId="2182C14A" w14:textId="77777777" w:rsidR="00653571" w:rsidRPr="008C5F1C" w:rsidRDefault="00653571" w:rsidP="00534127">
            <w:pPr>
              <w:jc w:val="center"/>
              <w:rPr>
                <w:rFonts w:ascii="Times New Roman" w:eastAsia="Calibri" w:hAnsi="Times New Roman" w:cs="Times New Roman"/>
                <w:i/>
                <w:noProof/>
                <w:sz w:val="18"/>
                <w:szCs w:val="18"/>
                <w:lang w:eastAsia="en-GB"/>
              </w:rPr>
            </w:pPr>
          </w:p>
        </w:tc>
        <w:tc>
          <w:tcPr>
            <w:tcW w:w="562" w:type="pct"/>
            <w:tcBorders>
              <w:top w:val="single" w:sz="4" w:space="0" w:color="auto"/>
              <w:left w:val="single" w:sz="4" w:space="0" w:color="auto"/>
              <w:bottom w:val="single" w:sz="4" w:space="0" w:color="auto"/>
              <w:right w:val="single" w:sz="4" w:space="0" w:color="auto"/>
            </w:tcBorders>
          </w:tcPr>
          <w:p w14:paraId="303E094D" w14:textId="77777777" w:rsidR="00653571" w:rsidRPr="008C5F1C" w:rsidRDefault="00653571" w:rsidP="00534127">
            <w:pPr>
              <w:jc w:val="center"/>
              <w:rPr>
                <w:rFonts w:ascii="Times New Roman" w:eastAsia="Calibri" w:hAnsi="Times New Roman" w:cs="Times New Roman"/>
                <w:i/>
                <w:noProof/>
                <w:sz w:val="18"/>
                <w:szCs w:val="18"/>
                <w:lang w:eastAsia="en-GB"/>
              </w:rPr>
            </w:pPr>
          </w:p>
        </w:tc>
        <w:tc>
          <w:tcPr>
            <w:tcW w:w="623" w:type="pct"/>
            <w:tcBorders>
              <w:top w:val="single" w:sz="4" w:space="0" w:color="auto"/>
              <w:left w:val="single" w:sz="4" w:space="0" w:color="auto"/>
              <w:bottom w:val="single" w:sz="4" w:space="0" w:color="auto"/>
              <w:right w:val="single" w:sz="4" w:space="0" w:color="auto"/>
            </w:tcBorders>
          </w:tcPr>
          <w:p w14:paraId="56F7AB82" w14:textId="77777777" w:rsidR="00653571" w:rsidRPr="008C5F1C" w:rsidRDefault="00653571" w:rsidP="00534127">
            <w:pPr>
              <w:jc w:val="center"/>
              <w:rPr>
                <w:rFonts w:ascii="Times New Roman" w:eastAsia="Calibri" w:hAnsi="Times New Roman" w:cs="Times New Roman"/>
                <w:i/>
                <w:noProof/>
                <w:sz w:val="18"/>
                <w:szCs w:val="18"/>
                <w:lang w:eastAsia="en-GB"/>
              </w:rPr>
            </w:pPr>
          </w:p>
        </w:tc>
      </w:tr>
      <w:tr w:rsidR="00653571" w:rsidRPr="008C5F1C" w14:paraId="1CA394E8" w14:textId="77777777" w:rsidTr="009D5041">
        <w:tc>
          <w:tcPr>
            <w:tcW w:w="375" w:type="pct"/>
            <w:tcBorders>
              <w:top w:val="single" w:sz="4" w:space="0" w:color="auto"/>
              <w:left w:val="single" w:sz="4" w:space="0" w:color="auto"/>
              <w:bottom w:val="single" w:sz="4" w:space="0" w:color="auto"/>
              <w:right w:val="single" w:sz="4" w:space="0" w:color="auto"/>
            </w:tcBorders>
          </w:tcPr>
          <w:p w14:paraId="7B008C3F" w14:textId="77777777" w:rsidR="00653571" w:rsidRPr="008C5F1C" w:rsidRDefault="00653571" w:rsidP="00534127">
            <w:pPr>
              <w:jc w:val="center"/>
              <w:rPr>
                <w:rFonts w:ascii="Times New Roman" w:eastAsia="Calibri" w:hAnsi="Times New Roman" w:cs="Times New Roman"/>
                <w:b/>
                <w:i/>
                <w:noProof/>
                <w:sz w:val="18"/>
                <w:szCs w:val="18"/>
                <w:lang w:eastAsia="en-GB"/>
              </w:rPr>
            </w:pPr>
          </w:p>
        </w:tc>
        <w:tc>
          <w:tcPr>
            <w:tcW w:w="288" w:type="pct"/>
            <w:tcBorders>
              <w:top w:val="single" w:sz="4" w:space="0" w:color="auto"/>
              <w:left w:val="single" w:sz="4" w:space="0" w:color="auto"/>
              <w:bottom w:val="single" w:sz="4" w:space="0" w:color="auto"/>
              <w:right w:val="single" w:sz="4" w:space="0" w:color="auto"/>
            </w:tcBorders>
          </w:tcPr>
          <w:p w14:paraId="5F114F09" w14:textId="77777777" w:rsidR="00653571" w:rsidRPr="008C5F1C" w:rsidRDefault="00653571" w:rsidP="00534127">
            <w:pPr>
              <w:jc w:val="center"/>
              <w:rPr>
                <w:rFonts w:ascii="Times New Roman" w:eastAsia="Calibri" w:hAnsi="Times New Roman" w:cs="Times New Roman"/>
                <w:b/>
                <w:i/>
                <w:noProof/>
                <w:sz w:val="18"/>
                <w:szCs w:val="18"/>
                <w:lang w:eastAsia="en-GB"/>
              </w:rPr>
            </w:pPr>
          </w:p>
        </w:tc>
        <w:tc>
          <w:tcPr>
            <w:tcW w:w="410" w:type="pct"/>
            <w:tcBorders>
              <w:top w:val="single" w:sz="4" w:space="0" w:color="auto"/>
              <w:left w:val="single" w:sz="4" w:space="0" w:color="auto"/>
              <w:bottom w:val="single" w:sz="4" w:space="0" w:color="auto"/>
              <w:right w:val="single" w:sz="4" w:space="0" w:color="auto"/>
            </w:tcBorders>
          </w:tcPr>
          <w:p w14:paraId="3611F9BE" w14:textId="77777777" w:rsidR="00653571" w:rsidRPr="008C5F1C" w:rsidRDefault="00653571" w:rsidP="00534127">
            <w:pPr>
              <w:jc w:val="center"/>
              <w:rPr>
                <w:rFonts w:ascii="Times New Roman" w:eastAsia="Calibri" w:hAnsi="Times New Roman" w:cs="Times New Roman"/>
                <w:b/>
                <w:i/>
                <w:noProof/>
                <w:sz w:val="18"/>
                <w:szCs w:val="18"/>
                <w:lang w:eastAsia="en-GB"/>
              </w:rPr>
            </w:pPr>
          </w:p>
        </w:tc>
        <w:tc>
          <w:tcPr>
            <w:tcW w:w="418" w:type="pct"/>
            <w:tcBorders>
              <w:top w:val="single" w:sz="4" w:space="0" w:color="auto"/>
              <w:left w:val="single" w:sz="4" w:space="0" w:color="auto"/>
              <w:bottom w:val="single" w:sz="4" w:space="0" w:color="auto"/>
              <w:right w:val="single" w:sz="4" w:space="0" w:color="auto"/>
            </w:tcBorders>
          </w:tcPr>
          <w:p w14:paraId="6AA6AFF5" w14:textId="77777777" w:rsidR="00653571" w:rsidRPr="008C5F1C" w:rsidRDefault="00653571" w:rsidP="00534127">
            <w:pPr>
              <w:jc w:val="center"/>
              <w:rPr>
                <w:rFonts w:ascii="Times New Roman" w:eastAsia="Calibri" w:hAnsi="Times New Roman" w:cs="Times New Roman"/>
                <w:b/>
                <w:i/>
                <w:noProof/>
                <w:sz w:val="18"/>
                <w:szCs w:val="18"/>
                <w:lang w:eastAsia="en-GB"/>
              </w:rPr>
            </w:pPr>
          </w:p>
        </w:tc>
        <w:tc>
          <w:tcPr>
            <w:tcW w:w="423" w:type="pct"/>
            <w:tcBorders>
              <w:top w:val="single" w:sz="4" w:space="0" w:color="auto"/>
              <w:left w:val="single" w:sz="4" w:space="0" w:color="auto"/>
              <w:bottom w:val="single" w:sz="4" w:space="0" w:color="auto"/>
              <w:right w:val="single" w:sz="4" w:space="0" w:color="auto"/>
            </w:tcBorders>
          </w:tcPr>
          <w:p w14:paraId="17B94437" w14:textId="77777777" w:rsidR="00653571" w:rsidRPr="008C5F1C" w:rsidRDefault="00653571" w:rsidP="00534127">
            <w:pPr>
              <w:jc w:val="center"/>
              <w:rPr>
                <w:rFonts w:ascii="Times New Roman" w:eastAsia="Calibri" w:hAnsi="Times New Roman" w:cs="Times New Roman"/>
                <w:b/>
                <w:i/>
                <w:noProof/>
                <w:sz w:val="18"/>
                <w:szCs w:val="18"/>
                <w:lang w:eastAsia="en-GB"/>
              </w:rPr>
            </w:pPr>
          </w:p>
        </w:tc>
        <w:tc>
          <w:tcPr>
            <w:tcW w:w="431" w:type="pct"/>
            <w:tcBorders>
              <w:top w:val="single" w:sz="4" w:space="0" w:color="auto"/>
              <w:left w:val="single" w:sz="4" w:space="0" w:color="auto"/>
              <w:bottom w:val="single" w:sz="4" w:space="0" w:color="auto"/>
              <w:right w:val="single" w:sz="4" w:space="0" w:color="auto"/>
            </w:tcBorders>
          </w:tcPr>
          <w:p w14:paraId="397AAF46" w14:textId="77777777" w:rsidR="00653571" w:rsidRPr="008C5F1C" w:rsidRDefault="00653571" w:rsidP="00534127">
            <w:pPr>
              <w:jc w:val="center"/>
              <w:rPr>
                <w:rFonts w:ascii="Times New Roman" w:eastAsia="Calibri" w:hAnsi="Times New Roman" w:cs="Times New Roman"/>
                <w:i/>
                <w:noProof/>
                <w:sz w:val="18"/>
                <w:szCs w:val="18"/>
                <w:lang w:eastAsia="en-GB"/>
              </w:rPr>
            </w:pPr>
          </w:p>
        </w:tc>
        <w:tc>
          <w:tcPr>
            <w:tcW w:w="614" w:type="pct"/>
            <w:tcBorders>
              <w:top w:val="single" w:sz="4" w:space="0" w:color="auto"/>
              <w:left w:val="single" w:sz="4" w:space="0" w:color="auto"/>
              <w:bottom w:val="single" w:sz="4" w:space="0" w:color="auto"/>
              <w:right w:val="single" w:sz="4" w:space="0" w:color="auto"/>
            </w:tcBorders>
          </w:tcPr>
          <w:p w14:paraId="32A2DA3C" w14:textId="77777777" w:rsidR="00653571" w:rsidRPr="008C5F1C" w:rsidRDefault="00653571" w:rsidP="00534127">
            <w:pPr>
              <w:jc w:val="center"/>
              <w:rPr>
                <w:rFonts w:ascii="Times New Roman" w:eastAsia="Calibri" w:hAnsi="Times New Roman" w:cs="Times New Roman"/>
                <w:i/>
                <w:noProof/>
                <w:sz w:val="18"/>
                <w:szCs w:val="18"/>
                <w:lang w:eastAsia="en-GB"/>
              </w:rPr>
            </w:pPr>
          </w:p>
        </w:tc>
        <w:tc>
          <w:tcPr>
            <w:tcW w:w="275" w:type="pct"/>
            <w:tcBorders>
              <w:top w:val="single" w:sz="4" w:space="0" w:color="auto"/>
              <w:left w:val="single" w:sz="4" w:space="0" w:color="auto"/>
              <w:bottom w:val="single" w:sz="4" w:space="0" w:color="auto"/>
              <w:right w:val="single" w:sz="4" w:space="0" w:color="auto"/>
            </w:tcBorders>
          </w:tcPr>
          <w:p w14:paraId="2C9B066A" w14:textId="77777777" w:rsidR="00653571" w:rsidRPr="008C5F1C" w:rsidRDefault="00653571" w:rsidP="00534127">
            <w:pPr>
              <w:jc w:val="center"/>
              <w:rPr>
                <w:rFonts w:ascii="Times New Roman" w:eastAsia="Calibri" w:hAnsi="Times New Roman" w:cs="Times New Roman"/>
                <w:i/>
                <w:noProof/>
                <w:sz w:val="18"/>
                <w:szCs w:val="18"/>
                <w:lang w:eastAsia="en-GB"/>
              </w:rPr>
            </w:pPr>
          </w:p>
        </w:tc>
        <w:tc>
          <w:tcPr>
            <w:tcW w:w="581" w:type="pct"/>
            <w:tcBorders>
              <w:top w:val="single" w:sz="4" w:space="0" w:color="auto"/>
              <w:left w:val="single" w:sz="4" w:space="0" w:color="auto"/>
              <w:bottom w:val="single" w:sz="4" w:space="0" w:color="auto"/>
              <w:right w:val="single" w:sz="4" w:space="0" w:color="auto"/>
            </w:tcBorders>
          </w:tcPr>
          <w:p w14:paraId="5251E972" w14:textId="77777777" w:rsidR="00653571" w:rsidRPr="008C5F1C" w:rsidRDefault="00653571" w:rsidP="00534127">
            <w:pPr>
              <w:jc w:val="center"/>
              <w:rPr>
                <w:rFonts w:ascii="Times New Roman" w:eastAsia="Calibri" w:hAnsi="Times New Roman" w:cs="Times New Roman"/>
                <w:i/>
                <w:noProof/>
                <w:sz w:val="18"/>
                <w:szCs w:val="18"/>
                <w:lang w:eastAsia="en-GB"/>
              </w:rPr>
            </w:pPr>
          </w:p>
        </w:tc>
        <w:tc>
          <w:tcPr>
            <w:tcW w:w="562" w:type="pct"/>
            <w:tcBorders>
              <w:top w:val="single" w:sz="4" w:space="0" w:color="auto"/>
              <w:left w:val="single" w:sz="4" w:space="0" w:color="auto"/>
              <w:bottom w:val="single" w:sz="4" w:space="0" w:color="auto"/>
              <w:right w:val="single" w:sz="4" w:space="0" w:color="auto"/>
            </w:tcBorders>
          </w:tcPr>
          <w:p w14:paraId="2B75AB8F" w14:textId="77777777" w:rsidR="00653571" w:rsidRPr="008C5F1C" w:rsidRDefault="00653571" w:rsidP="00534127">
            <w:pPr>
              <w:jc w:val="center"/>
              <w:rPr>
                <w:rFonts w:ascii="Times New Roman" w:eastAsia="Calibri" w:hAnsi="Times New Roman" w:cs="Times New Roman"/>
                <w:i/>
                <w:noProof/>
                <w:sz w:val="18"/>
                <w:szCs w:val="18"/>
                <w:lang w:eastAsia="en-GB"/>
              </w:rPr>
            </w:pPr>
          </w:p>
        </w:tc>
        <w:tc>
          <w:tcPr>
            <w:tcW w:w="623" w:type="pct"/>
            <w:tcBorders>
              <w:top w:val="single" w:sz="4" w:space="0" w:color="auto"/>
              <w:left w:val="single" w:sz="4" w:space="0" w:color="auto"/>
              <w:bottom w:val="single" w:sz="4" w:space="0" w:color="auto"/>
              <w:right w:val="single" w:sz="4" w:space="0" w:color="auto"/>
            </w:tcBorders>
          </w:tcPr>
          <w:p w14:paraId="5C434B10" w14:textId="77777777" w:rsidR="00653571" w:rsidRPr="008C5F1C" w:rsidRDefault="00653571" w:rsidP="00534127">
            <w:pPr>
              <w:jc w:val="center"/>
              <w:rPr>
                <w:rFonts w:ascii="Times New Roman" w:eastAsia="Calibri" w:hAnsi="Times New Roman" w:cs="Times New Roman"/>
                <w:i/>
                <w:noProof/>
                <w:sz w:val="18"/>
                <w:szCs w:val="18"/>
                <w:lang w:eastAsia="en-GB"/>
              </w:rPr>
            </w:pPr>
          </w:p>
        </w:tc>
      </w:tr>
      <w:tr w:rsidR="00653571" w:rsidRPr="008C5F1C" w14:paraId="595988DD" w14:textId="77777777" w:rsidTr="009D5041">
        <w:tc>
          <w:tcPr>
            <w:tcW w:w="375" w:type="pct"/>
            <w:tcBorders>
              <w:top w:val="single" w:sz="4" w:space="0" w:color="auto"/>
              <w:left w:val="single" w:sz="4" w:space="0" w:color="auto"/>
              <w:bottom w:val="single" w:sz="4" w:space="0" w:color="auto"/>
              <w:right w:val="single" w:sz="4" w:space="0" w:color="auto"/>
            </w:tcBorders>
          </w:tcPr>
          <w:p w14:paraId="4A9457EE"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288" w:type="pct"/>
            <w:tcBorders>
              <w:top w:val="single" w:sz="4" w:space="0" w:color="auto"/>
              <w:left w:val="single" w:sz="4" w:space="0" w:color="auto"/>
              <w:bottom w:val="single" w:sz="4" w:space="0" w:color="auto"/>
              <w:right w:val="single" w:sz="4" w:space="0" w:color="auto"/>
            </w:tcBorders>
          </w:tcPr>
          <w:p w14:paraId="37FE2286"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410" w:type="pct"/>
            <w:tcBorders>
              <w:top w:val="single" w:sz="4" w:space="0" w:color="auto"/>
              <w:left w:val="single" w:sz="4" w:space="0" w:color="auto"/>
              <w:bottom w:val="single" w:sz="4" w:space="0" w:color="auto"/>
              <w:right w:val="single" w:sz="4" w:space="0" w:color="auto"/>
            </w:tcBorders>
          </w:tcPr>
          <w:p w14:paraId="2B7F3916"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418" w:type="pct"/>
            <w:tcBorders>
              <w:top w:val="single" w:sz="4" w:space="0" w:color="auto"/>
              <w:left w:val="single" w:sz="4" w:space="0" w:color="auto"/>
              <w:bottom w:val="single" w:sz="4" w:space="0" w:color="auto"/>
              <w:right w:val="single" w:sz="4" w:space="0" w:color="auto"/>
            </w:tcBorders>
          </w:tcPr>
          <w:p w14:paraId="4ABDC2A1"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423" w:type="pct"/>
            <w:tcBorders>
              <w:top w:val="single" w:sz="4" w:space="0" w:color="auto"/>
              <w:left w:val="single" w:sz="4" w:space="0" w:color="auto"/>
              <w:bottom w:val="single" w:sz="4" w:space="0" w:color="auto"/>
              <w:right w:val="single" w:sz="4" w:space="0" w:color="auto"/>
            </w:tcBorders>
          </w:tcPr>
          <w:p w14:paraId="6CE078D2"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431" w:type="pct"/>
            <w:tcBorders>
              <w:top w:val="single" w:sz="4" w:space="0" w:color="auto"/>
              <w:left w:val="single" w:sz="4" w:space="0" w:color="auto"/>
              <w:bottom w:val="single" w:sz="4" w:space="0" w:color="auto"/>
              <w:right w:val="single" w:sz="4" w:space="0" w:color="auto"/>
            </w:tcBorders>
          </w:tcPr>
          <w:p w14:paraId="7A88046D"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614" w:type="pct"/>
            <w:tcBorders>
              <w:top w:val="single" w:sz="4" w:space="0" w:color="auto"/>
              <w:left w:val="single" w:sz="4" w:space="0" w:color="auto"/>
              <w:bottom w:val="single" w:sz="4" w:space="0" w:color="auto"/>
              <w:right w:val="single" w:sz="4" w:space="0" w:color="auto"/>
            </w:tcBorders>
          </w:tcPr>
          <w:p w14:paraId="4F1EB86A"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275" w:type="pct"/>
            <w:tcBorders>
              <w:top w:val="single" w:sz="4" w:space="0" w:color="auto"/>
              <w:left w:val="single" w:sz="4" w:space="0" w:color="auto"/>
              <w:bottom w:val="single" w:sz="4" w:space="0" w:color="auto"/>
              <w:right w:val="single" w:sz="4" w:space="0" w:color="auto"/>
            </w:tcBorders>
          </w:tcPr>
          <w:p w14:paraId="6895AD39"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581" w:type="pct"/>
            <w:tcBorders>
              <w:top w:val="single" w:sz="4" w:space="0" w:color="auto"/>
              <w:left w:val="single" w:sz="4" w:space="0" w:color="auto"/>
              <w:bottom w:val="single" w:sz="4" w:space="0" w:color="auto"/>
              <w:right w:val="single" w:sz="4" w:space="0" w:color="auto"/>
            </w:tcBorders>
          </w:tcPr>
          <w:p w14:paraId="51234111"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562" w:type="pct"/>
            <w:tcBorders>
              <w:top w:val="single" w:sz="4" w:space="0" w:color="auto"/>
              <w:left w:val="single" w:sz="4" w:space="0" w:color="auto"/>
              <w:bottom w:val="single" w:sz="4" w:space="0" w:color="auto"/>
              <w:right w:val="single" w:sz="4" w:space="0" w:color="auto"/>
            </w:tcBorders>
          </w:tcPr>
          <w:p w14:paraId="50840F74"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623" w:type="pct"/>
            <w:tcBorders>
              <w:top w:val="single" w:sz="4" w:space="0" w:color="auto"/>
              <w:left w:val="single" w:sz="4" w:space="0" w:color="auto"/>
              <w:bottom w:val="single" w:sz="4" w:space="0" w:color="auto"/>
              <w:right w:val="single" w:sz="4" w:space="0" w:color="auto"/>
            </w:tcBorders>
          </w:tcPr>
          <w:p w14:paraId="7551ACA7" w14:textId="77777777" w:rsidR="00653571" w:rsidRPr="008C5F1C" w:rsidRDefault="00653571" w:rsidP="00534127">
            <w:pPr>
              <w:jc w:val="center"/>
              <w:rPr>
                <w:rFonts w:ascii="Times New Roman" w:eastAsia="Calibri" w:hAnsi="Times New Roman" w:cs="Times New Roman"/>
                <w:noProof/>
                <w:sz w:val="18"/>
                <w:szCs w:val="18"/>
                <w:lang w:eastAsia="en-GB"/>
              </w:rPr>
            </w:pPr>
          </w:p>
        </w:tc>
      </w:tr>
      <w:tr w:rsidR="00653571" w:rsidRPr="008C5F1C" w14:paraId="63CE3015" w14:textId="77777777" w:rsidTr="009D5041">
        <w:tc>
          <w:tcPr>
            <w:tcW w:w="375" w:type="pct"/>
            <w:tcBorders>
              <w:top w:val="single" w:sz="4" w:space="0" w:color="auto"/>
              <w:left w:val="single" w:sz="4" w:space="0" w:color="auto"/>
              <w:bottom w:val="single" w:sz="4" w:space="0" w:color="auto"/>
              <w:right w:val="single" w:sz="4" w:space="0" w:color="auto"/>
            </w:tcBorders>
          </w:tcPr>
          <w:p w14:paraId="5AE46C69"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288" w:type="pct"/>
            <w:tcBorders>
              <w:top w:val="single" w:sz="4" w:space="0" w:color="auto"/>
              <w:left w:val="single" w:sz="4" w:space="0" w:color="auto"/>
              <w:bottom w:val="single" w:sz="4" w:space="0" w:color="auto"/>
              <w:right w:val="single" w:sz="4" w:space="0" w:color="auto"/>
            </w:tcBorders>
          </w:tcPr>
          <w:p w14:paraId="081FE817"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410" w:type="pct"/>
            <w:tcBorders>
              <w:top w:val="single" w:sz="4" w:space="0" w:color="auto"/>
              <w:left w:val="single" w:sz="4" w:space="0" w:color="auto"/>
              <w:bottom w:val="single" w:sz="4" w:space="0" w:color="auto"/>
              <w:right w:val="single" w:sz="4" w:space="0" w:color="auto"/>
            </w:tcBorders>
          </w:tcPr>
          <w:p w14:paraId="4B177C11"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418" w:type="pct"/>
            <w:tcBorders>
              <w:top w:val="single" w:sz="4" w:space="0" w:color="auto"/>
              <w:left w:val="single" w:sz="4" w:space="0" w:color="auto"/>
              <w:bottom w:val="single" w:sz="4" w:space="0" w:color="auto"/>
              <w:right w:val="single" w:sz="4" w:space="0" w:color="auto"/>
            </w:tcBorders>
          </w:tcPr>
          <w:p w14:paraId="5EFF7D7A"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423" w:type="pct"/>
            <w:tcBorders>
              <w:top w:val="single" w:sz="4" w:space="0" w:color="auto"/>
              <w:left w:val="single" w:sz="4" w:space="0" w:color="auto"/>
              <w:bottom w:val="single" w:sz="4" w:space="0" w:color="auto"/>
              <w:right w:val="single" w:sz="4" w:space="0" w:color="auto"/>
            </w:tcBorders>
          </w:tcPr>
          <w:p w14:paraId="0A7DA157"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431" w:type="pct"/>
            <w:tcBorders>
              <w:top w:val="single" w:sz="4" w:space="0" w:color="auto"/>
              <w:left w:val="single" w:sz="4" w:space="0" w:color="auto"/>
              <w:bottom w:val="single" w:sz="4" w:space="0" w:color="auto"/>
              <w:right w:val="single" w:sz="4" w:space="0" w:color="auto"/>
            </w:tcBorders>
          </w:tcPr>
          <w:p w14:paraId="10A34F4A"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614" w:type="pct"/>
            <w:tcBorders>
              <w:top w:val="single" w:sz="4" w:space="0" w:color="auto"/>
              <w:left w:val="single" w:sz="4" w:space="0" w:color="auto"/>
              <w:bottom w:val="single" w:sz="4" w:space="0" w:color="auto"/>
              <w:right w:val="single" w:sz="4" w:space="0" w:color="auto"/>
            </w:tcBorders>
          </w:tcPr>
          <w:p w14:paraId="642584B3"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275" w:type="pct"/>
            <w:tcBorders>
              <w:top w:val="single" w:sz="4" w:space="0" w:color="auto"/>
              <w:left w:val="single" w:sz="4" w:space="0" w:color="auto"/>
              <w:bottom w:val="single" w:sz="4" w:space="0" w:color="auto"/>
              <w:right w:val="single" w:sz="4" w:space="0" w:color="auto"/>
            </w:tcBorders>
          </w:tcPr>
          <w:p w14:paraId="0E60B76C"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581" w:type="pct"/>
            <w:tcBorders>
              <w:top w:val="single" w:sz="4" w:space="0" w:color="auto"/>
              <w:left w:val="single" w:sz="4" w:space="0" w:color="auto"/>
              <w:bottom w:val="single" w:sz="4" w:space="0" w:color="auto"/>
              <w:right w:val="single" w:sz="4" w:space="0" w:color="auto"/>
            </w:tcBorders>
          </w:tcPr>
          <w:p w14:paraId="2F696F65"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562" w:type="pct"/>
            <w:tcBorders>
              <w:top w:val="single" w:sz="4" w:space="0" w:color="auto"/>
              <w:left w:val="single" w:sz="4" w:space="0" w:color="auto"/>
              <w:bottom w:val="single" w:sz="4" w:space="0" w:color="auto"/>
              <w:right w:val="single" w:sz="4" w:space="0" w:color="auto"/>
            </w:tcBorders>
          </w:tcPr>
          <w:p w14:paraId="7AE34244"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623" w:type="pct"/>
            <w:tcBorders>
              <w:top w:val="single" w:sz="4" w:space="0" w:color="auto"/>
              <w:left w:val="single" w:sz="4" w:space="0" w:color="auto"/>
              <w:bottom w:val="single" w:sz="4" w:space="0" w:color="auto"/>
              <w:right w:val="single" w:sz="4" w:space="0" w:color="auto"/>
            </w:tcBorders>
          </w:tcPr>
          <w:p w14:paraId="7B721CF7" w14:textId="77777777" w:rsidR="00653571" w:rsidRPr="008C5F1C" w:rsidRDefault="00653571" w:rsidP="00534127">
            <w:pPr>
              <w:jc w:val="center"/>
              <w:rPr>
                <w:rFonts w:ascii="Times New Roman" w:eastAsia="Calibri" w:hAnsi="Times New Roman" w:cs="Times New Roman"/>
                <w:noProof/>
                <w:sz w:val="18"/>
                <w:szCs w:val="18"/>
                <w:lang w:eastAsia="en-GB"/>
              </w:rPr>
            </w:pPr>
          </w:p>
        </w:tc>
      </w:tr>
      <w:tr w:rsidR="00653571" w:rsidRPr="008C5F1C" w14:paraId="3C856E8A" w14:textId="77777777" w:rsidTr="009D5041">
        <w:trPr>
          <w:trHeight w:val="1064"/>
        </w:trPr>
        <w:tc>
          <w:tcPr>
            <w:tcW w:w="375" w:type="pct"/>
            <w:tcBorders>
              <w:top w:val="single" w:sz="4" w:space="0" w:color="auto"/>
              <w:left w:val="single" w:sz="4" w:space="0" w:color="auto"/>
              <w:bottom w:val="single" w:sz="4" w:space="0" w:color="auto"/>
              <w:right w:val="single" w:sz="4" w:space="0" w:color="auto"/>
            </w:tcBorders>
            <w:hideMark/>
          </w:tcPr>
          <w:p w14:paraId="7817754F" w14:textId="77777777" w:rsidR="00653571" w:rsidRPr="008C5F1C" w:rsidRDefault="00653571" w:rsidP="00534127">
            <w:pPr>
              <w:jc w:val="center"/>
              <w:rPr>
                <w:rFonts w:ascii="Times New Roman" w:eastAsia="Calibri" w:hAnsi="Times New Roman" w:cs="Times New Roman"/>
                <w:noProof/>
                <w:sz w:val="18"/>
                <w:szCs w:val="18"/>
                <w:lang w:eastAsia="en-GB"/>
              </w:rPr>
            </w:pPr>
            <w:r w:rsidRPr="008C5F1C">
              <w:rPr>
                <w:rFonts w:ascii="Times New Roman" w:eastAsia="Calibri" w:hAnsi="Times New Roman" w:cs="Times New Roman"/>
                <w:noProof/>
                <w:sz w:val="18"/>
                <w:szCs w:val="18"/>
                <w:lang w:eastAsia="en-GB"/>
              </w:rPr>
              <w:t>The overall amount covered</w:t>
            </w:r>
          </w:p>
        </w:tc>
        <w:tc>
          <w:tcPr>
            <w:tcW w:w="288" w:type="pct"/>
            <w:tcBorders>
              <w:top w:val="single" w:sz="4" w:space="0" w:color="auto"/>
              <w:left w:val="single" w:sz="4" w:space="0" w:color="auto"/>
              <w:bottom w:val="single" w:sz="4" w:space="0" w:color="auto"/>
              <w:right w:val="single" w:sz="4" w:space="0" w:color="auto"/>
            </w:tcBorders>
          </w:tcPr>
          <w:p w14:paraId="36FC562E"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410" w:type="pct"/>
            <w:tcBorders>
              <w:top w:val="single" w:sz="4" w:space="0" w:color="auto"/>
              <w:left w:val="single" w:sz="4" w:space="0" w:color="auto"/>
              <w:bottom w:val="single" w:sz="4" w:space="0" w:color="auto"/>
              <w:right w:val="single" w:sz="4" w:space="0" w:color="auto"/>
            </w:tcBorders>
          </w:tcPr>
          <w:p w14:paraId="0982ED91"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418" w:type="pct"/>
            <w:tcBorders>
              <w:top w:val="single" w:sz="4" w:space="0" w:color="auto"/>
              <w:left w:val="single" w:sz="4" w:space="0" w:color="auto"/>
              <w:bottom w:val="single" w:sz="4" w:space="0" w:color="auto"/>
              <w:right w:val="single" w:sz="4" w:space="0" w:color="auto"/>
            </w:tcBorders>
          </w:tcPr>
          <w:p w14:paraId="7EE098C2"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423" w:type="pct"/>
            <w:tcBorders>
              <w:top w:val="single" w:sz="4" w:space="0" w:color="auto"/>
              <w:left w:val="single" w:sz="4" w:space="0" w:color="auto"/>
              <w:bottom w:val="single" w:sz="4" w:space="0" w:color="auto"/>
              <w:right w:val="single" w:sz="4" w:space="0" w:color="auto"/>
            </w:tcBorders>
          </w:tcPr>
          <w:p w14:paraId="09513674"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431" w:type="pct"/>
            <w:tcBorders>
              <w:top w:val="single" w:sz="4" w:space="0" w:color="auto"/>
              <w:left w:val="single" w:sz="4" w:space="0" w:color="auto"/>
              <w:bottom w:val="single" w:sz="4" w:space="0" w:color="auto"/>
              <w:right w:val="single" w:sz="4" w:space="0" w:color="auto"/>
            </w:tcBorders>
          </w:tcPr>
          <w:p w14:paraId="0BA2A9E1"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614" w:type="pct"/>
            <w:tcBorders>
              <w:top w:val="single" w:sz="4" w:space="0" w:color="auto"/>
              <w:left w:val="single" w:sz="4" w:space="0" w:color="auto"/>
              <w:bottom w:val="single" w:sz="4" w:space="0" w:color="auto"/>
              <w:right w:val="single" w:sz="4" w:space="0" w:color="auto"/>
            </w:tcBorders>
          </w:tcPr>
          <w:p w14:paraId="7A5BD6E1"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275" w:type="pct"/>
            <w:tcBorders>
              <w:top w:val="single" w:sz="4" w:space="0" w:color="auto"/>
              <w:left w:val="single" w:sz="4" w:space="0" w:color="auto"/>
              <w:bottom w:val="single" w:sz="4" w:space="0" w:color="auto"/>
              <w:right w:val="single" w:sz="4" w:space="0" w:color="auto"/>
            </w:tcBorders>
          </w:tcPr>
          <w:p w14:paraId="304F7425"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581" w:type="pct"/>
            <w:tcBorders>
              <w:top w:val="single" w:sz="4" w:space="0" w:color="auto"/>
              <w:left w:val="single" w:sz="4" w:space="0" w:color="auto"/>
              <w:bottom w:val="single" w:sz="4" w:space="0" w:color="auto"/>
              <w:right w:val="single" w:sz="4" w:space="0" w:color="auto"/>
            </w:tcBorders>
          </w:tcPr>
          <w:p w14:paraId="73277366"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562" w:type="pct"/>
            <w:tcBorders>
              <w:top w:val="single" w:sz="4" w:space="0" w:color="auto"/>
              <w:left w:val="single" w:sz="4" w:space="0" w:color="auto"/>
              <w:bottom w:val="single" w:sz="4" w:space="0" w:color="auto"/>
              <w:right w:val="single" w:sz="4" w:space="0" w:color="auto"/>
            </w:tcBorders>
          </w:tcPr>
          <w:p w14:paraId="4B830697" w14:textId="77777777" w:rsidR="00653571" w:rsidRPr="008C5F1C" w:rsidRDefault="00653571" w:rsidP="00534127">
            <w:pPr>
              <w:jc w:val="center"/>
              <w:rPr>
                <w:rFonts w:ascii="Times New Roman" w:eastAsia="Calibri" w:hAnsi="Times New Roman" w:cs="Times New Roman"/>
                <w:noProof/>
                <w:sz w:val="18"/>
                <w:szCs w:val="18"/>
                <w:lang w:eastAsia="en-GB"/>
              </w:rPr>
            </w:pPr>
          </w:p>
        </w:tc>
        <w:tc>
          <w:tcPr>
            <w:tcW w:w="623" w:type="pct"/>
            <w:tcBorders>
              <w:top w:val="single" w:sz="4" w:space="0" w:color="auto"/>
              <w:left w:val="single" w:sz="4" w:space="0" w:color="auto"/>
              <w:bottom w:val="single" w:sz="4" w:space="0" w:color="auto"/>
              <w:right w:val="single" w:sz="4" w:space="0" w:color="auto"/>
            </w:tcBorders>
          </w:tcPr>
          <w:p w14:paraId="7CA0B67A" w14:textId="77777777" w:rsidR="00653571" w:rsidRPr="008C5F1C" w:rsidRDefault="00653571" w:rsidP="00534127">
            <w:pPr>
              <w:jc w:val="center"/>
              <w:rPr>
                <w:rFonts w:ascii="Times New Roman" w:eastAsia="Calibri" w:hAnsi="Times New Roman" w:cs="Times New Roman"/>
                <w:noProof/>
                <w:sz w:val="18"/>
                <w:szCs w:val="18"/>
                <w:lang w:eastAsia="en-GB"/>
              </w:rPr>
            </w:pPr>
          </w:p>
        </w:tc>
      </w:tr>
    </w:tbl>
    <w:p w14:paraId="65EE86A9" w14:textId="77777777" w:rsidR="00653571" w:rsidRPr="008C5F1C" w:rsidRDefault="00653571" w:rsidP="00653571">
      <w:pPr>
        <w:rPr>
          <w:rFonts w:ascii="Times New Roman" w:eastAsia="Calibri" w:hAnsi="Times New Roman" w:cs="Times New Roman"/>
          <w:b/>
          <w:noProof/>
          <w:szCs w:val="20"/>
          <w:u w:val="single"/>
          <w:lang w:eastAsia="en-GB"/>
        </w:rPr>
      </w:pPr>
    </w:p>
    <w:p w14:paraId="0AB0FC21" w14:textId="77777777" w:rsidR="00653571" w:rsidRPr="008C5F1C" w:rsidRDefault="00653571" w:rsidP="00653571">
      <w:pPr>
        <w:rPr>
          <w:rFonts w:ascii="Times New Roman" w:eastAsia="Calibri" w:hAnsi="Times New Roman" w:cs="Times New Roman"/>
          <w:b/>
          <w:noProof/>
          <w:szCs w:val="20"/>
          <w:u w:val="single"/>
          <w:lang w:eastAsia="en-GB"/>
        </w:rPr>
      </w:pPr>
      <w:r w:rsidRPr="008C5F1C">
        <w:rPr>
          <w:rFonts w:ascii="Times New Roman" w:eastAsia="Calibri" w:hAnsi="Times New Roman" w:cs="Times New Roman"/>
          <w:b/>
          <w:noProof/>
          <w:szCs w:val="20"/>
          <w:u w:val="single"/>
          <w:lang w:eastAsia="en-GB"/>
        </w:rPr>
        <w:t>B. Details by type of operation (to be completed for every type of operation)</w:t>
      </w:r>
    </w:p>
    <w:p w14:paraId="42C545B2" w14:textId="77777777" w:rsidR="00653571" w:rsidRPr="008C5F1C" w:rsidRDefault="00653571" w:rsidP="00653571">
      <w:pPr>
        <w:rPr>
          <w:rFonts w:ascii="Times New Roman" w:eastAsia="Calibri" w:hAnsi="Times New Roman" w:cs="Times New Roman"/>
          <w:noProof/>
          <w:szCs w:val="20"/>
          <w:lang w:eastAsia="en-GB"/>
        </w:rPr>
      </w:pPr>
      <w:r w:rsidRPr="008C5F1C">
        <w:rPr>
          <w:rFonts w:ascii="Times New Roman" w:eastAsia="Calibri" w:hAnsi="Times New Roman" w:cs="Times New Roman"/>
          <w:noProof/>
          <w:szCs w:val="20"/>
          <w:lang w:eastAsia="en-GB"/>
        </w:rPr>
        <w:t>Types of operation:</w:t>
      </w:r>
    </w:p>
    <w:tbl>
      <w:tblPr>
        <w:tblW w:w="8946" w:type="dxa"/>
        <w:tblInd w:w="93" w:type="dxa"/>
        <w:tblLook w:val="04A0" w:firstRow="1" w:lastRow="0" w:firstColumn="1" w:lastColumn="0" w:noHBand="0" w:noVBand="1"/>
      </w:tblPr>
      <w:tblGrid>
        <w:gridCol w:w="4095"/>
        <w:gridCol w:w="2280"/>
        <w:gridCol w:w="1474"/>
        <w:gridCol w:w="1097"/>
      </w:tblGrid>
      <w:tr w:rsidR="00653571" w:rsidRPr="008C5F1C" w14:paraId="063DC1AD" w14:textId="77777777" w:rsidTr="00534127">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250F90FC" w14:textId="77777777" w:rsidR="00653571" w:rsidRPr="008C5F1C" w:rsidRDefault="00653571" w:rsidP="00534127">
            <w:pPr>
              <w:spacing w:after="60"/>
              <w:rPr>
                <w:rFonts w:ascii="Times New Roman" w:eastAsia="Calibri" w:hAnsi="Times New Roman" w:cs="Times New Roman"/>
                <w:bCs/>
                <w:noProof/>
                <w:szCs w:val="20"/>
                <w:lang w:eastAsia="en-GB"/>
              </w:rPr>
            </w:pPr>
            <w:r w:rsidRPr="008C5F1C">
              <w:rPr>
                <w:rFonts w:ascii="Times New Roman" w:eastAsia="Calibri" w:hAnsi="Times New Roman" w:cs="Times New Roman"/>
                <w:bCs/>
                <w:noProof/>
                <w:szCs w:val="20"/>
                <w:lang w:eastAsia="en-GB"/>
              </w:rPr>
              <w:t xml:space="preserve">1.1. Description of the operation type </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6139ECC9" w14:textId="77777777" w:rsidR="00653571" w:rsidRPr="008C5F1C" w:rsidRDefault="00653571" w:rsidP="00534127">
            <w:pPr>
              <w:spacing w:after="60"/>
              <w:jc w:val="center"/>
              <w:rPr>
                <w:rFonts w:ascii="Times New Roman" w:eastAsia="Calibri" w:hAnsi="Times New Roman" w:cs="Times New Roman"/>
                <w:noProof/>
                <w:szCs w:val="20"/>
                <w:lang w:eastAsia="en-GB"/>
              </w:rPr>
            </w:pPr>
          </w:p>
        </w:tc>
      </w:tr>
      <w:tr w:rsidR="00653571" w:rsidRPr="008C5F1C" w14:paraId="23695668" w14:textId="77777777" w:rsidTr="00534127">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0A3BB77C" w14:textId="77777777" w:rsidR="00653571" w:rsidRPr="008C5F1C" w:rsidRDefault="00653571" w:rsidP="00534127">
            <w:pPr>
              <w:spacing w:after="60"/>
              <w:rPr>
                <w:rFonts w:ascii="Times New Roman" w:eastAsia="Calibri" w:hAnsi="Times New Roman" w:cs="Times New Roman"/>
                <w:bCs/>
                <w:noProof/>
                <w:szCs w:val="20"/>
                <w:lang w:eastAsia="en-GB"/>
              </w:rPr>
            </w:pPr>
            <w:r w:rsidRPr="008C5F1C">
              <w:rPr>
                <w:rFonts w:ascii="Times New Roman" w:eastAsia="Calibri" w:hAnsi="Times New Roman" w:cs="Times New Roman"/>
                <w:bCs/>
                <w:noProof/>
                <w:szCs w:val="20"/>
                <w:lang w:eastAsia="en-GB"/>
              </w:rPr>
              <w:t>1.2 specific objective</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2FFAB4EA" w14:textId="77777777" w:rsidR="00653571" w:rsidRPr="008C5F1C" w:rsidRDefault="00653571" w:rsidP="00534127">
            <w:pPr>
              <w:spacing w:after="60"/>
              <w:jc w:val="center"/>
              <w:rPr>
                <w:rFonts w:ascii="Times New Roman" w:eastAsia="Calibri" w:hAnsi="Times New Roman" w:cs="Times New Roman"/>
                <w:noProof/>
                <w:szCs w:val="20"/>
                <w:lang w:eastAsia="en-GB"/>
              </w:rPr>
            </w:pPr>
          </w:p>
          <w:p w14:paraId="3FFB3692" w14:textId="77777777" w:rsidR="00653571" w:rsidRPr="008C5F1C" w:rsidRDefault="00653571" w:rsidP="00534127">
            <w:pPr>
              <w:spacing w:after="60"/>
              <w:jc w:val="center"/>
              <w:rPr>
                <w:rFonts w:ascii="Times New Roman" w:eastAsia="Calibri" w:hAnsi="Times New Roman" w:cs="Times New Roman"/>
                <w:noProof/>
                <w:szCs w:val="20"/>
                <w:lang w:eastAsia="en-GB"/>
              </w:rPr>
            </w:pPr>
          </w:p>
        </w:tc>
      </w:tr>
      <w:tr w:rsidR="00653571" w:rsidRPr="008C5F1C" w14:paraId="3548694E" w14:textId="77777777" w:rsidTr="00534127">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1B24A5AE" w14:textId="77777777" w:rsidR="00653571" w:rsidRPr="008C5F1C" w:rsidRDefault="00653571" w:rsidP="00534127">
            <w:pPr>
              <w:spacing w:after="60"/>
              <w:rPr>
                <w:rFonts w:ascii="Times New Roman" w:eastAsia="Calibri" w:hAnsi="Times New Roman" w:cs="Times New Roman"/>
                <w:bCs/>
                <w:noProof/>
                <w:szCs w:val="20"/>
                <w:lang w:eastAsia="en-GB"/>
              </w:rPr>
            </w:pPr>
            <w:r w:rsidRPr="008C5F1C">
              <w:rPr>
                <w:rFonts w:ascii="Times New Roman" w:eastAsia="Calibri" w:hAnsi="Times New Roman" w:cs="Times New Roman"/>
                <w:bCs/>
                <w:noProof/>
                <w:szCs w:val="20"/>
                <w:lang w:eastAsia="en-GB"/>
              </w:rPr>
              <w:t xml:space="preserve">1.3 Conditions to be fulfilled or results to be achieved </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67F4CC24" w14:textId="77777777" w:rsidR="00653571" w:rsidRPr="008C5F1C" w:rsidRDefault="00653571" w:rsidP="00534127">
            <w:pPr>
              <w:spacing w:after="60"/>
              <w:jc w:val="center"/>
              <w:rPr>
                <w:rFonts w:ascii="Times New Roman" w:eastAsia="Calibri" w:hAnsi="Times New Roman" w:cs="Times New Roman"/>
                <w:noProof/>
                <w:szCs w:val="20"/>
                <w:lang w:eastAsia="en-GB"/>
              </w:rPr>
            </w:pPr>
          </w:p>
        </w:tc>
      </w:tr>
      <w:tr w:rsidR="00653571" w:rsidRPr="008C5F1C" w14:paraId="548BC11F" w14:textId="77777777" w:rsidTr="00534127">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35FCA237" w14:textId="77777777" w:rsidR="00653571" w:rsidRPr="008C5F1C" w:rsidRDefault="00653571" w:rsidP="00534127">
            <w:pPr>
              <w:spacing w:after="60"/>
              <w:rPr>
                <w:rFonts w:ascii="Times New Roman" w:eastAsia="Calibri" w:hAnsi="Times New Roman" w:cs="Times New Roman"/>
                <w:bCs/>
                <w:noProof/>
                <w:szCs w:val="20"/>
                <w:lang w:eastAsia="en-GB"/>
              </w:rPr>
            </w:pPr>
            <w:r w:rsidRPr="008C5F1C">
              <w:rPr>
                <w:rFonts w:ascii="Times New Roman" w:eastAsia="Calibri" w:hAnsi="Times New Roman" w:cs="Times New Roman"/>
                <w:bCs/>
                <w:noProof/>
                <w:szCs w:val="20"/>
                <w:lang w:eastAsia="en-GB"/>
              </w:rPr>
              <w:t>1.4 Deadline for fulfilment of conditions or results to be achieved</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37E7D965" w14:textId="77777777" w:rsidR="00653571" w:rsidRPr="008C5F1C" w:rsidRDefault="00653571" w:rsidP="00534127">
            <w:pPr>
              <w:spacing w:after="60"/>
              <w:jc w:val="center"/>
              <w:rPr>
                <w:rFonts w:ascii="Times New Roman" w:eastAsia="Calibri" w:hAnsi="Times New Roman" w:cs="Times New Roman"/>
                <w:noProof/>
                <w:szCs w:val="20"/>
                <w:lang w:eastAsia="en-GB"/>
              </w:rPr>
            </w:pPr>
          </w:p>
        </w:tc>
      </w:tr>
      <w:tr w:rsidR="00653571" w:rsidRPr="008C5F1C" w14:paraId="7969F6D9" w14:textId="77777777" w:rsidTr="00534127">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107C9C67" w14:textId="77777777" w:rsidR="00653571" w:rsidRPr="008C5F1C" w:rsidRDefault="00653571" w:rsidP="00534127">
            <w:pPr>
              <w:spacing w:after="60"/>
              <w:rPr>
                <w:rFonts w:ascii="Times New Roman" w:eastAsia="Calibri" w:hAnsi="Times New Roman" w:cs="Times New Roman"/>
                <w:bCs/>
                <w:noProof/>
                <w:szCs w:val="20"/>
                <w:lang w:eastAsia="en-GB"/>
              </w:rPr>
            </w:pPr>
            <w:r w:rsidRPr="008C5F1C">
              <w:rPr>
                <w:rFonts w:ascii="Times New Roman" w:eastAsia="Calibri" w:hAnsi="Times New Roman" w:cs="Times New Roman"/>
                <w:bCs/>
                <w:noProof/>
                <w:szCs w:val="20"/>
                <w:lang w:eastAsia="en-GB"/>
              </w:rPr>
              <w:t>1.5 Indicator definition</w:t>
            </w:r>
            <w:r w:rsidRPr="008C5F1C">
              <w:rPr>
                <w:rFonts w:ascii="Times New Roman" w:eastAsia="Calibri" w:hAnsi="Times New Roman" w:cs="Times New Roman"/>
                <w:noProof/>
                <w:szCs w:val="20"/>
                <w:lang w:eastAsia="en-GB"/>
              </w:rPr>
              <w:t xml:space="preserve"> for deliverables</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1788E29A" w14:textId="77777777" w:rsidR="00653571" w:rsidRPr="008C5F1C" w:rsidRDefault="00653571" w:rsidP="00534127">
            <w:pPr>
              <w:spacing w:after="60"/>
              <w:rPr>
                <w:rFonts w:ascii="Times New Roman" w:eastAsia="Calibri" w:hAnsi="Times New Roman" w:cs="Times New Roman"/>
                <w:noProof/>
                <w:szCs w:val="20"/>
                <w:lang w:eastAsia="en-GB"/>
              </w:rPr>
            </w:pPr>
          </w:p>
        </w:tc>
      </w:tr>
      <w:tr w:rsidR="00653571" w:rsidRPr="008C5F1C" w14:paraId="78A09CC6" w14:textId="77777777" w:rsidTr="00534127">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712FD8EB" w14:textId="77777777" w:rsidR="00653571" w:rsidRPr="008C5F1C" w:rsidRDefault="00653571" w:rsidP="00534127">
            <w:pPr>
              <w:spacing w:after="60"/>
              <w:rPr>
                <w:rFonts w:ascii="Times New Roman" w:eastAsia="Calibri" w:hAnsi="Times New Roman" w:cs="Times New Roman"/>
                <w:bCs/>
                <w:noProof/>
                <w:szCs w:val="20"/>
                <w:lang w:eastAsia="en-GB"/>
              </w:rPr>
            </w:pPr>
            <w:r w:rsidRPr="008C5F1C">
              <w:rPr>
                <w:rFonts w:ascii="Times New Roman" w:eastAsia="Calibri" w:hAnsi="Times New Roman" w:cs="Times New Roman"/>
                <w:bCs/>
                <w:noProof/>
                <w:szCs w:val="20"/>
                <w:lang w:eastAsia="en-GB"/>
              </w:rPr>
              <w:t xml:space="preserve">1.6 </w:t>
            </w:r>
            <w:r w:rsidRPr="008C5F1C">
              <w:rPr>
                <w:rFonts w:ascii="Times New Roman" w:eastAsia="Calibri" w:hAnsi="Times New Roman" w:cs="Times New Roman"/>
                <w:noProof/>
                <w:szCs w:val="20"/>
                <w:lang w:eastAsia="en-GB"/>
              </w:rPr>
              <w:t>Unit of measurement for indicator for deliverables</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53A19366" w14:textId="77777777" w:rsidR="00653571" w:rsidRPr="008C5F1C" w:rsidRDefault="00653571" w:rsidP="00534127">
            <w:pPr>
              <w:spacing w:after="60"/>
              <w:jc w:val="center"/>
              <w:rPr>
                <w:rFonts w:ascii="Times New Roman" w:eastAsia="Calibri" w:hAnsi="Times New Roman" w:cs="Times New Roman"/>
                <w:noProof/>
                <w:szCs w:val="20"/>
                <w:lang w:eastAsia="en-GB"/>
              </w:rPr>
            </w:pPr>
          </w:p>
        </w:tc>
      </w:tr>
      <w:tr w:rsidR="00653571" w:rsidRPr="008C5F1C" w14:paraId="192E0695" w14:textId="77777777" w:rsidTr="00534127">
        <w:trPr>
          <w:trHeight w:val="360"/>
        </w:trPr>
        <w:tc>
          <w:tcPr>
            <w:tcW w:w="4095" w:type="dxa"/>
            <w:vMerge w:val="restart"/>
            <w:tcBorders>
              <w:top w:val="single" w:sz="4" w:space="0" w:color="auto"/>
              <w:left w:val="single" w:sz="4" w:space="0" w:color="auto"/>
              <w:bottom w:val="single" w:sz="4" w:space="0" w:color="auto"/>
              <w:right w:val="single" w:sz="4" w:space="0" w:color="auto"/>
            </w:tcBorders>
            <w:noWrap/>
            <w:vAlign w:val="center"/>
            <w:hideMark/>
          </w:tcPr>
          <w:p w14:paraId="44AB4746" w14:textId="77777777" w:rsidR="00653571" w:rsidRPr="008C5F1C" w:rsidRDefault="00653571" w:rsidP="00534127">
            <w:pPr>
              <w:spacing w:after="60"/>
              <w:rPr>
                <w:rFonts w:ascii="Times New Roman" w:eastAsia="Calibri" w:hAnsi="Times New Roman" w:cs="Times New Roman"/>
                <w:bCs/>
                <w:noProof/>
                <w:szCs w:val="20"/>
                <w:lang w:eastAsia="en-GB"/>
              </w:rPr>
            </w:pPr>
            <w:r w:rsidRPr="008C5F1C">
              <w:rPr>
                <w:rFonts w:ascii="Times New Roman" w:eastAsia="Calibri" w:hAnsi="Times New Roman" w:cs="Times New Roman"/>
                <w:bCs/>
                <w:noProof/>
                <w:szCs w:val="20"/>
                <w:lang w:eastAsia="en-GB"/>
              </w:rPr>
              <w:t>1.7 Intermediate deliverables (if applicable) triggering reimbursement by the Commission with schedule for reimbursements</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9DA1F45" w14:textId="77777777" w:rsidR="00653571" w:rsidRPr="008C5F1C" w:rsidRDefault="00653571" w:rsidP="00534127">
            <w:pPr>
              <w:spacing w:after="60"/>
              <w:jc w:val="center"/>
              <w:rPr>
                <w:rFonts w:ascii="Times New Roman" w:eastAsia="Calibri" w:hAnsi="Times New Roman" w:cs="Times New Roman"/>
                <w:noProof/>
                <w:szCs w:val="20"/>
                <w:lang w:eastAsia="en-GB"/>
              </w:rPr>
            </w:pPr>
            <w:r w:rsidRPr="008C5F1C">
              <w:rPr>
                <w:rFonts w:ascii="Times New Roman" w:eastAsia="Calibri" w:hAnsi="Times New Roman" w:cs="Times New Roman"/>
                <w:noProof/>
                <w:szCs w:val="20"/>
                <w:lang w:eastAsia="en-GB"/>
              </w:rPr>
              <w:t xml:space="preserve">Intermediate deliverables </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FEE87E9" w14:textId="77777777" w:rsidR="00653571" w:rsidRPr="008C5F1C" w:rsidRDefault="00653571" w:rsidP="00534127">
            <w:pPr>
              <w:spacing w:after="60"/>
              <w:jc w:val="center"/>
              <w:rPr>
                <w:rFonts w:ascii="Times New Roman" w:eastAsia="Calibri" w:hAnsi="Times New Roman" w:cs="Times New Roman"/>
                <w:noProof/>
                <w:szCs w:val="20"/>
                <w:lang w:eastAsia="en-GB"/>
              </w:rPr>
            </w:pPr>
            <w:r w:rsidRPr="008C5F1C">
              <w:rPr>
                <w:rFonts w:ascii="Times New Roman" w:eastAsia="Calibri" w:hAnsi="Times New Roman" w:cs="Times New Roman"/>
                <w:noProof/>
                <w:szCs w:val="20"/>
                <w:lang w:eastAsia="en-GB"/>
              </w:rPr>
              <w:t>Date</w:t>
            </w:r>
          </w:p>
        </w:tc>
        <w:tc>
          <w:tcPr>
            <w:tcW w:w="1097" w:type="dxa"/>
            <w:tcBorders>
              <w:top w:val="single" w:sz="4" w:space="0" w:color="auto"/>
              <w:left w:val="single" w:sz="4" w:space="0" w:color="auto"/>
              <w:bottom w:val="single" w:sz="4" w:space="0" w:color="auto"/>
              <w:right w:val="single" w:sz="4" w:space="0" w:color="auto"/>
            </w:tcBorders>
            <w:vAlign w:val="center"/>
            <w:hideMark/>
          </w:tcPr>
          <w:p w14:paraId="3CE0DA93" w14:textId="77777777" w:rsidR="00653571" w:rsidRPr="008C5F1C" w:rsidRDefault="00653571" w:rsidP="00534127">
            <w:pPr>
              <w:spacing w:after="60"/>
              <w:jc w:val="center"/>
              <w:rPr>
                <w:rFonts w:ascii="Times New Roman" w:eastAsia="Calibri" w:hAnsi="Times New Roman" w:cs="Times New Roman"/>
                <w:noProof/>
                <w:szCs w:val="20"/>
                <w:lang w:eastAsia="en-GB"/>
              </w:rPr>
            </w:pPr>
            <w:r w:rsidRPr="008C5F1C">
              <w:rPr>
                <w:rFonts w:ascii="Times New Roman" w:eastAsia="Calibri" w:hAnsi="Times New Roman" w:cs="Times New Roman"/>
                <w:noProof/>
                <w:szCs w:val="20"/>
                <w:lang w:eastAsia="en-GB"/>
              </w:rPr>
              <w:t>Amounts</w:t>
            </w:r>
          </w:p>
        </w:tc>
      </w:tr>
      <w:tr w:rsidR="00653571" w:rsidRPr="008C5F1C" w14:paraId="09C72238" w14:textId="77777777" w:rsidTr="00534127">
        <w:trPr>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BF390E" w14:textId="77777777" w:rsidR="00653571" w:rsidRPr="008C5F1C" w:rsidRDefault="00653571" w:rsidP="00534127">
            <w:pPr>
              <w:spacing w:after="0"/>
              <w:rPr>
                <w:rFonts w:ascii="Times New Roman" w:eastAsia="Calibri" w:hAnsi="Times New Roman" w:cs="Times New Roman"/>
                <w:bCs/>
                <w:noProof/>
                <w:szCs w:val="20"/>
                <w:lang w:eastAsia="en-GB"/>
              </w:rPr>
            </w:pPr>
          </w:p>
        </w:tc>
        <w:tc>
          <w:tcPr>
            <w:tcW w:w="2280" w:type="dxa"/>
            <w:tcBorders>
              <w:top w:val="single" w:sz="4" w:space="0" w:color="auto"/>
              <w:left w:val="single" w:sz="4" w:space="0" w:color="auto"/>
              <w:bottom w:val="single" w:sz="4" w:space="0" w:color="auto"/>
              <w:right w:val="single" w:sz="4" w:space="0" w:color="auto"/>
            </w:tcBorders>
            <w:vAlign w:val="center"/>
          </w:tcPr>
          <w:p w14:paraId="63FC8708" w14:textId="77777777" w:rsidR="00653571" w:rsidRPr="008C5F1C" w:rsidRDefault="00653571" w:rsidP="00534127">
            <w:pPr>
              <w:spacing w:after="60"/>
              <w:jc w:val="center"/>
              <w:rPr>
                <w:rFonts w:ascii="Times New Roman" w:eastAsia="Calibri" w:hAnsi="Times New Roman" w:cs="Times New Roman"/>
                <w:noProof/>
                <w:szCs w:val="20"/>
                <w:lang w:eastAsia="en-GB"/>
              </w:rPr>
            </w:pPr>
          </w:p>
        </w:tc>
        <w:tc>
          <w:tcPr>
            <w:tcW w:w="1474" w:type="dxa"/>
            <w:tcBorders>
              <w:top w:val="single" w:sz="4" w:space="0" w:color="auto"/>
              <w:left w:val="single" w:sz="4" w:space="0" w:color="auto"/>
              <w:bottom w:val="single" w:sz="4" w:space="0" w:color="auto"/>
              <w:right w:val="single" w:sz="4" w:space="0" w:color="auto"/>
            </w:tcBorders>
            <w:vAlign w:val="center"/>
          </w:tcPr>
          <w:p w14:paraId="69D5198B" w14:textId="77777777" w:rsidR="00653571" w:rsidRPr="008C5F1C" w:rsidRDefault="00653571" w:rsidP="00534127">
            <w:pPr>
              <w:spacing w:after="60"/>
              <w:jc w:val="center"/>
              <w:rPr>
                <w:rFonts w:ascii="Times New Roman" w:eastAsia="Calibri" w:hAnsi="Times New Roman" w:cs="Times New Roman"/>
                <w:noProof/>
                <w:szCs w:val="20"/>
                <w:lang w:eastAsia="en-GB"/>
              </w:rPr>
            </w:pPr>
          </w:p>
        </w:tc>
        <w:tc>
          <w:tcPr>
            <w:tcW w:w="1097" w:type="dxa"/>
            <w:tcBorders>
              <w:top w:val="single" w:sz="4" w:space="0" w:color="auto"/>
              <w:left w:val="single" w:sz="4" w:space="0" w:color="auto"/>
              <w:bottom w:val="single" w:sz="4" w:space="0" w:color="auto"/>
              <w:right w:val="single" w:sz="4" w:space="0" w:color="auto"/>
            </w:tcBorders>
            <w:vAlign w:val="center"/>
          </w:tcPr>
          <w:p w14:paraId="2F41C8F5" w14:textId="77777777" w:rsidR="00653571" w:rsidRPr="008C5F1C" w:rsidRDefault="00653571" w:rsidP="00534127">
            <w:pPr>
              <w:spacing w:after="60"/>
              <w:jc w:val="center"/>
              <w:rPr>
                <w:rFonts w:ascii="Times New Roman" w:eastAsia="Calibri" w:hAnsi="Times New Roman" w:cs="Times New Roman"/>
                <w:noProof/>
                <w:szCs w:val="20"/>
                <w:lang w:eastAsia="en-GB"/>
              </w:rPr>
            </w:pPr>
          </w:p>
        </w:tc>
      </w:tr>
      <w:tr w:rsidR="00653571" w:rsidRPr="008C5F1C" w14:paraId="4AB7473A" w14:textId="77777777" w:rsidTr="00534127">
        <w:trPr>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786F33" w14:textId="77777777" w:rsidR="00653571" w:rsidRPr="008C5F1C" w:rsidRDefault="00653571" w:rsidP="00534127">
            <w:pPr>
              <w:spacing w:after="0"/>
              <w:rPr>
                <w:rFonts w:ascii="Times New Roman" w:eastAsia="Calibri" w:hAnsi="Times New Roman" w:cs="Times New Roman"/>
                <w:bCs/>
                <w:noProof/>
                <w:szCs w:val="20"/>
                <w:lang w:eastAsia="en-GB"/>
              </w:rPr>
            </w:pPr>
          </w:p>
        </w:tc>
        <w:tc>
          <w:tcPr>
            <w:tcW w:w="2280" w:type="dxa"/>
            <w:tcBorders>
              <w:top w:val="single" w:sz="4" w:space="0" w:color="auto"/>
              <w:left w:val="single" w:sz="4" w:space="0" w:color="auto"/>
              <w:bottom w:val="single" w:sz="4" w:space="0" w:color="auto"/>
              <w:right w:val="single" w:sz="4" w:space="0" w:color="auto"/>
            </w:tcBorders>
            <w:vAlign w:val="center"/>
          </w:tcPr>
          <w:p w14:paraId="224EBB7D" w14:textId="77777777" w:rsidR="00653571" w:rsidRPr="008C5F1C" w:rsidRDefault="00653571" w:rsidP="00534127">
            <w:pPr>
              <w:spacing w:after="60"/>
              <w:jc w:val="center"/>
              <w:rPr>
                <w:rFonts w:ascii="Times New Roman" w:eastAsia="Calibri" w:hAnsi="Times New Roman" w:cs="Times New Roman"/>
                <w:noProof/>
                <w:szCs w:val="20"/>
                <w:lang w:eastAsia="en-GB"/>
              </w:rPr>
            </w:pPr>
          </w:p>
        </w:tc>
        <w:tc>
          <w:tcPr>
            <w:tcW w:w="1474" w:type="dxa"/>
            <w:tcBorders>
              <w:top w:val="single" w:sz="4" w:space="0" w:color="auto"/>
              <w:left w:val="single" w:sz="4" w:space="0" w:color="auto"/>
              <w:bottom w:val="single" w:sz="4" w:space="0" w:color="auto"/>
              <w:right w:val="single" w:sz="4" w:space="0" w:color="auto"/>
            </w:tcBorders>
            <w:vAlign w:val="center"/>
          </w:tcPr>
          <w:p w14:paraId="417B7A95" w14:textId="77777777" w:rsidR="00653571" w:rsidRPr="008C5F1C" w:rsidRDefault="00653571" w:rsidP="00534127">
            <w:pPr>
              <w:spacing w:after="60"/>
              <w:jc w:val="center"/>
              <w:rPr>
                <w:rFonts w:ascii="Times New Roman" w:eastAsia="Calibri" w:hAnsi="Times New Roman" w:cs="Times New Roman"/>
                <w:noProof/>
                <w:szCs w:val="20"/>
                <w:lang w:eastAsia="en-GB"/>
              </w:rPr>
            </w:pPr>
          </w:p>
        </w:tc>
        <w:tc>
          <w:tcPr>
            <w:tcW w:w="1097" w:type="dxa"/>
            <w:tcBorders>
              <w:top w:val="single" w:sz="4" w:space="0" w:color="auto"/>
              <w:left w:val="single" w:sz="4" w:space="0" w:color="auto"/>
              <w:bottom w:val="single" w:sz="4" w:space="0" w:color="auto"/>
              <w:right w:val="single" w:sz="4" w:space="0" w:color="auto"/>
            </w:tcBorders>
            <w:vAlign w:val="center"/>
          </w:tcPr>
          <w:p w14:paraId="391A8D9B" w14:textId="77777777" w:rsidR="00653571" w:rsidRPr="008C5F1C" w:rsidRDefault="00653571" w:rsidP="00534127">
            <w:pPr>
              <w:spacing w:after="60"/>
              <w:jc w:val="center"/>
              <w:rPr>
                <w:rFonts w:ascii="Times New Roman" w:eastAsia="Calibri" w:hAnsi="Times New Roman" w:cs="Times New Roman"/>
                <w:noProof/>
                <w:szCs w:val="20"/>
                <w:lang w:eastAsia="en-GB"/>
              </w:rPr>
            </w:pPr>
          </w:p>
        </w:tc>
      </w:tr>
      <w:tr w:rsidR="00653571" w:rsidRPr="008C5F1C" w14:paraId="59CCAD79" w14:textId="77777777" w:rsidTr="00534127">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743466B1" w14:textId="77777777" w:rsidR="00653571" w:rsidRPr="008C5F1C" w:rsidRDefault="00653571" w:rsidP="00534127">
            <w:pPr>
              <w:spacing w:after="60"/>
              <w:rPr>
                <w:rFonts w:ascii="Times New Roman" w:eastAsia="Calibri" w:hAnsi="Times New Roman" w:cs="Times New Roman"/>
                <w:bCs/>
                <w:noProof/>
                <w:szCs w:val="20"/>
                <w:lang w:eastAsia="en-GB"/>
              </w:rPr>
            </w:pPr>
            <w:r w:rsidRPr="008C5F1C">
              <w:rPr>
                <w:rFonts w:ascii="Times New Roman" w:eastAsia="Calibri" w:hAnsi="Times New Roman" w:cs="Times New Roman"/>
                <w:bCs/>
                <w:noProof/>
                <w:szCs w:val="20"/>
                <w:lang w:eastAsia="en-GB"/>
              </w:rPr>
              <w:t>1.8 Total amount (including EU and national funding)</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1954805A" w14:textId="77777777" w:rsidR="00653571" w:rsidRPr="008C5F1C" w:rsidRDefault="00653571" w:rsidP="00534127">
            <w:pPr>
              <w:spacing w:after="60"/>
              <w:jc w:val="center"/>
              <w:rPr>
                <w:rFonts w:ascii="Times New Roman" w:eastAsia="Calibri" w:hAnsi="Times New Roman" w:cs="Times New Roman"/>
                <w:noProof/>
                <w:szCs w:val="20"/>
                <w:lang w:eastAsia="en-GB"/>
              </w:rPr>
            </w:pPr>
          </w:p>
        </w:tc>
      </w:tr>
      <w:tr w:rsidR="00653571" w:rsidRPr="008C5F1C" w14:paraId="4E57C529" w14:textId="77777777" w:rsidTr="00534127">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1C27DE51" w14:textId="77777777" w:rsidR="00653571" w:rsidRPr="008C5F1C" w:rsidRDefault="00653571" w:rsidP="00534127">
            <w:pPr>
              <w:spacing w:after="60"/>
              <w:rPr>
                <w:rFonts w:ascii="Times New Roman" w:eastAsia="Calibri" w:hAnsi="Times New Roman" w:cs="Times New Roman"/>
                <w:bCs/>
                <w:noProof/>
                <w:szCs w:val="20"/>
                <w:lang w:eastAsia="en-GB"/>
              </w:rPr>
            </w:pPr>
            <w:r w:rsidRPr="008C5F1C">
              <w:rPr>
                <w:rFonts w:ascii="Times New Roman" w:eastAsia="Calibri" w:hAnsi="Times New Roman" w:cs="Times New Roman"/>
                <w:bCs/>
                <w:noProof/>
                <w:szCs w:val="20"/>
                <w:lang w:eastAsia="en-GB"/>
              </w:rPr>
              <w:t>1.9 Adjustment(s) method</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4088775B" w14:textId="77777777" w:rsidR="00653571" w:rsidRPr="008C5F1C" w:rsidRDefault="00653571" w:rsidP="00534127">
            <w:pPr>
              <w:spacing w:after="60"/>
              <w:jc w:val="center"/>
              <w:rPr>
                <w:rFonts w:ascii="Times New Roman" w:eastAsia="Calibri" w:hAnsi="Times New Roman" w:cs="Times New Roman"/>
                <w:i/>
                <w:noProof/>
                <w:szCs w:val="20"/>
                <w:lang w:eastAsia="en-GB"/>
              </w:rPr>
            </w:pPr>
          </w:p>
        </w:tc>
      </w:tr>
      <w:tr w:rsidR="00653571" w:rsidRPr="008C5F1C" w14:paraId="5BCA6054" w14:textId="77777777" w:rsidTr="00534127">
        <w:trPr>
          <w:trHeight w:val="300"/>
        </w:trPr>
        <w:tc>
          <w:tcPr>
            <w:tcW w:w="4095" w:type="dxa"/>
            <w:tcBorders>
              <w:top w:val="single" w:sz="4" w:space="0" w:color="auto"/>
              <w:left w:val="single" w:sz="4" w:space="0" w:color="auto"/>
              <w:bottom w:val="single" w:sz="4" w:space="0" w:color="auto"/>
              <w:right w:val="single" w:sz="4" w:space="0" w:color="auto"/>
            </w:tcBorders>
            <w:noWrap/>
            <w:vAlign w:val="center"/>
          </w:tcPr>
          <w:p w14:paraId="18338D57" w14:textId="77777777" w:rsidR="00653571" w:rsidRPr="008C5F1C" w:rsidRDefault="00653571" w:rsidP="00534127">
            <w:pPr>
              <w:spacing w:after="60"/>
              <w:rPr>
                <w:rFonts w:ascii="Times New Roman" w:eastAsia="Calibri" w:hAnsi="Times New Roman" w:cs="Times New Roman"/>
                <w:noProof/>
                <w:szCs w:val="20"/>
                <w:lang w:eastAsia="en-GB"/>
              </w:rPr>
            </w:pPr>
            <w:r w:rsidRPr="008C5F1C">
              <w:rPr>
                <w:rFonts w:ascii="Times New Roman" w:eastAsia="Calibri" w:hAnsi="Times New Roman" w:cs="Times New Roman"/>
                <w:bCs/>
                <w:noProof/>
                <w:szCs w:val="20"/>
                <w:lang w:eastAsia="en-GB"/>
              </w:rPr>
              <w:lastRenderedPageBreak/>
              <w:t xml:space="preserve">1.10 </w:t>
            </w:r>
            <w:r w:rsidRPr="008C5F1C">
              <w:rPr>
                <w:rFonts w:ascii="Times New Roman" w:eastAsia="Calibri" w:hAnsi="Times New Roman" w:cs="Times New Roman"/>
                <w:noProof/>
                <w:szCs w:val="20"/>
                <w:lang w:eastAsia="en-GB"/>
              </w:rPr>
              <w:t>Verification of the achievement of the result or condition (and where relevant, the intermediate deliverables)</w:t>
            </w:r>
          </w:p>
          <w:p w14:paraId="0CC1F51C" w14:textId="77777777" w:rsidR="00653571" w:rsidRPr="008C5F1C" w:rsidRDefault="00653571" w:rsidP="00534127">
            <w:pPr>
              <w:spacing w:after="60"/>
              <w:rPr>
                <w:rFonts w:ascii="Times New Roman" w:eastAsia="Calibri" w:hAnsi="Times New Roman" w:cs="Times New Roman"/>
                <w:noProof/>
                <w:szCs w:val="20"/>
                <w:lang w:eastAsia="en-GB"/>
              </w:rPr>
            </w:pPr>
            <w:r w:rsidRPr="008C5F1C">
              <w:rPr>
                <w:rFonts w:ascii="Times New Roman" w:eastAsia="Calibri" w:hAnsi="Times New Roman" w:cs="Times New Roman"/>
                <w:noProof/>
                <w:szCs w:val="20"/>
                <w:lang w:eastAsia="en-GB"/>
              </w:rPr>
              <w:t>- describe what document(s) will be used to verify the achievement of the result or condition</w:t>
            </w:r>
          </w:p>
          <w:p w14:paraId="07E4F6FC" w14:textId="77777777" w:rsidR="00653571" w:rsidRPr="008C5F1C" w:rsidRDefault="00653571" w:rsidP="00534127">
            <w:pPr>
              <w:spacing w:after="60"/>
              <w:rPr>
                <w:rFonts w:ascii="Times New Roman" w:eastAsia="Calibri" w:hAnsi="Times New Roman" w:cs="Times New Roman"/>
                <w:noProof/>
                <w:szCs w:val="20"/>
                <w:lang w:eastAsia="en-GB"/>
              </w:rPr>
            </w:pPr>
            <w:r w:rsidRPr="008C5F1C">
              <w:rPr>
                <w:rFonts w:ascii="Times New Roman" w:eastAsia="Calibri" w:hAnsi="Times New Roman" w:cs="Times New Roman"/>
                <w:noProof/>
                <w:szCs w:val="20"/>
                <w:lang w:eastAsia="en-GB"/>
              </w:rPr>
              <w:t>- describe what will be checked during management verifications (including on-the-spot), and by whom.</w:t>
            </w:r>
          </w:p>
          <w:p w14:paraId="75E3E3C8" w14:textId="77777777" w:rsidR="00653571" w:rsidRPr="008C5F1C" w:rsidRDefault="00653571" w:rsidP="00534127">
            <w:pPr>
              <w:spacing w:after="60"/>
              <w:rPr>
                <w:rFonts w:ascii="Times New Roman" w:eastAsia="Calibri" w:hAnsi="Times New Roman" w:cs="Times New Roman"/>
                <w:noProof/>
                <w:szCs w:val="20"/>
                <w:lang w:eastAsia="en-GB"/>
              </w:rPr>
            </w:pPr>
            <w:r w:rsidRPr="008C5F1C">
              <w:rPr>
                <w:rFonts w:ascii="Times New Roman" w:eastAsia="Calibri" w:hAnsi="Times New Roman" w:cs="Times New Roman"/>
                <w:noProof/>
                <w:szCs w:val="20"/>
                <w:lang w:eastAsia="en-GB"/>
              </w:rPr>
              <w:t xml:space="preserve">- describe what are the arrangements to collect and store the data/documents  </w:t>
            </w:r>
          </w:p>
          <w:p w14:paraId="42A65F60" w14:textId="77777777" w:rsidR="00653571" w:rsidRPr="008C5F1C" w:rsidRDefault="00653571" w:rsidP="00534127">
            <w:pPr>
              <w:spacing w:after="60"/>
              <w:rPr>
                <w:rFonts w:ascii="Times New Roman" w:eastAsia="Calibri" w:hAnsi="Times New Roman" w:cs="Times New Roman"/>
                <w:bCs/>
                <w:noProof/>
                <w:szCs w:val="20"/>
                <w:lang w:eastAsia="en-GB"/>
              </w:rPr>
            </w:pP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03A5B920" w14:textId="77777777" w:rsidR="00653571" w:rsidRPr="008C5F1C" w:rsidRDefault="00653571" w:rsidP="00534127">
            <w:pPr>
              <w:spacing w:after="60"/>
              <w:jc w:val="center"/>
              <w:rPr>
                <w:rFonts w:ascii="Times New Roman" w:eastAsia="Calibri" w:hAnsi="Times New Roman" w:cs="Times New Roman"/>
                <w:noProof/>
                <w:szCs w:val="20"/>
                <w:lang w:eastAsia="en-GB"/>
              </w:rPr>
            </w:pPr>
          </w:p>
          <w:p w14:paraId="07BBAC89" w14:textId="77777777" w:rsidR="00653571" w:rsidRPr="008C5F1C" w:rsidRDefault="00653571" w:rsidP="00534127">
            <w:pPr>
              <w:spacing w:after="60"/>
              <w:jc w:val="center"/>
              <w:rPr>
                <w:rFonts w:ascii="Times New Roman" w:eastAsia="Calibri" w:hAnsi="Times New Roman" w:cs="Times New Roman"/>
                <w:noProof/>
                <w:szCs w:val="20"/>
                <w:lang w:eastAsia="en-GB"/>
              </w:rPr>
            </w:pPr>
          </w:p>
          <w:p w14:paraId="45D6C82E" w14:textId="77777777" w:rsidR="00653571" w:rsidRPr="008C5F1C" w:rsidRDefault="00653571" w:rsidP="00534127">
            <w:pPr>
              <w:spacing w:after="60"/>
              <w:jc w:val="center"/>
              <w:rPr>
                <w:rFonts w:ascii="Times New Roman" w:eastAsia="Calibri" w:hAnsi="Times New Roman" w:cs="Times New Roman"/>
                <w:noProof/>
                <w:szCs w:val="20"/>
                <w:lang w:eastAsia="en-GB"/>
              </w:rPr>
            </w:pPr>
          </w:p>
        </w:tc>
      </w:tr>
      <w:tr w:rsidR="00653571" w:rsidRPr="008C5F1C" w14:paraId="51B863AC" w14:textId="77777777" w:rsidTr="00534127">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7DDE6BA0" w14:textId="77777777" w:rsidR="00653571" w:rsidRPr="008C5F1C" w:rsidRDefault="00653571" w:rsidP="00534127">
            <w:pPr>
              <w:spacing w:after="60"/>
              <w:rPr>
                <w:rFonts w:ascii="Times New Roman" w:eastAsia="Calibri" w:hAnsi="Times New Roman" w:cs="Times New Roman"/>
                <w:noProof/>
                <w:szCs w:val="20"/>
                <w:lang w:eastAsia="en-GB"/>
              </w:rPr>
            </w:pPr>
            <w:r w:rsidRPr="008C5F1C">
              <w:rPr>
                <w:rFonts w:ascii="Times New Roman" w:eastAsia="Calibri" w:hAnsi="Times New Roman" w:cs="Times New Roman"/>
                <w:noProof/>
                <w:szCs w:val="20"/>
                <w:lang w:eastAsia="en-GB"/>
              </w:rPr>
              <w:t>1.10a Use of grants in the form of financing not linked to costs</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58D3D5A8" w14:textId="77777777" w:rsidR="00653571" w:rsidRPr="008C5F1C" w:rsidRDefault="00653571" w:rsidP="00534127">
            <w:pPr>
              <w:spacing w:after="60"/>
              <w:jc w:val="center"/>
              <w:rPr>
                <w:rFonts w:ascii="Times New Roman" w:eastAsia="Calibri" w:hAnsi="Times New Roman" w:cs="Times New Roman"/>
                <w:b/>
                <w:noProof/>
                <w:szCs w:val="20"/>
                <w:u w:val="single"/>
                <w:lang w:eastAsia="en-GB"/>
              </w:rPr>
            </w:pPr>
          </w:p>
        </w:tc>
      </w:tr>
      <w:tr w:rsidR="00653571" w:rsidRPr="008C5F1C" w14:paraId="69DCB817" w14:textId="77777777" w:rsidTr="00534127">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29D4AEED" w14:textId="77777777" w:rsidR="00653571" w:rsidRPr="008C5F1C" w:rsidRDefault="00653571" w:rsidP="00534127">
            <w:pPr>
              <w:spacing w:after="60"/>
              <w:rPr>
                <w:rFonts w:ascii="Times New Roman" w:eastAsia="Calibri" w:hAnsi="Times New Roman" w:cs="Times New Roman"/>
                <w:noProof/>
                <w:szCs w:val="20"/>
                <w:lang w:eastAsia="fr-LU"/>
              </w:rPr>
            </w:pPr>
            <w:r w:rsidRPr="008C5F1C">
              <w:rPr>
                <w:rFonts w:ascii="Times New Roman" w:eastAsia="Calibri" w:hAnsi="Times New Roman" w:cs="Times New Roman"/>
                <w:noProof/>
                <w:szCs w:val="20"/>
                <w:lang w:eastAsia="en-GB"/>
              </w:rPr>
              <w:t xml:space="preserve">1.11 </w:t>
            </w:r>
            <w:r w:rsidRPr="008C5F1C">
              <w:rPr>
                <w:rFonts w:ascii="Times New Roman" w:eastAsia="Calibri" w:hAnsi="Times New Roman" w:cs="Times New Roman"/>
                <w:noProof/>
                <w:szCs w:val="20"/>
                <w:lang w:eastAsia="fr-LU"/>
              </w:rPr>
              <w:t xml:space="preserve">Arrangements to ensure the audit trail </w:t>
            </w:r>
          </w:p>
          <w:p w14:paraId="5F479416" w14:textId="77777777" w:rsidR="00653571" w:rsidRPr="008C5F1C" w:rsidRDefault="00653571" w:rsidP="00534127">
            <w:pPr>
              <w:spacing w:after="60"/>
              <w:rPr>
                <w:rFonts w:ascii="Times New Roman" w:eastAsia="Calibri" w:hAnsi="Times New Roman" w:cs="Times New Roman"/>
                <w:bCs/>
                <w:noProof/>
                <w:szCs w:val="20"/>
                <w:lang w:eastAsia="en-GB"/>
              </w:rPr>
            </w:pPr>
            <w:r w:rsidRPr="008C5F1C">
              <w:rPr>
                <w:rFonts w:ascii="Times New Roman" w:eastAsia="Calibri" w:hAnsi="Times New Roman" w:cs="Times New Roman"/>
                <w:noProof/>
                <w:szCs w:val="20"/>
                <w:lang w:eastAsia="fr-LU"/>
              </w:rPr>
              <w:t>Please list the body(ies) responsible for these arrangements.</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5808EF99" w14:textId="77777777" w:rsidR="00653571" w:rsidRPr="008C5F1C" w:rsidRDefault="00653571" w:rsidP="00534127">
            <w:pPr>
              <w:spacing w:after="60"/>
              <w:jc w:val="center"/>
              <w:rPr>
                <w:rFonts w:ascii="Times New Roman" w:eastAsia="Calibri" w:hAnsi="Times New Roman" w:cs="Times New Roman"/>
                <w:noProof/>
                <w:szCs w:val="20"/>
                <w:lang w:eastAsia="en-GB"/>
              </w:rPr>
            </w:pPr>
          </w:p>
        </w:tc>
      </w:tr>
    </w:tbl>
    <w:p w14:paraId="538F3FB1" w14:textId="77777777" w:rsidR="00653571" w:rsidRPr="008C5F1C" w:rsidRDefault="00653571" w:rsidP="00653571">
      <w:pPr>
        <w:spacing w:after="0"/>
        <w:rPr>
          <w:rFonts w:ascii="Times New Roman" w:hAnsi="Times New Roman" w:cs="Times New Roman"/>
          <w:noProof/>
        </w:rPr>
        <w:sectPr w:rsidR="00653571" w:rsidRPr="008C5F1C" w:rsidSect="00534127">
          <w:pgSz w:w="11906" w:h="16838"/>
          <w:pgMar w:top="1134" w:right="1134" w:bottom="1134" w:left="1134" w:header="567" w:footer="567" w:gutter="0"/>
          <w:cols w:space="720"/>
          <w:docGrid w:linePitch="326"/>
        </w:sectPr>
      </w:pPr>
    </w:p>
    <w:p w14:paraId="398B5460" w14:textId="77777777" w:rsidR="00653571" w:rsidRPr="008C5F1C" w:rsidRDefault="00653571" w:rsidP="00653571">
      <w:pPr>
        <w:rPr>
          <w:rFonts w:ascii="Times New Roman" w:eastAsia="Times New Roman" w:hAnsi="Times New Roman" w:cs="Times New Roman"/>
          <w:b/>
          <w:i/>
          <w:noProof/>
          <w:szCs w:val="24"/>
        </w:rPr>
      </w:pPr>
      <w:r w:rsidRPr="008C5F1C">
        <w:rPr>
          <w:rFonts w:ascii="Times New Roman" w:eastAsia="Times New Roman" w:hAnsi="Times New Roman" w:cs="Times New Roman"/>
          <w:b/>
          <w:i/>
          <w:noProof/>
          <w:szCs w:val="24"/>
        </w:rPr>
        <w:lastRenderedPageBreak/>
        <w:t xml:space="preserve">Appendix 2a: </w:t>
      </w:r>
      <w:r w:rsidRPr="008C5F1C">
        <w:rPr>
          <w:rFonts w:ascii="Times New Roman" w:eastAsia="Times New Roman" w:hAnsi="Times New Roman" w:cs="Times New Roman"/>
          <w:b/>
          <w:i/>
          <w:noProof/>
          <w:szCs w:val="24"/>
        </w:rPr>
        <w:tab/>
        <w:t>List of planned operations of strategic importance- Article 17(3)</w:t>
      </w:r>
    </w:p>
    <w:p w14:paraId="3130B002" w14:textId="77777777" w:rsidR="00653571" w:rsidRPr="008C5F1C" w:rsidRDefault="00653571" w:rsidP="00653571">
      <w:pPr>
        <w:rPr>
          <w:rFonts w:ascii="Times New Roman" w:hAnsi="Times New Roman" w:cs="Times New Roman"/>
          <w:b/>
          <w:strike/>
          <w:noProof/>
          <w:szCs w:val="24"/>
        </w:rPr>
      </w:pPr>
    </w:p>
    <w:p w14:paraId="33DCFAFE" w14:textId="006CB377" w:rsidR="00653571" w:rsidRPr="008C5F1C" w:rsidRDefault="00653571" w:rsidP="00653571">
      <w:pPr>
        <w:pBdr>
          <w:top w:val="single" w:sz="4" w:space="1" w:color="auto"/>
          <w:left w:val="single" w:sz="4" w:space="4" w:color="auto"/>
          <w:bottom w:val="single" w:sz="4" w:space="1" w:color="auto"/>
          <w:right w:val="single" w:sz="4" w:space="4" w:color="auto"/>
        </w:pBdr>
        <w:rPr>
          <w:rFonts w:ascii="Times New Roman" w:eastAsia="Times New Roman" w:hAnsi="Times New Roman" w:cs="Times New Roman"/>
          <w:i/>
          <w:iCs/>
          <w:noProof/>
          <w:szCs w:val="24"/>
        </w:rPr>
      </w:pPr>
      <w:r w:rsidRPr="008C5F1C">
        <w:rPr>
          <w:rFonts w:ascii="Times New Roman" w:eastAsia="Times New Roman" w:hAnsi="Times New Roman" w:cs="Times New Roman"/>
          <w:i/>
          <w:iCs/>
          <w:noProof/>
          <w:szCs w:val="24"/>
        </w:rPr>
        <w:t>Text field [2 000]</w:t>
      </w:r>
    </w:p>
    <w:p w14:paraId="652D7DB9" w14:textId="70BE6DE2" w:rsidR="00F273B7" w:rsidRPr="008C5F1C" w:rsidRDefault="00E03D76" w:rsidP="00653571">
      <w:pPr>
        <w:pBdr>
          <w:top w:val="single" w:sz="4" w:space="1" w:color="auto"/>
          <w:left w:val="single" w:sz="4" w:space="4" w:color="auto"/>
          <w:bottom w:val="single" w:sz="4" w:space="1" w:color="auto"/>
          <w:right w:val="single" w:sz="4" w:space="4" w:color="auto"/>
        </w:pBdr>
        <w:rPr>
          <w:rFonts w:ascii="Times New Roman" w:eastAsia="Times New Roman" w:hAnsi="Times New Roman" w:cs="Times New Roman"/>
          <w:i/>
          <w:noProof/>
        </w:rPr>
      </w:pPr>
      <w:r w:rsidRPr="008C5F1C">
        <w:rPr>
          <w:rFonts w:ascii="Times New Roman" w:eastAsia="Times New Roman" w:hAnsi="Times New Roman" w:cs="Times New Roman"/>
          <w:i/>
          <w:noProof/>
        </w:rPr>
        <w:t>NU ESTE CAZUL</w:t>
      </w:r>
    </w:p>
    <w:p w14:paraId="3F95B9F1" w14:textId="77777777" w:rsidR="00653571" w:rsidRPr="008C5F1C" w:rsidRDefault="00653571" w:rsidP="00653571">
      <w:pPr>
        <w:rPr>
          <w:rFonts w:ascii="Times New Roman" w:hAnsi="Times New Roman" w:cs="Times New Roman"/>
        </w:rPr>
      </w:pPr>
    </w:p>
    <w:p w14:paraId="6E0B19F4" w14:textId="77777777" w:rsidR="00653571" w:rsidRPr="008C5F1C" w:rsidRDefault="00653571" w:rsidP="00653571">
      <w:pPr>
        <w:rPr>
          <w:rFonts w:ascii="Times New Roman" w:hAnsi="Times New Roman" w:cs="Times New Roman"/>
          <w:b/>
          <w:noProof/>
          <w:szCs w:val="24"/>
          <w:u w:val="single"/>
        </w:rPr>
      </w:pPr>
    </w:p>
    <w:p w14:paraId="3AEFA9D1" w14:textId="77777777" w:rsidR="00653571" w:rsidRPr="008C5F1C" w:rsidRDefault="00653571" w:rsidP="00653571">
      <w:pPr>
        <w:rPr>
          <w:rFonts w:ascii="Times New Roman" w:hAnsi="Times New Roman" w:cs="Times New Roman"/>
          <w:strike/>
        </w:rPr>
      </w:pPr>
    </w:p>
    <w:p w14:paraId="17527A4A" w14:textId="77777777" w:rsidR="00653571" w:rsidRPr="008C5F1C" w:rsidRDefault="00653571" w:rsidP="00653571">
      <w:pPr>
        <w:rPr>
          <w:rFonts w:ascii="Times New Roman" w:hAnsi="Times New Roman" w:cs="Times New Roman"/>
          <w:b/>
          <w:noProof/>
          <w:szCs w:val="24"/>
        </w:rPr>
      </w:pPr>
      <w:r w:rsidRPr="008C5F1C">
        <w:rPr>
          <w:rFonts w:ascii="Times New Roman" w:eastAsia="Times New Roman" w:hAnsi="Times New Roman" w:cs="Times New Roman"/>
          <w:b/>
          <w:i/>
          <w:strike/>
          <w:noProof/>
          <w:szCs w:val="24"/>
        </w:rPr>
        <w:br w:type="page"/>
      </w:r>
      <w:r w:rsidRPr="008C5F1C">
        <w:rPr>
          <w:rFonts w:ascii="Times New Roman" w:eastAsia="Times New Roman" w:hAnsi="Times New Roman" w:cs="Times New Roman"/>
          <w:b/>
          <w:i/>
          <w:noProof/>
          <w:szCs w:val="24"/>
        </w:rPr>
        <w:lastRenderedPageBreak/>
        <w:t xml:space="preserve">Appendix 4: </w:t>
      </w:r>
      <w:r w:rsidRPr="008C5F1C">
        <w:rPr>
          <w:rFonts w:ascii="Times New Roman" w:eastAsia="Times New Roman" w:hAnsi="Times New Roman" w:cs="Times New Roman"/>
          <w:b/>
          <w:i/>
          <w:noProof/>
          <w:szCs w:val="24"/>
        </w:rPr>
        <w:tab/>
      </w:r>
      <w:r w:rsidRPr="008C5F1C">
        <w:rPr>
          <w:rFonts w:ascii="Times New Roman" w:hAnsi="Times New Roman" w:cs="Times New Roman"/>
          <w:b/>
          <w:noProof/>
          <w:szCs w:val="24"/>
        </w:rPr>
        <w:t>EMFF action plan for each outermost region</w:t>
      </w:r>
    </w:p>
    <w:p w14:paraId="522A27AC" w14:textId="77777777" w:rsidR="00653571" w:rsidRPr="008C5F1C" w:rsidRDefault="00653571" w:rsidP="00653571">
      <w:pPr>
        <w:jc w:val="center"/>
        <w:rPr>
          <w:rFonts w:ascii="Times New Roman" w:hAnsi="Times New Roman" w:cs="Times New Roman"/>
          <w:b/>
          <w:noProof/>
          <w:szCs w:val="24"/>
        </w:rPr>
      </w:pPr>
    </w:p>
    <w:p w14:paraId="3640D391" w14:textId="77777777" w:rsidR="00653571" w:rsidRPr="008C5F1C" w:rsidRDefault="00653571" w:rsidP="00653571">
      <w:pPr>
        <w:jc w:val="center"/>
        <w:rPr>
          <w:rFonts w:ascii="Times New Roman" w:hAnsi="Times New Roman" w:cs="Times New Roman"/>
          <w:b/>
          <w:noProof/>
          <w:szCs w:val="24"/>
          <w:u w:val="single"/>
        </w:rPr>
      </w:pPr>
      <w:r w:rsidRPr="008C5F1C">
        <w:rPr>
          <w:rFonts w:ascii="Times New Roman" w:hAnsi="Times New Roman" w:cs="Times New Roman"/>
          <w:b/>
          <w:noProof/>
          <w:szCs w:val="24"/>
          <w:u w:val="single"/>
        </w:rPr>
        <w:t>Template for submitting data for the consideration of the Commission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653571" w:rsidRPr="008C5F1C" w14:paraId="687D8299" w14:textId="77777777" w:rsidTr="00534127">
        <w:tc>
          <w:tcPr>
            <w:tcW w:w="4644" w:type="dxa"/>
            <w:tcBorders>
              <w:top w:val="single" w:sz="4" w:space="0" w:color="auto"/>
              <w:left w:val="single" w:sz="4" w:space="0" w:color="auto"/>
              <w:bottom w:val="single" w:sz="4" w:space="0" w:color="auto"/>
              <w:right w:val="single" w:sz="4" w:space="0" w:color="auto"/>
            </w:tcBorders>
            <w:hideMark/>
          </w:tcPr>
          <w:p w14:paraId="70013299" w14:textId="77777777" w:rsidR="00653571" w:rsidRPr="008C5F1C" w:rsidRDefault="00653571" w:rsidP="00534127">
            <w:pPr>
              <w:rPr>
                <w:rFonts w:ascii="Times New Roman" w:hAnsi="Times New Roman" w:cs="Times New Roman"/>
                <w:noProof/>
                <w:szCs w:val="24"/>
              </w:rPr>
            </w:pPr>
            <w:r w:rsidRPr="008C5F1C">
              <w:rPr>
                <w:rFonts w:ascii="Times New Roman" w:hAnsi="Times New Roman" w:cs="Times New Roman"/>
                <w:noProof/>
                <w:szCs w:val="24"/>
              </w:rPr>
              <w:t>Date of submitting the proposal</w:t>
            </w:r>
          </w:p>
        </w:tc>
        <w:tc>
          <w:tcPr>
            <w:tcW w:w="4644" w:type="dxa"/>
            <w:tcBorders>
              <w:top w:val="single" w:sz="4" w:space="0" w:color="auto"/>
              <w:left w:val="single" w:sz="4" w:space="0" w:color="auto"/>
              <w:bottom w:val="single" w:sz="4" w:space="0" w:color="auto"/>
              <w:right w:val="single" w:sz="4" w:space="0" w:color="auto"/>
            </w:tcBorders>
          </w:tcPr>
          <w:p w14:paraId="78FEF803" w14:textId="77777777" w:rsidR="00653571" w:rsidRPr="008C5F1C" w:rsidRDefault="00653571" w:rsidP="00534127">
            <w:pPr>
              <w:rPr>
                <w:rFonts w:ascii="Times New Roman" w:hAnsi="Times New Roman" w:cs="Times New Roman"/>
                <w:noProof/>
                <w:szCs w:val="24"/>
              </w:rPr>
            </w:pPr>
          </w:p>
        </w:tc>
      </w:tr>
      <w:tr w:rsidR="00653571" w:rsidRPr="008C5F1C" w14:paraId="37F69E70" w14:textId="77777777" w:rsidTr="00534127">
        <w:tc>
          <w:tcPr>
            <w:tcW w:w="4644" w:type="dxa"/>
            <w:tcBorders>
              <w:top w:val="single" w:sz="4" w:space="0" w:color="auto"/>
              <w:left w:val="single" w:sz="4" w:space="0" w:color="auto"/>
              <w:bottom w:val="single" w:sz="4" w:space="0" w:color="auto"/>
              <w:right w:val="single" w:sz="4" w:space="0" w:color="auto"/>
            </w:tcBorders>
            <w:hideMark/>
          </w:tcPr>
          <w:p w14:paraId="32081CFF" w14:textId="77777777" w:rsidR="00653571" w:rsidRPr="008C5F1C" w:rsidRDefault="00653571" w:rsidP="00534127">
            <w:pPr>
              <w:rPr>
                <w:rFonts w:ascii="Times New Roman" w:hAnsi="Times New Roman" w:cs="Times New Roman"/>
                <w:noProof/>
                <w:szCs w:val="24"/>
              </w:rPr>
            </w:pPr>
            <w:r w:rsidRPr="008C5F1C">
              <w:rPr>
                <w:rFonts w:ascii="Times New Roman" w:hAnsi="Times New Roman" w:cs="Times New Roman"/>
                <w:noProof/>
                <w:szCs w:val="24"/>
              </w:rPr>
              <w:t xml:space="preserve">Current version </w:t>
            </w:r>
          </w:p>
        </w:tc>
        <w:tc>
          <w:tcPr>
            <w:tcW w:w="4644" w:type="dxa"/>
            <w:tcBorders>
              <w:top w:val="single" w:sz="4" w:space="0" w:color="auto"/>
              <w:left w:val="single" w:sz="4" w:space="0" w:color="auto"/>
              <w:bottom w:val="single" w:sz="4" w:space="0" w:color="auto"/>
              <w:right w:val="single" w:sz="4" w:space="0" w:color="auto"/>
            </w:tcBorders>
          </w:tcPr>
          <w:p w14:paraId="7C4D2E50" w14:textId="77777777" w:rsidR="00653571" w:rsidRPr="008C5F1C" w:rsidRDefault="00653571" w:rsidP="00534127">
            <w:pPr>
              <w:rPr>
                <w:rFonts w:ascii="Times New Roman" w:hAnsi="Times New Roman" w:cs="Times New Roman"/>
                <w:noProof/>
                <w:szCs w:val="24"/>
              </w:rPr>
            </w:pPr>
          </w:p>
        </w:tc>
      </w:tr>
    </w:tbl>
    <w:p w14:paraId="0B28ED68" w14:textId="77777777" w:rsidR="00653571" w:rsidRPr="008C5F1C" w:rsidRDefault="00653571" w:rsidP="00653571">
      <w:pPr>
        <w:jc w:val="center"/>
        <w:rPr>
          <w:rFonts w:ascii="Times New Roman" w:hAnsi="Times New Roman" w:cs="Times New Roman"/>
          <w:b/>
          <w:noProof/>
          <w:szCs w:val="24"/>
        </w:rPr>
      </w:pPr>
    </w:p>
    <w:p w14:paraId="3C286388" w14:textId="77777777" w:rsidR="00653571" w:rsidRPr="008C5F1C" w:rsidRDefault="00653571" w:rsidP="00653571">
      <w:pPr>
        <w:rPr>
          <w:rFonts w:ascii="Times New Roman" w:eastAsia="Times New Roman" w:hAnsi="Times New Roman" w:cs="Times New Roman"/>
          <w:b/>
          <w:iCs/>
          <w:noProof/>
          <w:szCs w:val="24"/>
        </w:rPr>
      </w:pPr>
      <w:r w:rsidRPr="008C5F1C">
        <w:rPr>
          <w:rFonts w:ascii="Times New Roman" w:eastAsia="Times New Roman" w:hAnsi="Times New Roman" w:cs="Times New Roman"/>
          <w:b/>
          <w:noProof/>
          <w:szCs w:val="24"/>
        </w:rPr>
        <w:t>1. Description of the strategy for the sustainable exploitation of fisheries and the development of the sustainable blue economy</w:t>
      </w:r>
    </w:p>
    <w:p w14:paraId="747F2D72" w14:textId="77777777" w:rsidR="00653571" w:rsidRPr="008C5F1C" w:rsidRDefault="00653571" w:rsidP="00653571">
      <w:pPr>
        <w:rPr>
          <w:rFonts w:ascii="Times New Roman" w:eastAsia="Times New Roman" w:hAnsi="Times New Roman" w:cs="Times New Roman"/>
          <w:b/>
          <w:iCs/>
          <w:noProof/>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653571" w:rsidRPr="008C5F1C" w14:paraId="5C320A7C" w14:textId="77777777" w:rsidTr="00534127">
        <w:tc>
          <w:tcPr>
            <w:tcW w:w="9288" w:type="dxa"/>
            <w:tcBorders>
              <w:top w:val="single" w:sz="4" w:space="0" w:color="auto"/>
              <w:left w:val="single" w:sz="4" w:space="0" w:color="auto"/>
              <w:bottom w:val="single" w:sz="4" w:space="0" w:color="auto"/>
              <w:right w:val="single" w:sz="4" w:space="0" w:color="auto"/>
            </w:tcBorders>
            <w:hideMark/>
          </w:tcPr>
          <w:p w14:paraId="4DFF74D6" w14:textId="77777777" w:rsidR="00653571" w:rsidRPr="008C5F1C" w:rsidRDefault="00653571" w:rsidP="00534127">
            <w:pPr>
              <w:rPr>
                <w:rFonts w:ascii="Times New Roman" w:eastAsia="Times New Roman" w:hAnsi="Times New Roman" w:cs="Times New Roman"/>
                <w:i/>
                <w:noProof/>
              </w:rPr>
            </w:pPr>
            <w:r w:rsidRPr="008C5F1C">
              <w:rPr>
                <w:rFonts w:ascii="Times New Roman" w:eastAsia="Times New Roman" w:hAnsi="Times New Roman" w:cs="Times New Roman"/>
                <w:i/>
                <w:iCs/>
                <w:noProof/>
              </w:rPr>
              <w:t>Text field [30 000]</w:t>
            </w:r>
          </w:p>
        </w:tc>
      </w:tr>
    </w:tbl>
    <w:p w14:paraId="06C92199" w14:textId="77777777" w:rsidR="00653571" w:rsidRPr="008C5F1C" w:rsidRDefault="00653571" w:rsidP="00653571">
      <w:pPr>
        <w:jc w:val="center"/>
        <w:rPr>
          <w:rFonts w:ascii="Times New Roman" w:eastAsia="Times New Roman" w:hAnsi="Times New Roman" w:cs="Times New Roman"/>
          <w:b/>
          <w:noProof/>
          <w:szCs w:val="24"/>
        </w:rPr>
      </w:pPr>
    </w:p>
    <w:p w14:paraId="6D1AA94B" w14:textId="77777777" w:rsidR="00653571" w:rsidRPr="008C5F1C" w:rsidRDefault="00653571" w:rsidP="00653571">
      <w:pPr>
        <w:rPr>
          <w:rFonts w:ascii="Times New Roman" w:eastAsia="Times New Roman" w:hAnsi="Times New Roman" w:cs="Times New Roman"/>
          <w:b/>
          <w:noProof/>
          <w:szCs w:val="24"/>
        </w:rPr>
      </w:pPr>
      <w:r w:rsidRPr="008C5F1C">
        <w:rPr>
          <w:rFonts w:ascii="Times New Roman" w:eastAsia="Times New Roman" w:hAnsi="Times New Roman" w:cs="Times New Roman"/>
          <w:b/>
          <w:noProof/>
          <w:szCs w:val="24"/>
        </w:rPr>
        <w:t>2. Description of the main actions envisaged and the corresponding financial means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7"/>
        <w:gridCol w:w="2801"/>
      </w:tblGrid>
      <w:tr w:rsidR="00653571" w:rsidRPr="008C5F1C" w14:paraId="2C42084F" w14:textId="77777777" w:rsidTr="00534127">
        <w:tc>
          <w:tcPr>
            <w:tcW w:w="6487" w:type="dxa"/>
            <w:tcBorders>
              <w:top w:val="single" w:sz="4" w:space="0" w:color="auto"/>
              <w:left w:val="single" w:sz="4" w:space="0" w:color="auto"/>
              <w:bottom w:val="single" w:sz="4" w:space="0" w:color="auto"/>
              <w:right w:val="single" w:sz="4" w:space="0" w:color="auto"/>
            </w:tcBorders>
            <w:hideMark/>
          </w:tcPr>
          <w:p w14:paraId="32DDA3B9" w14:textId="77777777" w:rsidR="00653571" w:rsidRPr="008C5F1C" w:rsidRDefault="00653571" w:rsidP="00534127">
            <w:pPr>
              <w:spacing w:before="240" w:after="240"/>
              <w:rPr>
                <w:rFonts w:ascii="Times New Roman" w:eastAsia="Times New Roman" w:hAnsi="Times New Roman" w:cs="Times New Roman"/>
                <w:b/>
                <w:noProof/>
                <w:szCs w:val="24"/>
              </w:rPr>
            </w:pPr>
            <w:r w:rsidRPr="008C5F1C">
              <w:rPr>
                <w:rFonts w:ascii="Times New Roman" w:eastAsia="Times New Roman" w:hAnsi="Times New Roman" w:cs="Times New Roman"/>
                <w:b/>
                <w:noProof/>
                <w:szCs w:val="24"/>
              </w:rPr>
              <w:t>Description of the main actions</w:t>
            </w:r>
          </w:p>
        </w:tc>
        <w:tc>
          <w:tcPr>
            <w:tcW w:w="2801" w:type="dxa"/>
            <w:tcBorders>
              <w:top w:val="single" w:sz="4" w:space="0" w:color="auto"/>
              <w:left w:val="single" w:sz="4" w:space="0" w:color="auto"/>
              <w:bottom w:val="single" w:sz="4" w:space="0" w:color="auto"/>
              <w:right w:val="single" w:sz="4" w:space="0" w:color="auto"/>
            </w:tcBorders>
            <w:hideMark/>
          </w:tcPr>
          <w:p w14:paraId="7BDEC53F" w14:textId="77777777" w:rsidR="00653571" w:rsidRPr="008C5F1C" w:rsidRDefault="00653571" w:rsidP="00534127">
            <w:pPr>
              <w:spacing w:before="240" w:after="240"/>
              <w:rPr>
                <w:rFonts w:ascii="Times New Roman" w:eastAsia="Times New Roman" w:hAnsi="Times New Roman" w:cs="Times New Roman"/>
                <w:b/>
                <w:noProof/>
                <w:szCs w:val="24"/>
              </w:rPr>
            </w:pPr>
            <w:r w:rsidRPr="008C5F1C">
              <w:rPr>
                <w:rFonts w:ascii="Times New Roman" w:eastAsia="Times New Roman" w:hAnsi="Times New Roman" w:cs="Times New Roman"/>
                <w:b/>
                <w:noProof/>
                <w:szCs w:val="24"/>
              </w:rPr>
              <w:t xml:space="preserve">EMFF amount allocated (EUR) </w:t>
            </w:r>
          </w:p>
        </w:tc>
      </w:tr>
      <w:tr w:rsidR="00653571" w:rsidRPr="008C5F1C" w14:paraId="7433783F" w14:textId="77777777" w:rsidTr="00534127">
        <w:tc>
          <w:tcPr>
            <w:tcW w:w="6487" w:type="dxa"/>
            <w:tcBorders>
              <w:top w:val="single" w:sz="4" w:space="0" w:color="auto"/>
              <w:left w:val="single" w:sz="4" w:space="0" w:color="auto"/>
              <w:bottom w:val="single" w:sz="4" w:space="0" w:color="auto"/>
              <w:right w:val="single" w:sz="4" w:space="0" w:color="auto"/>
            </w:tcBorders>
            <w:hideMark/>
          </w:tcPr>
          <w:p w14:paraId="7C459371" w14:textId="77777777" w:rsidR="00653571" w:rsidRPr="008C5F1C" w:rsidRDefault="00653571" w:rsidP="00534127">
            <w:pPr>
              <w:spacing w:before="240" w:after="240"/>
              <w:rPr>
                <w:rFonts w:ascii="Times New Roman" w:eastAsia="Times New Roman" w:hAnsi="Times New Roman" w:cs="Times New Roman"/>
                <w:noProof/>
                <w:szCs w:val="24"/>
              </w:rPr>
            </w:pPr>
            <w:r w:rsidRPr="008C5F1C">
              <w:rPr>
                <w:rFonts w:ascii="Times New Roman" w:eastAsia="Times New Roman" w:hAnsi="Times New Roman" w:cs="Times New Roman"/>
                <w:noProof/>
                <w:szCs w:val="24"/>
              </w:rPr>
              <w:t xml:space="preserve">Structural support to the fishery and aquaculture sector under the EMFF </w:t>
            </w:r>
          </w:p>
          <w:p w14:paraId="1436409A" w14:textId="77777777" w:rsidR="00653571" w:rsidRPr="008C5F1C" w:rsidRDefault="00653571" w:rsidP="00534127">
            <w:pPr>
              <w:spacing w:before="240" w:after="240"/>
              <w:rPr>
                <w:rFonts w:ascii="Times New Roman" w:eastAsia="Times New Roman" w:hAnsi="Times New Roman" w:cs="Times New Roman"/>
                <w:noProof/>
                <w:szCs w:val="24"/>
              </w:rPr>
            </w:pPr>
            <w:r w:rsidRPr="008C5F1C">
              <w:rPr>
                <w:rFonts w:ascii="Times New Roman" w:eastAsia="Times New Roman" w:hAnsi="Times New Roman" w:cs="Times New Roman"/>
                <w:i/>
                <w:iCs/>
                <w:noProof/>
              </w:rPr>
              <w:t>Text field [10 000]</w:t>
            </w:r>
          </w:p>
        </w:tc>
        <w:tc>
          <w:tcPr>
            <w:tcW w:w="2801" w:type="dxa"/>
            <w:tcBorders>
              <w:top w:val="single" w:sz="4" w:space="0" w:color="auto"/>
              <w:left w:val="single" w:sz="4" w:space="0" w:color="auto"/>
              <w:bottom w:val="single" w:sz="4" w:space="0" w:color="auto"/>
              <w:right w:val="single" w:sz="4" w:space="0" w:color="auto"/>
            </w:tcBorders>
          </w:tcPr>
          <w:p w14:paraId="005912D0" w14:textId="77777777" w:rsidR="00653571" w:rsidRPr="008C5F1C" w:rsidRDefault="00653571" w:rsidP="00534127">
            <w:pPr>
              <w:spacing w:before="240" w:after="240"/>
              <w:rPr>
                <w:rFonts w:ascii="Times New Roman" w:eastAsia="Times New Roman" w:hAnsi="Times New Roman" w:cs="Times New Roman"/>
                <w:noProof/>
                <w:szCs w:val="24"/>
              </w:rPr>
            </w:pPr>
          </w:p>
        </w:tc>
      </w:tr>
      <w:tr w:rsidR="00653571" w:rsidRPr="008C5F1C" w14:paraId="2873928A" w14:textId="77777777" w:rsidTr="00534127">
        <w:tc>
          <w:tcPr>
            <w:tcW w:w="6487" w:type="dxa"/>
            <w:tcBorders>
              <w:top w:val="single" w:sz="4" w:space="0" w:color="auto"/>
              <w:left w:val="single" w:sz="4" w:space="0" w:color="auto"/>
              <w:bottom w:val="single" w:sz="4" w:space="0" w:color="auto"/>
              <w:right w:val="single" w:sz="4" w:space="0" w:color="auto"/>
            </w:tcBorders>
            <w:hideMark/>
          </w:tcPr>
          <w:p w14:paraId="7598FC0D" w14:textId="77777777" w:rsidR="00653571" w:rsidRPr="008C5F1C" w:rsidRDefault="00653571" w:rsidP="00534127">
            <w:pPr>
              <w:spacing w:before="240" w:after="240"/>
              <w:rPr>
                <w:rFonts w:ascii="Times New Roman" w:eastAsia="Times New Roman" w:hAnsi="Times New Roman" w:cs="Times New Roman"/>
                <w:i/>
                <w:iCs/>
                <w:noProof/>
              </w:rPr>
            </w:pPr>
            <w:r w:rsidRPr="008C5F1C">
              <w:rPr>
                <w:rFonts w:ascii="Times New Roman" w:eastAsia="Times New Roman" w:hAnsi="Times New Roman" w:cs="Times New Roman"/>
                <w:noProof/>
                <w:szCs w:val="24"/>
              </w:rPr>
              <w:t>Compensation for the additional costs under Article 21 of the EMFF</w:t>
            </w:r>
            <w:r w:rsidRPr="008C5F1C">
              <w:rPr>
                <w:rFonts w:ascii="Times New Roman" w:eastAsia="Times New Roman" w:hAnsi="Times New Roman" w:cs="Times New Roman"/>
                <w:i/>
                <w:iCs/>
                <w:noProof/>
              </w:rPr>
              <w:t xml:space="preserve"> </w:t>
            </w:r>
          </w:p>
          <w:p w14:paraId="090A6DFF" w14:textId="77777777" w:rsidR="00653571" w:rsidRPr="008C5F1C" w:rsidRDefault="00653571" w:rsidP="00534127">
            <w:pPr>
              <w:spacing w:before="240" w:after="240"/>
              <w:rPr>
                <w:rFonts w:ascii="Times New Roman" w:eastAsia="Times New Roman" w:hAnsi="Times New Roman" w:cs="Times New Roman"/>
                <w:noProof/>
                <w:szCs w:val="24"/>
              </w:rPr>
            </w:pPr>
            <w:r w:rsidRPr="008C5F1C">
              <w:rPr>
                <w:rFonts w:ascii="Times New Roman" w:eastAsia="Times New Roman" w:hAnsi="Times New Roman" w:cs="Times New Roman"/>
                <w:i/>
                <w:iCs/>
                <w:noProof/>
              </w:rPr>
              <w:lastRenderedPageBreak/>
              <w:t>Text field [10 000]</w:t>
            </w:r>
          </w:p>
        </w:tc>
        <w:tc>
          <w:tcPr>
            <w:tcW w:w="2801" w:type="dxa"/>
            <w:tcBorders>
              <w:top w:val="single" w:sz="4" w:space="0" w:color="auto"/>
              <w:left w:val="single" w:sz="4" w:space="0" w:color="auto"/>
              <w:bottom w:val="single" w:sz="4" w:space="0" w:color="auto"/>
              <w:right w:val="single" w:sz="4" w:space="0" w:color="auto"/>
            </w:tcBorders>
          </w:tcPr>
          <w:p w14:paraId="702A7912" w14:textId="77777777" w:rsidR="00653571" w:rsidRPr="008C5F1C" w:rsidRDefault="00653571" w:rsidP="00534127">
            <w:pPr>
              <w:spacing w:before="240" w:after="240"/>
              <w:rPr>
                <w:rFonts w:ascii="Times New Roman" w:eastAsia="Times New Roman" w:hAnsi="Times New Roman" w:cs="Times New Roman"/>
                <w:noProof/>
                <w:szCs w:val="24"/>
              </w:rPr>
            </w:pPr>
          </w:p>
        </w:tc>
      </w:tr>
      <w:tr w:rsidR="00653571" w:rsidRPr="008C5F1C" w14:paraId="02355D36" w14:textId="77777777" w:rsidTr="00534127">
        <w:tc>
          <w:tcPr>
            <w:tcW w:w="6487" w:type="dxa"/>
            <w:tcBorders>
              <w:top w:val="single" w:sz="4" w:space="0" w:color="auto"/>
              <w:left w:val="single" w:sz="4" w:space="0" w:color="auto"/>
              <w:bottom w:val="single" w:sz="4" w:space="0" w:color="auto"/>
              <w:right w:val="single" w:sz="4" w:space="0" w:color="auto"/>
            </w:tcBorders>
            <w:hideMark/>
          </w:tcPr>
          <w:p w14:paraId="74C97A4B" w14:textId="77777777" w:rsidR="00653571" w:rsidRPr="008C5F1C" w:rsidRDefault="00653571" w:rsidP="00534127">
            <w:pPr>
              <w:spacing w:before="240" w:after="240"/>
              <w:rPr>
                <w:rFonts w:ascii="Times New Roman" w:eastAsia="Times New Roman" w:hAnsi="Times New Roman" w:cs="Times New Roman"/>
                <w:i/>
                <w:iCs/>
                <w:noProof/>
              </w:rPr>
            </w:pPr>
            <w:r w:rsidRPr="008C5F1C">
              <w:rPr>
                <w:rFonts w:ascii="Times New Roman" w:eastAsia="Times New Roman" w:hAnsi="Times New Roman" w:cs="Times New Roman"/>
                <w:noProof/>
                <w:szCs w:val="24"/>
              </w:rPr>
              <w:t>Other investments in the sustainable blue economy necessary to achieve a sustainable coastal development</w:t>
            </w:r>
            <w:r w:rsidRPr="008C5F1C">
              <w:rPr>
                <w:rFonts w:ascii="Times New Roman" w:eastAsia="Times New Roman" w:hAnsi="Times New Roman" w:cs="Times New Roman"/>
                <w:i/>
                <w:iCs/>
                <w:noProof/>
              </w:rPr>
              <w:t xml:space="preserve"> </w:t>
            </w:r>
          </w:p>
          <w:p w14:paraId="706577FE" w14:textId="77777777" w:rsidR="00653571" w:rsidRPr="008C5F1C" w:rsidRDefault="00653571" w:rsidP="00534127">
            <w:pPr>
              <w:spacing w:before="240" w:after="240"/>
              <w:rPr>
                <w:rFonts w:ascii="Times New Roman" w:eastAsia="Times New Roman" w:hAnsi="Times New Roman" w:cs="Times New Roman"/>
                <w:noProof/>
                <w:szCs w:val="24"/>
              </w:rPr>
            </w:pPr>
            <w:r w:rsidRPr="008C5F1C">
              <w:rPr>
                <w:rFonts w:ascii="Times New Roman" w:eastAsia="Times New Roman" w:hAnsi="Times New Roman" w:cs="Times New Roman"/>
                <w:i/>
                <w:iCs/>
                <w:noProof/>
              </w:rPr>
              <w:t>Text field [10 000]</w:t>
            </w:r>
          </w:p>
        </w:tc>
        <w:tc>
          <w:tcPr>
            <w:tcW w:w="2801" w:type="dxa"/>
            <w:tcBorders>
              <w:top w:val="single" w:sz="4" w:space="0" w:color="auto"/>
              <w:left w:val="single" w:sz="4" w:space="0" w:color="auto"/>
              <w:bottom w:val="single" w:sz="4" w:space="0" w:color="auto"/>
              <w:right w:val="single" w:sz="4" w:space="0" w:color="auto"/>
            </w:tcBorders>
          </w:tcPr>
          <w:p w14:paraId="7FB94913" w14:textId="77777777" w:rsidR="00653571" w:rsidRPr="008C5F1C" w:rsidRDefault="00653571" w:rsidP="00534127">
            <w:pPr>
              <w:spacing w:before="240" w:after="240"/>
              <w:rPr>
                <w:rFonts w:ascii="Times New Roman" w:eastAsia="Times New Roman" w:hAnsi="Times New Roman" w:cs="Times New Roman"/>
                <w:noProof/>
                <w:szCs w:val="24"/>
              </w:rPr>
            </w:pPr>
          </w:p>
        </w:tc>
      </w:tr>
    </w:tbl>
    <w:p w14:paraId="5445851B" w14:textId="77777777" w:rsidR="00653571" w:rsidRPr="008C5F1C" w:rsidRDefault="00653571" w:rsidP="00653571">
      <w:pPr>
        <w:rPr>
          <w:rFonts w:ascii="Times New Roman" w:hAnsi="Times New Roman" w:cs="Times New Roman"/>
        </w:rPr>
      </w:pPr>
    </w:p>
    <w:p w14:paraId="0A104843" w14:textId="77777777" w:rsidR="00653571" w:rsidRPr="008C5F1C" w:rsidRDefault="00653571" w:rsidP="00653571">
      <w:pPr>
        <w:rPr>
          <w:rFonts w:ascii="Times New Roman" w:eastAsia="Times New Roman" w:hAnsi="Times New Roman" w:cs="Times New Roman"/>
          <w:b/>
          <w:noProof/>
          <w:szCs w:val="24"/>
        </w:rPr>
      </w:pPr>
      <w:r w:rsidRPr="008C5F1C">
        <w:rPr>
          <w:rFonts w:ascii="Times New Roman" w:eastAsia="Times New Roman" w:hAnsi="Times New Roman" w:cs="Times New Roman"/>
          <w:b/>
          <w:noProof/>
          <w:szCs w:val="24"/>
        </w:rPr>
        <w:t>3. Description of the synergies with other sources of Union funding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653571" w:rsidRPr="008C5F1C" w14:paraId="76D7AFCF" w14:textId="77777777" w:rsidTr="00534127">
        <w:tc>
          <w:tcPr>
            <w:tcW w:w="9288" w:type="dxa"/>
            <w:tcBorders>
              <w:top w:val="single" w:sz="4" w:space="0" w:color="auto"/>
              <w:left w:val="single" w:sz="4" w:space="0" w:color="auto"/>
              <w:bottom w:val="single" w:sz="4" w:space="0" w:color="auto"/>
              <w:right w:val="single" w:sz="4" w:space="0" w:color="auto"/>
            </w:tcBorders>
            <w:hideMark/>
          </w:tcPr>
          <w:p w14:paraId="2DB0E897" w14:textId="77777777" w:rsidR="00653571" w:rsidRPr="008C5F1C" w:rsidRDefault="00653571" w:rsidP="00534127">
            <w:pPr>
              <w:rPr>
                <w:rFonts w:ascii="Times New Roman" w:eastAsia="Times New Roman" w:hAnsi="Times New Roman" w:cs="Times New Roman"/>
                <w:i/>
                <w:noProof/>
              </w:rPr>
            </w:pPr>
            <w:r w:rsidRPr="008C5F1C">
              <w:rPr>
                <w:rFonts w:ascii="Times New Roman" w:eastAsia="Times New Roman" w:hAnsi="Times New Roman" w:cs="Times New Roman"/>
                <w:i/>
                <w:iCs/>
                <w:noProof/>
              </w:rPr>
              <w:t>Text field [10 000]</w:t>
            </w:r>
          </w:p>
        </w:tc>
      </w:tr>
    </w:tbl>
    <w:p w14:paraId="4B8098ED" w14:textId="77777777" w:rsidR="00653571" w:rsidRPr="008C5F1C" w:rsidRDefault="00653571" w:rsidP="00653571">
      <w:pPr>
        <w:spacing w:after="160" w:line="256" w:lineRule="auto"/>
        <w:rPr>
          <w:rFonts w:ascii="Times New Roman" w:hAnsi="Times New Roman" w:cs="Times New Roman"/>
        </w:rPr>
      </w:pPr>
    </w:p>
    <w:p w14:paraId="1F779856" w14:textId="77777777" w:rsidR="002D1C39" w:rsidRPr="008C5F1C" w:rsidRDefault="002D1C39">
      <w:pPr>
        <w:rPr>
          <w:rFonts w:ascii="Times New Roman" w:hAnsi="Times New Roman" w:cs="Times New Roman"/>
        </w:rPr>
      </w:pPr>
    </w:p>
    <w:sectPr w:rsidR="002D1C39" w:rsidRPr="008C5F1C" w:rsidSect="00534127">
      <w:headerReference w:type="default" r:id="rId21"/>
      <w:footerReference w:type="default" r:id="rId22"/>
      <w:pgSz w:w="16838" w:h="11906" w:orient="landscape"/>
      <w:pgMar w:top="1134" w:right="1134" w:bottom="1134" w:left="1134"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CDD165" w14:textId="77777777" w:rsidR="00AD12F7" w:rsidRDefault="00AD12F7" w:rsidP="00653571">
      <w:pPr>
        <w:spacing w:after="0" w:line="240" w:lineRule="auto"/>
      </w:pPr>
      <w:r>
        <w:separator/>
      </w:r>
    </w:p>
  </w:endnote>
  <w:endnote w:type="continuationSeparator" w:id="0">
    <w:p w14:paraId="5FCDECC5" w14:textId="77777777" w:rsidR="00AD12F7" w:rsidRDefault="00AD12F7" w:rsidP="006535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Helvetica Neue">
    <w:panose1 w:val="00000000000000000000"/>
    <w:charset w:val="00"/>
    <w:family w:val="swiss"/>
    <w:notTrueType/>
    <w:pitch w:val="default"/>
    <w:sig w:usb0="00000003" w:usb1="00000000" w:usb2="00000000" w:usb3="00000000" w:csb0="00000001" w:csb1="00000000"/>
  </w:font>
  <w:font w:name="AngsanaUPC">
    <w:panose1 w:val="02020603050405020304"/>
    <w:charset w:val="DE"/>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Layout w:type="fixed"/>
      <w:tblCellMar>
        <w:left w:w="0" w:type="dxa"/>
        <w:right w:w="0" w:type="dxa"/>
      </w:tblCellMar>
      <w:tblLook w:val="01E0" w:firstRow="1" w:lastRow="1" w:firstColumn="1" w:lastColumn="1" w:noHBand="0" w:noVBand="0"/>
    </w:tblPr>
    <w:tblGrid>
      <w:gridCol w:w="3421"/>
      <w:gridCol w:w="1399"/>
      <w:gridCol w:w="1205"/>
      <w:gridCol w:w="200"/>
      <w:gridCol w:w="1430"/>
      <w:gridCol w:w="848"/>
      <w:gridCol w:w="1135"/>
    </w:tblGrid>
    <w:tr w:rsidR="0016447E" w:rsidRPr="00D94637" w14:paraId="6B7E9DC5" w14:textId="77777777" w:rsidTr="00534127">
      <w:trPr>
        <w:jc w:val="center"/>
      </w:trPr>
      <w:tc>
        <w:tcPr>
          <w:tcW w:w="5000" w:type="pct"/>
          <w:gridSpan w:val="7"/>
          <w:shd w:val="clear" w:color="auto" w:fill="auto"/>
          <w:tcMar>
            <w:top w:w="57" w:type="dxa"/>
          </w:tcMar>
        </w:tcPr>
        <w:p w14:paraId="75FC4F64" w14:textId="77777777" w:rsidR="0016447E" w:rsidRPr="00D94637" w:rsidRDefault="0016447E" w:rsidP="00534127">
          <w:pPr>
            <w:pStyle w:val="FooterText"/>
            <w:pBdr>
              <w:top w:val="single" w:sz="4" w:space="1" w:color="auto"/>
            </w:pBdr>
            <w:spacing w:before="200"/>
            <w:rPr>
              <w:sz w:val="2"/>
              <w:szCs w:val="2"/>
            </w:rPr>
          </w:pPr>
        </w:p>
      </w:tc>
    </w:tr>
    <w:tr w:rsidR="0016447E" w:rsidRPr="00B310DC" w14:paraId="3924CDEB" w14:textId="77777777" w:rsidTr="00534127">
      <w:trPr>
        <w:jc w:val="center"/>
      </w:trPr>
      <w:tc>
        <w:tcPr>
          <w:tcW w:w="2500" w:type="pct"/>
          <w:gridSpan w:val="2"/>
          <w:shd w:val="clear" w:color="auto" w:fill="auto"/>
          <w:tcMar>
            <w:top w:w="0" w:type="dxa"/>
          </w:tcMar>
        </w:tcPr>
        <w:p w14:paraId="737784E0" w14:textId="77777777" w:rsidR="0016447E" w:rsidRPr="00AD7BF2" w:rsidRDefault="0016447E" w:rsidP="00534127">
          <w:pPr>
            <w:pStyle w:val="FooterText"/>
          </w:pPr>
          <w:r>
            <w:t>10291/19</w:t>
          </w:r>
          <w:r w:rsidRPr="002511D8">
            <w:t xml:space="preserve"> </w:t>
          </w:r>
        </w:p>
      </w:tc>
      <w:tc>
        <w:tcPr>
          <w:tcW w:w="625" w:type="pct"/>
          <w:shd w:val="clear" w:color="auto" w:fill="auto"/>
          <w:tcMar>
            <w:top w:w="0" w:type="dxa"/>
          </w:tcMar>
        </w:tcPr>
        <w:p w14:paraId="4B317E62" w14:textId="77777777" w:rsidR="0016447E" w:rsidRPr="00AD7BF2" w:rsidRDefault="0016447E" w:rsidP="00534127">
          <w:pPr>
            <w:pStyle w:val="FooterText"/>
            <w:jc w:val="center"/>
          </w:pPr>
        </w:p>
      </w:tc>
      <w:tc>
        <w:tcPr>
          <w:tcW w:w="1286" w:type="pct"/>
          <w:gridSpan w:val="3"/>
          <w:shd w:val="clear" w:color="auto" w:fill="auto"/>
          <w:tcMar>
            <w:top w:w="0" w:type="dxa"/>
          </w:tcMar>
        </w:tcPr>
        <w:p w14:paraId="44CA5CED" w14:textId="77777777" w:rsidR="0016447E" w:rsidRPr="002511D8" w:rsidRDefault="0016447E" w:rsidP="00534127">
          <w:pPr>
            <w:pStyle w:val="FooterText"/>
            <w:jc w:val="center"/>
          </w:pPr>
          <w:r>
            <w:t>NTC/AFG/cs</w:t>
          </w:r>
        </w:p>
      </w:tc>
      <w:tc>
        <w:tcPr>
          <w:tcW w:w="589" w:type="pct"/>
          <w:shd w:val="clear" w:color="auto" w:fill="auto"/>
          <w:tcMar>
            <w:top w:w="0" w:type="dxa"/>
          </w:tcMar>
        </w:tcPr>
        <w:p w14:paraId="225BDC72" w14:textId="77777777" w:rsidR="0016447E" w:rsidRPr="00B310DC" w:rsidRDefault="0016447E" w:rsidP="00534127">
          <w:pPr>
            <w:pStyle w:val="FooterText"/>
            <w:jc w:val="right"/>
          </w:pPr>
          <w:r>
            <w:fldChar w:fldCharType="begin"/>
          </w:r>
          <w:r>
            <w:instrText xml:space="preserve"> PAGE  \* MERGEFORMAT </w:instrText>
          </w:r>
          <w:r>
            <w:fldChar w:fldCharType="separate"/>
          </w:r>
          <w:r>
            <w:rPr>
              <w:noProof/>
            </w:rPr>
            <w:t>64</w:t>
          </w:r>
          <w:r>
            <w:fldChar w:fldCharType="end"/>
          </w:r>
        </w:p>
      </w:tc>
    </w:tr>
    <w:tr w:rsidR="0016447E" w:rsidRPr="00D94637" w14:paraId="059226D6" w14:textId="77777777" w:rsidTr="00534127">
      <w:trPr>
        <w:jc w:val="center"/>
      </w:trPr>
      <w:tc>
        <w:tcPr>
          <w:tcW w:w="1774" w:type="pct"/>
          <w:shd w:val="clear" w:color="auto" w:fill="auto"/>
        </w:tcPr>
        <w:p w14:paraId="53FC754E" w14:textId="77777777" w:rsidR="0016447E" w:rsidRPr="00AD7BF2" w:rsidRDefault="0016447E" w:rsidP="00534127">
          <w:pPr>
            <w:pStyle w:val="FooterText"/>
            <w:spacing w:before="40"/>
          </w:pPr>
          <w:r>
            <w:t>ANNEX</w:t>
          </w:r>
        </w:p>
      </w:tc>
      <w:tc>
        <w:tcPr>
          <w:tcW w:w="1455" w:type="pct"/>
          <w:gridSpan w:val="3"/>
          <w:shd w:val="clear" w:color="auto" w:fill="auto"/>
        </w:tcPr>
        <w:p w14:paraId="172D0F60" w14:textId="77777777" w:rsidR="0016447E" w:rsidRPr="00AD7BF2" w:rsidRDefault="0016447E" w:rsidP="00534127">
          <w:pPr>
            <w:pStyle w:val="FooterText"/>
            <w:spacing w:before="40"/>
            <w:jc w:val="center"/>
          </w:pPr>
          <w:r>
            <w:t>ECOMP.</w:t>
          </w:r>
          <w:proofErr w:type="gramStart"/>
          <w:r>
            <w:t>2.B</w:t>
          </w:r>
          <w:proofErr w:type="gramEnd"/>
        </w:p>
      </w:tc>
      <w:tc>
        <w:tcPr>
          <w:tcW w:w="742" w:type="pct"/>
          <w:shd w:val="clear" w:color="auto" w:fill="auto"/>
        </w:tcPr>
        <w:p w14:paraId="36B387C7" w14:textId="77777777" w:rsidR="0016447E" w:rsidRPr="00D94637" w:rsidRDefault="0016447E" w:rsidP="00534127">
          <w:pPr>
            <w:pStyle w:val="FooterText"/>
            <w:jc w:val="center"/>
            <w:rPr>
              <w:b/>
              <w:position w:val="-4"/>
              <w:sz w:val="36"/>
            </w:rPr>
          </w:pPr>
        </w:p>
      </w:tc>
      <w:tc>
        <w:tcPr>
          <w:tcW w:w="1029" w:type="pct"/>
          <w:gridSpan w:val="2"/>
          <w:shd w:val="clear" w:color="auto" w:fill="auto"/>
        </w:tcPr>
        <w:p w14:paraId="206CB616" w14:textId="77777777" w:rsidR="0016447E" w:rsidRPr="000310C2" w:rsidRDefault="0016447E" w:rsidP="00534127">
          <w:pPr>
            <w:pStyle w:val="FooterText"/>
            <w:jc w:val="right"/>
            <w:rPr>
              <w:spacing w:val="-20"/>
              <w:sz w:val="16"/>
            </w:rPr>
          </w:pPr>
          <w:r>
            <w:rPr>
              <w:b/>
              <w:spacing w:val="-20"/>
              <w:position w:val="-4"/>
              <w:sz w:val="36"/>
            </w:rPr>
            <w:t>EN</w:t>
          </w:r>
        </w:p>
      </w:tc>
    </w:tr>
  </w:tbl>
  <w:p w14:paraId="52E8A619" w14:textId="77777777" w:rsidR="0016447E" w:rsidRPr="00674D71" w:rsidRDefault="0016447E" w:rsidP="00534127">
    <w:pPr>
      <w:pStyle w:val="FooterCounci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Layout w:type="fixed"/>
      <w:tblCellMar>
        <w:left w:w="0" w:type="dxa"/>
        <w:right w:w="0" w:type="dxa"/>
      </w:tblCellMar>
      <w:tblLook w:val="01E0" w:firstRow="1" w:lastRow="1" w:firstColumn="1" w:lastColumn="1" w:noHBand="0" w:noVBand="0"/>
    </w:tblPr>
    <w:tblGrid>
      <w:gridCol w:w="3421"/>
      <w:gridCol w:w="1399"/>
      <w:gridCol w:w="1205"/>
      <w:gridCol w:w="200"/>
      <w:gridCol w:w="1430"/>
      <w:gridCol w:w="848"/>
      <w:gridCol w:w="1135"/>
    </w:tblGrid>
    <w:tr w:rsidR="0016447E" w:rsidRPr="00D94637" w14:paraId="170ED827" w14:textId="77777777" w:rsidTr="00534127">
      <w:trPr>
        <w:jc w:val="center"/>
      </w:trPr>
      <w:tc>
        <w:tcPr>
          <w:tcW w:w="5000" w:type="pct"/>
          <w:gridSpan w:val="7"/>
          <w:shd w:val="clear" w:color="auto" w:fill="auto"/>
          <w:tcMar>
            <w:top w:w="57" w:type="dxa"/>
          </w:tcMar>
        </w:tcPr>
        <w:p w14:paraId="6EED0CBE" w14:textId="77777777" w:rsidR="0016447E" w:rsidRPr="00D94637" w:rsidRDefault="0016447E" w:rsidP="00534127">
          <w:pPr>
            <w:pStyle w:val="FooterText"/>
            <w:pBdr>
              <w:top w:val="single" w:sz="4" w:space="1" w:color="auto"/>
            </w:pBdr>
            <w:spacing w:before="200"/>
            <w:rPr>
              <w:sz w:val="2"/>
              <w:szCs w:val="2"/>
            </w:rPr>
          </w:pPr>
        </w:p>
      </w:tc>
    </w:tr>
    <w:tr w:rsidR="0016447E" w:rsidRPr="00B310DC" w14:paraId="56EFD3CA" w14:textId="77777777" w:rsidTr="00534127">
      <w:trPr>
        <w:jc w:val="center"/>
      </w:trPr>
      <w:tc>
        <w:tcPr>
          <w:tcW w:w="2500" w:type="pct"/>
          <w:gridSpan w:val="2"/>
          <w:shd w:val="clear" w:color="auto" w:fill="auto"/>
          <w:tcMar>
            <w:top w:w="0" w:type="dxa"/>
          </w:tcMar>
        </w:tcPr>
        <w:p w14:paraId="2F86FEDA" w14:textId="77777777" w:rsidR="0016447E" w:rsidRPr="00AD7BF2" w:rsidRDefault="0016447E" w:rsidP="00534127">
          <w:pPr>
            <w:pStyle w:val="FooterText"/>
          </w:pPr>
          <w:r>
            <w:t>10291/19</w:t>
          </w:r>
          <w:r w:rsidRPr="002511D8">
            <w:t xml:space="preserve"> </w:t>
          </w:r>
        </w:p>
      </w:tc>
      <w:tc>
        <w:tcPr>
          <w:tcW w:w="625" w:type="pct"/>
          <w:shd w:val="clear" w:color="auto" w:fill="auto"/>
          <w:tcMar>
            <w:top w:w="0" w:type="dxa"/>
          </w:tcMar>
        </w:tcPr>
        <w:p w14:paraId="68EBAAE3" w14:textId="77777777" w:rsidR="0016447E" w:rsidRPr="00AD7BF2" w:rsidRDefault="0016447E" w:rsidP="00534127">
          <w:pPr>
            <w:pStyle w:val="FooterText"/>
            <w:jc w:val="center"/>
          </w:pPr>
        </w:p>
      </w:tc>
      <w:tc>
        <w:tcPr>
          <w:tcW w:w="1286" w:type="pct"/>
          <w:gridSpan w:val="3"/>
          <w:shd w:val="clear" w:color="auto" w:fill="auto"/>
          <w:tcMar>
            <w:top w:w="0" w:type="dxa"/>
          </w:tcMar>
        </w:tcPr>
        <w:p w14:paraId="3407C16C" w14:textId="77777777" w:rsidR="0016447E" w:rsidRPr="002511D8" w:rsidRDefault="0016447E" w:rsidP="00534127">
          <w:pPr>
            <w:pStyle w:val="FooterText"/>
            <w:jc w:val="center"/>
          </w:pPr>
          <w:r>
            <w:t>NTC/AFG/cs</w:t>
          </w:r>
        </w:p>
      </w:tc>
      <w:tc>
        <w:tcPr>
          <w:tcW w:w="589" w:type="pct"/>
          <w:shd w:val="clear" w:color="auto" w:fill="auto"/>
          <w:tcMar>
            <w:top w:w="0" w:type="dxa"/>
          </w:tcMar>
        </w:tcPr>
        <w:p w14:paraId="289428D9" w14:textId="77777777" w:rsidR="0016447E" w:rsidRPr="00B310DC" w:rsidRDefault="0016447E" w:rsidP="00534127">
          <w:pPr>
            <w:pStyle w:val="FooterText"/>
            <w:jc w:val="right"/>
          </w:pPr>
          <w:r>
            <w:fldChar w:fldCharType="begin"/>
          </w:r>
          <w:r>
            <w:instrText xml:space="preserve"> PAGE  \* MERGEFORMAT </w:instrText>
          </w:r>
          <w:r>
            <w:fldChar w:fldCharType="separate"/>
          </w:r>
          <w:r>
            <w:rPr>
              <w:noProof/>
            </w:rPr>
            <w:t>64</w:t>
          </w:r>
          <w:r>
            <w:fldChar w:fldCharType="end"/>
          </w:r>
        </w:p>
      </w:tc>
    </w:tr>
    <w:tr w:rsidR="0016447E" w:rsidRPr="00D94637" w14:paraId="3718F5D1" w14:textId="77777777" w:rsidTr="00534127">
      <w:trPr>
        <w:jc w:val="center"/>
      </w:trPr>
      <w:tc>
        <w:tcPr>
          <w:tcW w:w="1774" w:type="pct"/>
          <w:shd w:val="clear" w:color="auto" w:fill="auto"/>
        </w:tcPr>
        <w:p w14:paraId="499CC6BF" w14:textId="77777777" w:rsidR="0016447E" w:rsidRPr="00AD7BF2" w:rsidRDefault="0016447E" w:rsidP="00534127">
          <w:pPr>
            <w:pStyle w:val="FooterText"/>
            <w:spacing w:before="40"/>
          </w:pPr>
          <w:r>
            <w:t>ANNEX</w:t>
          </w:r>
        </w:p>
      </w:tc>
      <w:tc>
        <w:tcPr>
          <w:tcW w:w="1455" w:type="pct"/>
          <w:gridSpan w:val="3"/>
          <w:shd w:val="clear" w:color="auto" w:fill="auto"/>
        </w:tcPr>
        <w:p w14:paraId="1E81697A" w14:textId="77777777" w:rsidR="0016447E" w:rsidRPr="00AD7BF2" w:rsidRDefault="0016447E" w:rsidP="00534127">
          <w:pPr>
            <w:pStyle w:val="FooterText"/>
            <w:spacing w:before="40"/>
            <w:jc w:val="center"/>
          </w:pPr>
          <w:r>
            <w:t>ECOMP.</w:t>
          </w:r>
          <w:proofErr w:type="gramStart"/>
          <w:r>
            <w:t>2.B</w:t>
          </w:r>
          <w:proofErr w:type="gramEnd"/>
        </w:p>
      </w:tc>
      <w:tc>
        <w:tcPr>
          <w:tcW w:w="742" w:type="pct"/>
          <w:shd w:val="clear" w:color="auto" w:fill="auto"/>
        </w:tcPr>
        <w:p w14:paraId="65B829DC" w14:textId="77777777" w:rsidR="0016447E" w:rsidRPr="00D94637" w:rsidRDefault="0016447E" w:rsidP="00534127">
          <w:pPr>
            <w:pStyle w:val="FooterText"/>
            <w:jc w:val="center"/>
            <w:rPr>
              <w:b/>
              <w:position w:val="-4"/>
              <w:sz w:val="36"/>
            </w:rPr>
          </w:pPr>
        </w:p>
      </w:tc>
      <w:tc>
        <w:tcPr>
          <w:tcW w:w="1029" w:type="pct"/>
          <w:gridSpan w:val="2"/>
          <w:shd w:val="clear" w:color="auto" w:fill="auto"/>
        </w:tcPr>
        <w:p w14:paraId="652AD421" w14:textId="77777777" w:rsidR="0016447E" w:rsidRPr="000310C2" w:rsidRDefault="0016447E" w:rsidP="00534127">
          <w:pPr>
            <w:pStyle w:val="FooterText"/>
            <w:jc w:val="right"/>
            <w:rPr>
              <w:spacing w:val="-20"/>
              <w:sz w:val="16"/>
            </w:rPr>
          </w:pPr>
          <w:r>
            <w:rPr>
              <w:b/>
              <w:spacing w:val="-20"/>
              <w:position w:val="-4"/>
              <w:sz w:val="36"/>
            </w:rPr>
            <w:t>EN</w:t>
          </w:r>
        </w:p>
      </w:tc>
    </w:tr>
  </w:tbl>
  <w:p w14:paraId="539B281E" w14:textId="77777777" w:rsidR="0016447E" w:rsidRPr="00674D71" w:rsidRDefault="0016447E" w:rsidP="00534127">
    <w:pPr>
      <w:pStyle w:val="FooterCounci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AC0FA4" w14:textId="77777777" w:rsidR="0016447E" w:rsidRDefault="0016447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4161811"/>
      <w:docPartObj>
        <w:docPartGallery w:val="Page Numbers (Bottom of Page)"/>
        <w:docPartUnique/>
      </w:docPartObj>
    </w:sdtPr>
    <w:sdtEndPr>
      <w:rPr>
        <w:noProof/>
      </w:rPr>
    </w:sdtEndPr>
    <w:sdtContent>
      <w:p w14:paraId="4073AF91" w14:textId="77777777" w:rsidR="0016447E" w:rsidRDefault="0016447E">
        <w:pPr>
          <w:pStyle w:val="Footer"/>
          <w:jc w:val="center"/>
        </w:pPr>
        <w:r>
          <w:fldChar w:fldCharType="begin"/>
        </w:r>
        <w:r>
          <w:instrText xml:space="preserve"> PAGE   \* MERGEFORMAT </w:instrText>
        </w:r>
        <w:r>
          <w:fldChar w:fldCharType="separate"/>
        </w:r>
        <w:r>
          <w:rPr>
            <w:noProof/>
          </w:rPr>
          <w:t>83</w:t>
        </w:r>
        <w:r>
          <w:rPr>
            <w:noProof/>
          </w:rPr>
          <w:fldChar w:fldCharType="end"/>
        </w:r>
      </w:p>
    </w:sdtContent>
  </w:sdt>
  <w:p w14:paraId="3123342E" w14:textId="77777777" w:rsidR="0016447E" w:rsidRDefault="0016447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9BDAD3" w14:textId="77777777" w:rsidR="0016447E" w:rsidRDefault="0016447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Layout w:type="fixed"/>
      <w:tblCellMar>
        <w:left w:w="0" w:type="dxa"/>
        <w:right w:w="0" w:type="dxa"/>
      </w:tblCellMar>
      <w:tblLook w:val="01E0" w:firstRow="1" w:lastRow="1" w:firstColumn="1" w:lastColumn="1" w:noHBand="0" w:noVBand="0"/>
    </w:tblPr>
    <w:tblGrid>
      <w:gridCol w:w="3421"/>
      <w:gridCol w:w="1399"/>
      <w:gridCol w:w="1205"/>
      <w:gridCol w:w="200"/>
      <w:gridCol w:w="1430"/>
      <w:gridCol w:w="848"/>
      <w:gridCol w:w="1135"/>
    </w:tblGrid>
    <w:tr w:rsidR="0016447E" w:rsidRPr="00D94637" w14:paraId="718507F9" w14:textId="77777777" w:rsidTr="00534127">
      <w:trPr>
        <w:jc w:val="center"/>
      </w:trPr>
      <w:tc>
        <w:tcPr>
          <w:tcW w:w="5000" w:type="pct"/>
          <w:gridSpan w:val="7"/>
          <w:shd w:val="clear" w:color="auto" w:fill="auto"/>
          <w:tcMar>
            <w:top w:w="57" w:type="dxa"/>
          </w:tcMar>
        </w:tcPr>
        <w:p w14:paraId="4CB5B246" w14:textId="77777777" w:rsidR="0016447E" w:rsidRPr="00D94637" w:rsidRDefault="0016447E" w:rsidP="00534127">
          <w:pPr>
            <w:pStyle w:val="FooterText"/>
            <w:pBdr>
              <w:top w:val="single" w:sz="4" w:space="1" w:color="auto"/>
            </w:pBdr>
            <w:spacing w:before="200"/>
            <w:rPr>
              <w:sz w:val="2"/>
              <w:szCs w:val="2"/>
            </w:rPr>
          </w:pPr>
        </w:p>
      </w:tc>
    </w:tr>
    <w:tr w:rsidR="0016447E" w:rsidRPr="00B310DC" w14:paraId="5DFC551A" w14:textId="77777777" w:rsidTr="00534127">
      <w:trPr>
        <w:jc w:val="center"/>
      </w:trPr>
      <w:tc>
        <w:tcPr>
          <w:tcW w:w="2500" w:type="pct"/>
          <w:gridSpan w:val="2"/>
          <w:shd w:val="clear" w:color="auto" w:fill="auto"/>
          <w:tcMar>
            <w:top w:w="0" w:type="dxa"/>
          </w:tcMar>
        </w:tcPr>
        <w:p w14:paraId="178FCA34" w14:textId="77777777" w:rsidR="0016447E" w:rsidRPr="00AD7BF2" w:rsidRDefault="0016447E" w:rsidP="00534127">
          <w:pPr>
            <w:pStyle w:val="FooterText"/>
          </w:pPr>
          <w:r>
            <w:t>10291/19</w:t>
          </w:r>
          <w:r w:rsidRPr="002511D8">
            <w:t xml:space="preserve"> </w:t>
          </w:r>
        </w:p>
      </w:tc>
      <w:tc>
        <w:tcPr>
          <w:tcW w:w="625" w:type="pct"/>
          <w:shd w:val="clear" w:color="auto" w:fill="auto"/>
          <w:tcMar>
            <w:top w:w="0" w:type="dxa"/>
          </w:tcMar>
        </w:tcPr>
        <w:p w14:paraId="024CF25A" w14:textId="77777777" w:rsidR="0016447E" w:rsidRPr="00AD7BF2" w:rsidRDefault="0016447E" w:rsidP="00534127">
          <w:pPr>
            <w:pStyle w:val="FooterText"/>
            <w:jc w:val="center"/>
          </w:pPr>
        </w:p>
      </w:tc>
      <w:tc>
        <w:tcPr>
          <w:tcW w:w="1286" w:type="pct"/>
          <w:gridSpan w:val="3"/>
          <w:shd w:val="clear" w:color="auto" w:fill="auto"/>
          <w:tcMar>
            <w:top w:w="0" w:type="dxa"/>
          </w:tcMar>
        </w:tcPr>
        <w:p w14:paraId="5CFA28C8" w14:textId="77777777" w:rsidR="0016447E" w:rsidRPr="002511D8" w:rsidRDefault="0016447E" w:rsidP="00534127">
          <w:pPr>
            <w:pStyle w:val="FooterText"/>
            <w:jc w:val="center"/>
          </w:pPr>
          <w:r>
            <w:t>NTC/AFG/cs</w:t>
          </w:r>
        </w:p>
      </w:tc>
      <w:tc>
        <w:tcPr>
          <w:tcW w:w="589" w:type="pct"/>
          <w:shd w:val="clear" w:color="auto" w:fill="auto"/>
          <w:tcMar>
            <w:top w:w="0" w:type="dxa"/>
          </w:tcMar>
        </w:tcPr>
        <w:p w14:paraId="03FB6272" w14:textId="77777777" w:rsidR="0016447E" w:rsidRPr="00B310DC" w:rsidRDefault="0016447E" w:rsidP="00534127">
          <w:pPr>
            <w:pStyle w:val="FooterText"/>
            <w:jc w:val="right"/>
          </w:pPr>
          <w:r>
            <w:fldChar w:fldCharType="begin"/>
          </w:r>
          <w:r>
            <w:instrText xml:space="preserve"> PAGE  \* MERGEFORMAT </w:instrText>
          </w:r>
          <w:r>
            <w:fldChar w:fldCharType="separate"/>
          </w:r>
          <w:r>
            <w:rPr>
              <w:noProof/>
            </w:rPr>
            <w:t>84</w:t>
          </w:r>
          <w:r>
            <w:fldChar w:fldCharType="end"/>
          </w:r>
        </w:p>
      </w:tc>
    </w:tr>
    <w:tr w:rsidR="0016447E" w:rsidRPr="00D94637" w14:paraId="4A1ADB4C" w14:textId="77777777" w:rsidTr="00534127">
      <w:trPr>
        <w:jc w:val="center"/>
      </w:trPr>
      <w:tc>
        <w:tcPr>
          <w:tcW w:w="1774" w:type="pct"/>
          <w:shd w:val="clear" w:color="auto" w:fill="auto"/>
        </w:tcPr>
        <w:p w14:paraId="3459AE4C" w14:textId="77777777" w:rsidR="0016447E" w:rsidRPr="00AD7BF2" w:rsidRDefault="0016447E" w:rsidP="00534127">
          <w:pPr>
            <w:pStyle w:val="FooterText"/>
            <w:spacing w:before="40"/>
          </w:pPr>
          <w:r>
            <w:t>ANNEX</w:t>
          </w:r>
        </w:p>
      </w:tc>
      <w:tc>
        <w:tcPr>
          <w:tcW w:w="1455" w:type="pct"/>
          <w:gridSpan w:val="3"/>
          <w:shd w:val="clear" w:color="auto" w:fill="auto"/>
        </w:tcPr>
        <w:p w14:paraId="6F806A01" w14:textId="77777777" w:rsidR="0016447E" w:rsidRPr="00AD7BF2" w:rsidRDefault="0016447E" w:rsidP="00534127">
          <w:pPr>
            <w:pStyle w:val="FooterText"/>
            <w:spacing w:before="40"/>
            <w:jc w:val="center"/>
          </w:pPr>
          <w:r>
            <w:t>ECOMP.</w:t>
          </w:r>
          <w:proofErr w:type="gramStart"/>
          <w:r>
            <w:t>2.B</w:t>
          </w:r>
          <w:proofErr w:type="gramEnd"/>
        </w:p>
      </w:tc>
      <w:tc>
        <w:tcPr>
          <w:tcW w:w="742" w:type="pct"/>
          <w:shd w:val="clear" w:color="auto" w:fill="auto"/>
        </w:tcPr>
        <w:p w14:paraId="2C6FA4BF" w14:textId="77777777" w:rsidR="0016447E" w:rsidRPr="00D94637" w:rsidRDefault="0016447E" w:rsidP="00534127">
          <w:pPr>
            <w:pStyle w:val="FooterText"/>
            <w:jc w:val="center"/>
            <w:rPr>
              <w:b/>
              <w:position w:val="-4"/>
              <w:sz w:val="36"/>
            </w:rPr>
          </w:pPr>
        </w:p>
      </w:tc>
      <w:tc>
        <w:tcPr>
          <w:tcW w:w="1029" w:type="pct"/>
          <w:gridSpan w:val="2"/>
          <w:shd w:val="clear" w:color="auto" w:fill="auto"/>
        </w:tcPr>
        <w:p w14:paraId="520FFAF1" w14:textId="77777777" w:rsidR="0016447E" w:rsidRPr="000310C2" w:rsidRDefault="0016447E" w:rsidP="00534127">
          <w:pPr>
            <w:pStyle w:val="FooterText"/>
            <w:jc w:val="right"/>
            <w:rPr>
              <w:spacing w:val="-20"/>
              <w:sz w:val="16"/>
            </w:rPr>
          </w:pPr>
          <w:r>
            <w:rPr>
              <w:b/>
              <w:spacing w:val="-20"/>
              <w:position w:val="-4"/>
              <w:sz w:val="36"/>
            </w:rPr>
            <w:t>EN</w:t>
          </w:r>
        </w:p>
      </w:tc>
    </w:tr>
  </w:tbl>
  <w:p w14:paraId="035BD418" w14:textId="77777777" w:rsidR="0016447E" w:rsidRPr="00674D71" w:rsidRDefault="0016447E" w:rsidP="00534127">
    <w:pPr>
      <w:pStyle w:val="FooterCouncil"/>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Layout w:type="fixed"/>
      <w:tblCellMar>
        <w:left w:w="0" w:type="dxa"/>
        <w:right w:w="0" w:type="dxa"/>
      </w:tblCellMar>
      <w:tblLook w:val="01E0" w:firstRow="1" w:lastRow="1" w:firstColumn="1" w:lastColumn="1" w:noHBand="0" w:noVBand="0"/>
    </w:tblPr>
    <w:tblGrid>
      <w:gridCol w:w="3421"/>
      <w:gridCol w:w="1399"/>
      <w:gridCol w:w="1205"/>
      <w:gridCol w:w="200"/>
      <w:gridCol w:w="1430"/>
      <w:gridCol w:w="848"/>
      <w:gridCol w:w="1135"/>
    </w:tblGrid>
    <w:tr w:rsidR="0016447E" w:rsidRPr="00D94637" w14:paraId="53AEA1B0" w14:textId="77777777" w:rsidTr="00534127">
      <w:trPr>
        <w:jc w:val="center"/>
      </w:trPr>
      <w:tc>
        <w:tcPr>
          <w:tcW w:w="5000" w:type="pct"/>
          <w:gridSpan w:val="7"/>
          <w:shd w:val="clear" w:color="auto" w:fill="auto"/>
          <w:tcMar>
            <w:top w:w="57" w:type="dxa"/>
          </w:tcMar>
        </w:tcPr>
        <w:p w14:paraId="01812D2C" w14:textId="77777777" w:rsidR="0016447E" w:rsidRPr="00D94637" w:rsidRDefault="0016447E" w:rsidP="00534127">
          <w:pPr>
            <w:pStyle w:val="FooterText"/>
            <w:pBdr>
              <w:top w:val="single" w:sz="4" w:space="1" w:color="auto"/>
            </w:pBdr>
            <w:spacing w:before="200"/>
            <w:rPr>
              <w:sz w:val="2"/>
              <w:szCs w:val="2"/>
            </w:rPr>
          </w:pPr>
        </w:p>
      </w:tc>
    </w:tr>
    <w:tr w:rsidR="0016447E" w:rsidRPr="00B310DC" w14:paraId="451F8B9F" w14:textId="77777777" w:rsidTr="00534127">
      <w:trPr>
        <w:jc w:val="center"/>
      </w:trPr>
      <w:tc>
        <w:tcPr>
          <w:tcW w:w="2500" w:type="pct"/>
          <w:gridSpan w:val="2"/>
          <w:shd w:val="clear" w:color="auto" w:fill="auto"/>
          <w:tcMar>
            <w:top w:w="0" w:type="dxa"/>
          </w:tcMar>
        </w:tcPr>
        <w:p w14:paraId="6D7DB953" w14:textId="77777777" w:rsidR="0016447E" w:rsidRPr="00AD7BF2" w:rsidRDefault="0016447E" w:rsidP="00534127">
          <w:pPr>
            <w:pStyle w:val="FooterText"/>
          </w:pPr>
          <w:r>
            <w:t>10291/19</w:t>
          </w:r>
          <w:r w:rsidRPr="002511D8">
            <w:t xml:space="preserve"> </w:t>
          </w:r>
        </w:p>
      </w:tc>
      <w:tc>
        <w:tcPr>
          <w:tcW w:w="625" w:type="pct"/>
          <w:shd w:val="clear" w:color="auto" w:fill="auto"/>
          <w:tcMar>
            <w:top w:w="0" w:type="dxa"/>
          </w:tcMar>
        </w:tcPr>
        <w:p w14:paraId="0B3B8909" w14:textId="77777777" w:rsidR="0016447E" w:rsidRPr="00AD7BF2" w:rsidRDefault="0016447E" w:rsidP="00534127">
          <w:pPr>
            <w:pStyle w:val="FooterText"/>
            <w:jc w:val="center"/>
          </w:pPr>
        </w:p>
      </w:tc>
      <w:tc>
        <w:tcPr>
          <w:tcW w:w="1286" w:type="pct"/>
          <w:gridSpan w:val="3"/>
          <w:shd w:val="clear" w:color="auto" w:fill="auto"/>
          <w:tcMar>
            <w:top w:w="0" w:type="dxa"/>
          </w:tcMar>
        </w:tcPr>
        <w:p w14:paraId="0604D6B2" w14:textId="77777777" w:rsidR="0016447E" w:rsidRPr="002511D8" w:rsidRDefault="0016447E" w:rsidP="00534127">
          <w:pPr>
            <w:pStyle w:val="FooterText"/>
            <w:jc w:val="center"/>
          </w:pPr>
          <w:r>
            <w:t>NTC/AFG/cs</w:t>
          </w:r>
        </w:p>
      </w:tc>
      <w:tc>
        <w:tcPr>
          <w:tcW w:w="589" w:type="pct"/>
          <w:shd w:val="clear" w:color="auto" w:fill="auto"/>
          <w:tcMar>
            <w:top w:w="0" w:type="dxa"/>
          </w:tcMar>
        </w:tcPr>
        <w:p w14:paraId="02AD1587" w14:textId="77777777" w:rsidR="0016447E" w:rsidRPr="00B310DC" w:rsidRDefault="0016447E" w:rsidP="00534127">
          <w:pPr>
            <w:pStyle w:val="FooterText"/>
            <w:jc w:val="right"/>
          </w:pPr>
          <w:r>
            <w:fldChar w:fldCharType="begin"/>
          </w:r>
          <w:r>
            <w:instrText xml:space="preserve"> PAGE  \* MERGEFORMAT </w:instrText>
          </w:r>
          <w:r>
            <w:fldChar w:fldCharType="separate"/>
          </w:r>
          <w:r>
            <w:rPr>
              <w:noProof/>
            </w:rPr>
            <w:t>90</w:t>
          </w:r>
          <w:r>
            <w:fldChar w:fldCharType="end"/>
          </w:r>
        </w:p>
      </w:tc>
    </w:tr>
    <w:tr w:rsidR="0016447E" w:rsidRPr="00D94637" w14:paraId="1A1E1640" w14:textId="77777777" w:rsidTr="00534127">
      <w:trPr>
        <w:jc w:val="center"/>
      </w:trPr>
      <w:tc>
        <w:tcPr>
          <w:tcW w:w="1774" w:type="pct"/>
          <w:shd w:val="clear" w:color="auto" w:fill="auto"/>
        </w:tcPr>
        <w:p w14:paraId="663C39B7" w14:textId="77777777" w:rsidR="0016447E" w:rsidRPr="00AD7BF2" w:rsidRDefault="0016447E" w:rsidP="00534127">
          <w:pPr>
            <w:pStyle w:val="FooterText"/>
            <w:spacing w:before="40"/>
          </w:pPr>
          <w:r>
            <w:t>ANNEX</w:t>
          </w:r>
        </w:p>
      </w:tc>
      <w:tc>
        <w:tcPr>
          <w:tcW w:w="1455" w:type="pct"/>
          <w:gridSpan w:val="3"/>
          <w:shd w:val="clear" w:color="auto" w:fill="auto"/>
        </w:tcPr>
        <w:p w14:paraId="2F7F01FD" w14:textId="77777777" w:rsidR="0016447E" w:rsidRPr="00AD7BF2" w:rsidRDefault="0016447E" w:rsidP="00534127">
          <w:pPr>
            <w:pStyle w:val="FooterText"/>
            <w:spacing w:before="40"/>
            <w:jc w:val="center"/>
          </w:pPr>
          <w:r>
            <w:t>ECOMP.</w:t>
          </w:r>
          <w:proofErr w:type="gramStart"/>
          <w:r>
            <w:t>2.B</w:t>
          </w:r>
          <w:proofErr w:type="gramEnd"/>
        </w:p>
      </w:tc>
      <w:tc>
        <w:tcPr>
          <w:tcW w:w="742" w:type="pct"/>
          <w:shd w:val="clear" w:color="auto" w:fill="auto"/>
        </w:tcPr>
        <w:p w14:paraId="367C1EF4" w14:textId="77777777" w:rsidR="0016447E" w:rsidRPr="00D94637" w:rsidRDefault="0016447E" w:rsidP="00534127">
          <w:pPr>
            <w:pStyle w:val="FooterText"/>
            <w:jc w:val="center"/>
            <w:rPr>
              <w:b/>
              <w:position w:val="-4"/>
              <w:sz w:val="36"/>
            </w:rPr>
          </w:pPr>
        </w:p>
      </w:tc>
      <w:tc>
        <w:tcPr>
          <w:tcW w:w="1029" w:type="pct"/>
          <w:gridSpan w:val="2"/>
          <w:shd w:val="clear" w:color="auto" w:fill="auto"/>
        </w:tcPr>
        <w:p w14:paraId="52BC3A86" w14:textId="77777777" w:rsidR="0016447E" w:rsidRPr="000310C2" w:rsidRDefault="0016447E" w:rsidP="00534127">
          <w:pPr>
            <w:pStyle w:val="FooterText"/>
            <w:jc w:val="right"/>
            <w:rPr>
              <w:spacing w:val="-20"/>
              <w:sz w:val="16"/>
            </w:rPr>
          </w:pPr>
          <w:r>
            <w:rPr>
              <w:b/>
              <w:spacing w:val="-20"/>
              <w:position w:val="-4"/>
              <w:sz w:val="36"/>
            </w:rPr>
            <w:t>EN</w:t>
          </w:r>
        </w:p>
      </w:tc>
    </w:tr>
  </w:tbl>
  <w:p w14:paraId="0F485A7D" w14:textId="77777777" w:rsidR="0016447E" w:rsidRPr="00674D71" w:rsidRDefault="0016447E" w:rsidP="00534127">
    <w:pPr>
      <w:pStyle w:val="FooterCouncil"/>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Layout w:type="fixed"/>
      <w:tblCellMar>
        <w:left w:w="0" w:type="dxa"/>
        <w:right w:w="0" w:type="dxa"/>
      </w:tblCellMar>
      <w:tblLook w:val="01E0" w:firstRow="1" w:lastRow="1" w:firstColumn="1" w:lastColumn="1" w:noHBand="0" w:noVBand="0"/>
    </w:tblPr>
    <w:tblGrid>
      <w:gridCol w:w="3421"/>
      <w:gridCol w:w="1399"/>
      <w:gridCol w:w="1205"/>
      <w:gridCol w:w="200"/>
      <w:gridCol w:w="1430"/>
      <w:gridCol w:w="848"/>
      <w:gridCol w:w="1135"/>
    </w:tblGrid>
    <w:tr w:rsidR="0016447E" w:rsidRPr="00D94637" w14:paraId="47C7D207" w14:textId="77777777" w:rsidTr="00534127">
      <w:trPr>
        <w:jc w:val="center"/>
      </w:trPr>
      <w:tc>
        <w:tcPr>
          <w:tcW w:w="5000" w:type="pct"/>
          <w:gridSpan w:val="7"/>
          <w:shd w:val="clear" w:color="auto" w:fill="auto"/>
          <w:tcMar>
            <w:top w:w="57" w:type="dxa"/>
          </w:tcMar>
        </w:tcPr>
        <w:p w14:paraId="36C1E701" w14:textId="77777777" w:rsidR="0016447E" w:rsidRPr="00D94637" w:rsidRDefault="0016447E" w:rsidP="00534127">
          <w:pPr>
            <w:pStyle w:val="FooterText"/>
            <w:pBdr>
              <w:top w:val="single" w:sz="4" w:space="1" w:color="auto"/>
            </w:pBdr>
            <w:spacing w:before="200"/>
            <w:rPr>
              <w:sz w:val="2"/>
              <w:szCs w:val="2"/>
            </w:rPr>
          </w:pPr>
        </w:p>
      </w:tc>
    </w:tr>
    <w:tr w:rsidR="0016447E" w:rsidRPr="00B310DC" w14:paraId="2D4B1395" w14:textId="77777777" w:rsidTr="00534127">
      <w:trPr>
        <w:jc w:val="center"/>
      </w:trPr>
      <w:tc>
        <w:tcPr>
          <w:tcW w:w="2500" w:type="pct"/>
          <w:gridSpan w:val="2"/>
          <w:shd w:val="clear" w:color="auto" w:fill="auto"/>
          <w:tcMar>
            <w:top w:w="0" w:type="dxa"/>
          </w:tcMar>
        </w:tcPr>
        <w:p w14:paraId="57D12704" w14:textId="77777777" w:rsidR="0016447E" w:rsidRPr="00AD7BF2" w:rsidRDefault="0016447E" w:rsidP="00534127">
          <w:pPr>
            <w:pStyle w:val="FooterText"/>
          </w:pPr>
          <w:r>
            <w:t>10291/19</w:t>
          </w:r>
          <w:r w:rsidRPr="002511D8">
            <w:t xml:space="preserve"> </w:t>
          </w:r>
        </w:p>
      </w:tc>
      <w:tc>
        <w:tcPr>
          <w:tcW w:w="625" w:type="pct"/>
          <w:shd w:val="clear" w:color="auto" w:fill="auto"/>
          <w:tcMar>
            <w:top w:w="0" w:type="dxa"/>
          </w:tcMar>
        </w:tcPr>
        <w:p w14:paraId="0DD2A171" w14:textId="77777777" w:rsidR="0016447E" w:rsidRPr="00AD7BF2" w:rsidRDefault="0016447E" w:rsidP="00534127">
          <w:pPr>
            <w:pStyle w:val="FooterText"/>
            <w:jc w:val="center"/>
          </w:pPr>
        </w:p>
      </w:tc>
      <w:tc>
        <w:tcPr>
          <w:tcW w:w="1286" w:type="pct"/>
          <w:gridSpan w:val="3"/>
          <w:shd w:val="clear" w:color="auto" w:fill="auto"/>
          <w:tcMar>
            <w:top w:w="0" w:type="dxa"/>
          </w:tcMar>
        </w:tcPr>
        <w:p w14:paraId="64882F7C" w14:textId="77777777" w:rsidR="0016447E" w:rsidRPr="002511D8" w:rsidRDefault="0016447E" w:rsidP="00534127">
          <w:pPr>
            <w:pStyle w:val="FooterText"/>
            <w:jc w:val="center"/>
          </w:pPr>
          <w:r>
            <w:t>NTC/AFG/cs</w:t>
          </w:r>
        </w:p>
      </w:tc>
      <w:tc>
        <w:tcPr>
          <w:tcW w:w="589" w:type="pct"/>
          <w:shd w:val="clear" w:color="auto" w:fill="auto"/>
          <w:tcMar>
            <w:top w:w="0" w:type="dxa"/>
          </w:tcMar>
        </w:tcPr>
        <w:p w14:paraId="5792942B" w14:textId="77777777" w:rsidR="0016447E" w:rsidRPr="00B310DC" w:rsidRDefault="0016447E" w:rsidP="00534127">
          <w:pPr>
            <w:pStyle w:val="FooterText"/>
            <w:jc w:val="right"/>
          </w:pPr>
          <w:r>
            <w:fldChar w:fldCharType="begin"/>
          </w:r>
          <w:r>
            <w:instrText xml:space="preserve"> PAGE  \* MERGEFORMAT </w:instrText>
          </w:r>
          <w:r>
            <w:fldChar w:fldCharType="separate"/>
          </w:r>
          <w:r>
            <w:rPr>
              <w:noProof/>
            </w:rPr>
            <w:t>93</w:t>
          </w:r>
          <w:r>
            <w:fldChar w:fldCharType="end"/>
          </w:r>
        </w:p>
      </w:tc>
    </w:tr>
    <w:tr w:rsidR="0016447E" w:rsidRPr="00D94637" w14:paraId="71604D19" w14:textId="77777777" w:rsidTr="00534127">
      <w:trPr>
        <w:jc w:val="center"/>
      </w:trPr>
      <w:tc>
        <w:tcPr>
          <w:tcW w:w="1774" w:type="pct"/>
          <w:shd w:val="clear" w:color="auto" w:fill="auto"/>
        </w:tcPr>
        <w:p w14:paraId="343B0C6D" w14:textId="77777777" w:rsidR="0016447E" w:rsidRPr="00AD7BF2" w:rsidRDefault="0016447E" w:rsidP="00534127">
          <w:pPr>
            <w:pStyle w:val="FooterText"/>
            <w:spacing w:before="40"/>
          </w:pPr>
          <w:r>
            <w:t>ANNEX</w:t>
          </w:r>
        </w:p>
      </w:tc>
      <w:tc>
        <w:tcPr>
          <w:tcW w:w="1455" w:type="pct"/>
          <w:gridSpan w:val="3"/>
          <w:shd w:val="clear" w:color="auto" w:fill="auto"/>
        </w:tcPr>
        <w:p w14:paraId="58588E82" w14:textId="77777777" w:rsidR="0016447E" w:rsidRPr="00AD7BF2" w:rsidRDefault="0016447E" w:rsidP="00534127">
          <w:pPr>
            <w:pStyle w:val="FooterText"/>
            <w:spacing w:before="40"/>
            <w:jc w:val="center"/>
          </w:pPr>
          <w:r>
            <w:t>ECOMP.</w:t>
          </w:r>
          <w:proofErr w:type="gramStart"/>
          <w:r>
            <w:t>2.B</w:t>
          </w:r>
          <w:proofErr w:type="gramEnd"/>
        </w:p>
      </w:tc>
      <w:tc>
        <w:tcPr>
          <w:tcW w:w="742" w:type="pct"/>
          <w:shd w:val="clear" w:color="auto" w:fill="auto"/>
        </w:tcPr>
        <w:p w14:paraId="585FF40E" w14:textId="77777777" w:rsidR="0016447E" w:rsidRPr="00D94637" w:rsidRDefault="0016447E" w:rsidP="00534127">
          <w:pPr>
            <w:pStyle w:val="FooterText"/>
            <w:jc w:val="center"/>
            <w:rPr>
              <w:b/>
              <w:position w:val="-4"/>
              <w:sz w:val="36"/>
            </w:rPr>
          </w:pPr>
        </w:p>
      </w:tc>
      <w:tc>
        <w:tcPr>
          <w:tcW w:w="1029" w:type="pct"/>
          <w:gridSpan w:val="2"/>
          <w:shd w:val="clear" w:color="auto" w:fill="auto"/>
        </w:tcPr>
        <w:p w14:paraId="7422AD53" w14:textId="77777777" w:rsidR="0016447E" w:rsidRPr="000310C2" w:rsidRDefault="0016447E" w:rsidP="00534127">
          <w:pPr>
            <w:pStyle w:val="FooterText"/>
            <w:jc w:val="right"/>
            <w:rPr>
              <w:spacing w:val="-20"/>
              <w:sz w:val="16"/>
            </w:rPr>
          </w:pPr>
          <w:r>
            <w:rPr>
              <w:b/>
              <w:spacing w:val="-20"/>
              <w:position w:val="-4"/>
              <w:sz w:val="36"/>
            </w:rPr>
            <w:t>EN</w:t>
          </w:r>
        </w:p>
      </w:tc>
    </w:tr>
  </w:tbl>
  <w:p w14:paraId="167AB358" w14:textId="77777777" w:rsidR="0016447E" w:rsidRPr="00674D71" w:rsidRDefault="0016447E" w:rsidP="00534127">
    <w:pPr>
      <w:pStyle w:val="FooterCounci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3EFF89" w14:textId="77777777" w:rsidR="00AD12F7" w:rsidRDefault="00AD12F7" w:rsidP="00653571">
      <w:pPr>
        <w:spacing w:after="0" w:line="240" w:lineRule="auto"/>
      </w:pPr>
      <w:r>
        <w:separator/>
      </w:r>
    </w:p>
  </w:footnote>
  <w:footnote w:type="continuationSeparator" w:id="0">
    <w:p w14:paraId="1B8C3B8E" w14:textId="77777777" w:rsidR="00AD12F7" w:rsidRDefault="00AD12F7" w:rsidP="00653571">
      <w:pPr>
        <w:spacing w:after="0" w:line="240" w:lineRule="auto"/>
      </w:pPr>
      <w:r>
        <w:continuationSeparator/>
      </w:r>
    </w:p>
  </w:footnote>
  <w:footnote w:id="1">
    <w:p w14:paraId="7DF241EF" w14:textId="57AB771C" w:rsidR="0016447E" w:rsidRPr="009F01C3" w:rsidRDefault="0016447E" w:rsidP="00967F33">
      <w:pPr>
        <w:pStyle w:val="FootnoteText"/>
        <w:rPr>
          <w:rFonts w:cs="Times New Roman"/>
          <w:lang w:val="fr-BE"/>
        </w:rPr>
      </w:pPr>
      <w:r w:rsidRPr="009F01C3">
        <w:rPr>
          <w:rStyle w:val="FootnoteReference"/>
          <w:rFonts w:cs="Times New Roman"/>
        </w:rPr>
        <w:footnoteRef/>
      </w:r>
      <w:r w:rsidRPr="009F01C3">
        <w:rPr>
          <w:rFonts w:cs="Times New Roman"/>
        </w:rPr>
        <w:t xml:space="preserve"> </w:t>
      </w:r>
      <w:proofErr w:type="spellStart"/>
      <w:r w:rsidRPr="009F01C3">
        <w:rPr>
          <w:rFonts w:cs="Times New Roman"/>
          <w:lang w:val="fr-BE"/>
        </w:rPr>
        <w:t>Planul</w:t>
      </w:r>
      <w:proofErr w:type="spellEnd"/>
      <w:r w:rsidRPr="009F01C3">
        <w:rPr>
          <w:rFonts w:cs="Times New Roman"/>
          <w:lang w:val="fr-BE"/>
        </w:rPr>
        <w:t xml:space="preserve"> de </w:t>
      </w:r>
      <w:proofErr w:type="spellStart"/>
      <w:r w:rsidRPr="009F01C3">
        <w:rPr>
          <w:rFonts w:cs="Times New Roman"/>
          <w:lang w:val="fr-BE"/>
        </w:rPr>
        <w:t>Dezvoltare</w:t>
      </w:r>
      <w:proofErr w:type="spellEnd"/>
      <w:r w:rsidRPr="009F01C3">
        <w:rPr>
          <w:rFonts w:cs="Times New Roman"/>
          <w:lang w:val="fr-BE"/>
        </w:rPr>
        <w:t xml:space="preserve"> </w:t>
      </w:r>
      <w:proofErr w:type="spellStart"/>
      <w:r w:rsidRPr="009F01C3">
        <w:rPr>
          <w:rFonts w:cs="Times New Roman"/>
          <w:lang w:val="fr-BE"/>
        </w:rPr>
        <w:t>Regionala</w:t>
      </w:r>
      <w:proofErr w:type="spellEnd"/>
      <w:r w:rsidRPr="009F01C3">
        <w:rPr>
          <w:rFonts w:cs="Times New Roman"/>
          <w:lang w:val="fr-BE"/>
        </w:rPr>
        <w:t xml:space="preserve"> </w:t>
      </w:r>
      <w:proofErr w:type="spellStart"/>
      <w:r w:rsidRPr="009F01C3">
        <w:rPr>
          <w:rFonts w:cs="Times New Roman"/>
          <w:lang w:val="fr-BE"/>
        </w:rPr>
        <w:t>Nord-Vest</w:t>
      </w:r>
      <w:proofErr w:type="spellEnd"/>
      <w:r w:rsidRPr="009F01C3">
        <w:rPr>
          <w:rFonts w:cs="Times New Roman"/>
          <w:lang w:val="fr-BE"/>
        </w:rPr>
        <w:t xml:space="preserve"> 2021-2027</w:t>
      </w:r>
    </w:p>
  </w:footnote>
  <w:footnote w:id="2">
    <w:p w14:paraId="6BB4389A" w14:textId="77777777"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2018, </w:t>
      </w:r>
      <w:proofErr w:type="spellStart"/>
      <w:r w:rsidRPr="009F01C3">
        <w:rPr>
          <w:rFonts w:cs="Times New Roman"/>
          <w:bCs/>
        </w:rPr>
        <w:t>Eurostat</w:t>
      </w:r>
      <w:proofErr w:type="spellEnd"/>
      <w:r w:rsidRPr="009F01C3">
        <w:rPr>
          <w:rFonts w:cs="Times New Roman"/>
          <w:bCs/>
        </w:rPr>
        <w:t>, cod [</w:t>
      </w:r>
      <w:hyperlink r:id="rId1" w:history="1">
        <w:r w:rsidRPr="009F01C3">
          <w:rPr>
            <w:rStyle w:val="Hyperlink"/>
            <w:rFonts w:cs="Times New Roman"/>
            <w:bCs/>
          </w:rPr>
          <w:t>nama_10r_3gdp</w:t>
        </w:r>
      </w:hyperlink>
      <w:r w:rsidRPr="009F01C3">
        <w:rPr>
          <w:rFonts w:cs="Times New Roman"/>
          <w:bCs/>
        </w:rPr>
        <w:t xml:space="preserve">] </w:t>
      </w:r>
    </w:p>
  </w:footnote>
  <w:footnote w:id="3">
    <w:p w14:paraId="7BEC6B78" w14:textId="77777777"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proofErr w:type="spellStart"/>
      <w:r w:rsidRPr="009F01C3">
        <w:rPr>
          <w:rFonts w:cs="Times New Roman"/>
          <w:bCs/>
        </w:rPr>
        <w:t>Low</w:t>
      </w:r>
      <w:proofErr w:type="spellEnd"/>
      <w:r w:rsidRPr="009F01C3">
        <w:rPr>
          <w:rFonts w:cs="Times New Roman"/>
          <w:bCs/>
        </w:rPr>
        <w:t xml:space="preserve"> </w:t>
      </w:r>
      <w:proofErr w:type="spellStart"/>
      <w:r w:rsidRPr="009F01C3">
        <w:rPr>
          <w:rFonts w:cs="Times New Roman"/>
          <w:bCs/>
        </w:rPr>
        <w:t>income</w:t>
      </w:r>
      <w:proofErr w:type="spellEnd"/>
      <w:r w:rsidRPr="009F01C3">
        <w:rPr>
          <w:rFonts w:cs="Times New Roman"/>
          <w:bCs/>
        </w:rPr>
        <w:t xml:space="preserve">, </w:t>
      </w:r>
      <w:proofErr w:type="spellStart"/>
      <w:r w:rsidRPr="009F01C3">
        <w:rPr>
          <w:rFonts w:cs="Times New Roman"/>
          <w:bCs/>
        </w:rPr>
        <w:t>lagging</w:t>
      </w:r>
      <w:proofErr w:type="spellEnd"/>
      <w:r w:rsidRPr="009F01C3">
        <w:rPr>
          <w:rFonts w:cs="Times New Roman"/>
          <w:bCs/>
        </w:rPr>
        <w:t xml:space="preserve"> </w:t>
      </w:r>
      <w:proofErr w:type="spellStart"/>
      <w:r w:rsidRPr="009F01C3">
        <w:rPr>
          <w:rFonts w:cs="Times New Roman"/>
          <w:bCs/>
        </w:rPr>
        <w:t>regions</w:t>
      </w:r>
      <w:proofErr w:type="spellEnd"/>
    </w:p>
  </w:footnote>
  <w:footnote w:id="4">
    <w:p w14:paraId="37E3E0CB" w14:textId="77777777" w:rsidR="0016447E" w:rsidRPr="009F01C3" w:rsidRDefault="0016447E" w:rsidP="00967F33">
      <w:pPr>
        <w:pStyle w:val="FootnoteText"/>
        <w:rPr>
          <w:rFonts w:cs="Times New Roman"/>
          <w:bCs/>
        </w:rPr>
      </w:pPr>
      <w:r w:rsidRPr="009F01C3">
        <w:rPr>
          <w:rStyle w:val="FootnoteReference"/>
          <w:rFonts w:cs="Times New Roman"/>
          <w:b w:val="0"/>
          <w:bCs/>
        </w:rPr>
        <w:footnoteRef/>
      </w:r>
      <w:r w:rsidRPr="009F01C3">
        <w:rPr>
          <w:rFonts w:cs="Times New Roman"/>
          <w:bCs/>
        </w:rPr>
        <w:t xml:space="preserve"> Regional </w:t>
      </w:r>
      <w:proofErr w:type="spellStart"/>
      <w:r w:rsidRPr="009F01C3">
        <w:rPr>
          <w:rFonts w:cs="Times New Roman"/>
          <w:bCs/>
        </w:rPr>
        <w:t>Competitiveness</w:t>
      </w:r>
      <w:proofErr w:type="spellEnd"/>
      <w:r w:rsidRPr="009F01C3">
        <w:rPr>
          <w:rFonts w:cs="Times New Roman"/>
          <w:bCs/>
        </w:rPr>
        <w:t xml:space="preserve"> Index </w:t>
      </w:r>
      <w:hyperlink r:id="rId2" w:anchor="2" w:history="1">
        <w:r w:rsidRPr="009F01C3">
          <w:rPr>
            <w:rStyle w:val="Hyperlink"/>
            <w:rFonts w:cs="Times New Roman"/>
            <w:bCs/>
          </w:rPr>
          <w:t>https://ec.europa.eu/regional_policy/en/information/maps/regional_competitiveness/#2</w:t>
        </w:r>
      </w:hyperlink>
    </w:p>
  </w:footnote>
  <w:footnote w:id="5">
    <w:p w14:paraId="3C338B83" w14:textId="77777777"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2018, </w:t>
      </w:r>
      <w:proofErr w:type="spellStart"/>
      <w:r w:rsidRPr="009F01C3">
        <w:rPr>
          <w:rFonts w:cs="Times New Roman"/>
          <w:bCs/>
        </w:rPr>
        <w:t>Eurostat</w:t>
      </w:r>
      <w:proofErr w:type="spellEnd"/>
      <w:r w:rsidRPr="009F01C3">
        <w:rPr>
          <w:rFonts w:cs="Times New Roman"/>
          <w:bCs/>
        </w:rPr>
        <w:t>, cod [</w:t>
      </w:r>
      <w:hyperlink r:id="rId3" w:history="1">
        <w:r w:rsidRPr="009F01C3">
          <w:rPr>
            <w:rStyle w:val="Hyperlink"/>
            <w:rFonts w:cs="Times New Roman"/>
            <w:bCs/>
          </w:rPr>
          <w:t>nama_10r_3gdp</w:t>
        </w:r>
      </w:hyperlink>
      <w:r w:rsidRPr="009F01C3">
        <w:rPr>
          <w:rFonts w:cs="Times New Roman"/>
          <w:bCs/>
        </w:rPr>
        <w:t>]</w:t>
      </w:r>
    </w:p>
  </w:footnote>
  <w:footnote w:id="6">
    <w:p w14:paraId="207BEA2C" w14:textId="77777777"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hyperlink r:id="rId4" w:history="1">
        <w:r w:rsidRPr="009F01C3">
          <w:rPr>
            <w:rStyle w:val="Hyperlink"/>
            <w:rFonts w:cs="Times New Roman"/>
            <w:bCs/>
          </w:rPr>
          <w:t>https://ec.europa.eu/regional_policy/sources/docgener/work/rci2019_scorecards.pdf</w:t>
        </w:r>
      </w:hyperlink>
      <w:r w:rsidRPr="009F01C3">
        <w:rPr>
          <w:rFonts w:cs="Times New Roman"/>
          <w:bCs/>
        </w:rPr>
        <w:t xml:space="preserve"> </w:t>
      </w:r>
    </w:p>
  </w:footnote>
  <w:footnote w:id="7">
    <w:p w14:paraId="2D7DC857" w14:textId="77777777"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2018, </w:t>
      </w:r>
      <w:proofErr w:type="spellStart"/>
      <w:r w:rsidRPr="009F01C3">
        <w:rPr>
          <w:rFonts w:cs="Times New Roman"/>
          <w:bCs/>
        </w:rPr>
        <w:t>Eurostat</w:t>
      </w:r>
      <w:proofErr w:type="spellEnd"/>
      <w:r w:rsidRPr="009F01C3">
        <w:rPr>
          <w:rFonts w:cs="Times New Roman"/>
          <w:bCs/>
        </w:rPr>
        <w:t>, cod [</w:t>
      </w:r>
      <w:proofErr w:type="spellStart"/>
      <w:r w:rsidRPr="009F01C3">
        <w:rPr>
          <w:rFonts w:cs="Times New Roman"/>
          <w:bCs/>
        </w:rPr>
        <w:t>lfst_r_lmder</w:t>
      </w:r>
      <w:proofErr w:type="spellEnd"/>
      <w:r w:rsidRPr="009F01C3">
        <w:rPr>
          <w:rFonts w:cs="Times New Roman"/>
          <w:bCs/>
        </w:rPr>
        <w:t>], date NUTS3</w:t>
      </w:r>
    </w:p>
  </w:footnote>
  <w:footnote w:id="8">
    <w:p w14:paraId="1E3632F8" w14:textId="77777777"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RIS3 NV, </w:t>
      </w:r>
      <w:hyperlink r:id="rId5" w:history="1">
        <w:r w:rsidRPr="009F01C3">
          <w:rPr>
            <w:rStyle w:val="Hyperlink"/>
            <w:rFonts w:cs="Times New Roman"/>
            <w:bCs/>
          </w:rPr>
          <w:t>https://www.nord-vest.ro/wp-content/uploads/2018/07/RIS3-NV-190301.pdf</w:t>
        </w:r>
      </w:hyperlink>
      <w:r w:rsidRPr="009F01C3">
        <w:rPr>
          <w:rFonts w:cs="Times New Roman"/>
          <w:bCs/>
        </w:rPr>
        <w:t xml:space="preserve"> </w:t>
      </w:r>
    </w:p>
  </w:footnote>
  <w:footnote w:id="9">
    <w:p w14:paraId="204E2578" w14:textId="77777777"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2018, INS, Tempo Online, cheltuieli CDI, cod [CDP104B]</w:t>
      </w:r>
    </w:p>
  </w:footnote>
  <w:footnote w:id="10">
    <w:p w14:paraId="26E4725B" w14:textId="77777777"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2018, INS, Tempo Online cod [CDP103E]</w:t>
      </w:r>
    </w:p>
  </w:footnote>
  <w:footnote w:id="11">
    <w:p w14:paraId="2503E720" w14:textId="77777777"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2018, INS, Tempo Online cod [SCL101E]</w:t>
      </w:r>
    </w:p>
  </w:footnote>
  <w:footnote w:id="12">
    <w:p w14:paraId="21C676D7" w14:textId="77777777"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2018, INS, Tempo Online cod [CDP103E]</w:t>
      </w:r>
    </w:p>
  </w:footnote>
  <w:footnote w:id="13">
    <w:p w14:paraId="495E3C66" w14:textId="01A61C4A"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r w:rsidRPr="00370E28">
        <w:rPr>
          <w:rFonts w:cs="Times New Roman"/>
          <w:bCs/>
        </w:rPr>
        <w:t>Sursa:</w:t>
      </w:r>
      <w:r>
        <w:rPr>
          <w:rFonts w:cs="Times New Roman"/>
          <w:bCs/>
        </w:rPr>
        <w:t xml:space="preserve"> RIS3 NV</w:t>
      </w:r>
    </w:p>
  </w:footnote>
  <w:footnote w:id="14">
    <w:p w14:paraId="55C9E321" w14:textId="67577F7D"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Sursa: PDR NV 2021-2027, </w:t>
      </w:r>
      <w:hyperlink r:id="rId6" w:history="1">
        <w:r w:rsidRPr="009F01C3">
          <w:rPr>
            <w:rStyle w:val="Hyperlink"/>
            <w:rFonts w:cs="Times New Roman"/>
            <w:bCs/>
          </w:rPr>
          <w:t>https://www.nord-vest.ro/wp-content/uploads/2020/02/0.-Profil-socio-economic-Regiunea-Nord-Vest-draft-1.pdf</w:t>
        </w:r>
      </w:hyperlink>
    </w:p>
  </w:footnote>
  <w:footnote w:id="15">
    <w:p w14:paraId="3D1B5EB3" w14:textId="77777777"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16-64 ani</w:t>
      </w:r>
    </w:p>
  </w:footnote>
  <w:footnote w:id="16">
    <w:p w14:paraId="5E0CE094" w14:textId="5B64BE65"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Atlasul Zonelor Urbane Marginalizate, Banca Mondială, 2016 </w:t>
      </w:r>
      <w:hyperlink r:id="rId7" w:history="1">
        <w:r w:rsidRPr="009F01C3">
          <w:rPr>
            <w:rStyle w:val="Hyperlink"/>
            <w:rFonts w:cs="Times New Roman"/>
            <w:bCs/>
          </w:rPr>
          <w:t>http://documents1.worldbank.org/curated/en/857001468293738087/pdf/882420WP0P1430085232B00OUO0900Atlas.pdf</w:t>
        </w:r>
      </w:hyperlink>
      <w:r w:rsidRPr="009F01C3">
        <w:rPr>
          <w:rFonts w:cs="Times New Roman"/>
          <w:bCs/>
        </w:rPr>
        <w:t xml:space="preserve"> </w:t>
      </w:r>
    </w:p>
  </w:footnote>
  <w:footnote w:id="17">
    <w:p w14:paraId="41B21F0B" w14:textId="77777777"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Cf. legislației în vigoare</w:t>
      </w:r>
    </w:p>
  </w:footnote>
  <w:footnote w:id="18">
    <w:p w14:paraId="0A336943" w14:textId="5C2B8A1A"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Datorită introducerii clasei pregătitoare </w:t>
      </w:r>
    </w:p>
  </w:footnote>
  <w:footnote w:id="19">
    <w:p w14:paraId="695DBC77" w14:textId="77777777"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hyperlink r:id="rId8" w:history="1">
        <w:r w:rsidRPr="009F01C3">
          <w:rPr>
            <w:rStyle w:val="Hyperlink"/>
            <w:rFonts w:cs="Times New Roman"/>
            <w:bCs/>
          </w:rPr>
          <w:t>https://www.edu.ro/sites/default/files/Strategie%20SMIE%2023.04.2018.pdf</w:t>
        </w:r>
      </w:hyperlink>
      <w:r w:rsidRPr="009F01C3">
        <w:rPr>
          <w:rFonts w:cs="Times New Roman"/>
          <w:bCs/>
        </w:rPr>
        <w:t xml:space="preserve"> </w:t>
      </w:r>
    </w:p>
  </w:footnote>
  <w:footnote w:id="20">
    <w:p w14:paraId="4C140868" w14:textId="77777777"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PDR 2021-2027</w:t>
      </w:r>
    </w:p>
  </w:footnote>
  <w:footnote w:id="21">
    <w:p w14:paraId="37935C31" w14:textId="77777777"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Strategia națională de renovare pe termen lung pentru sprijinirea renovării parcului național de clădiri rezidențiale și nerezidențiale, atât publice cât și private într-un parc imobiliar cu un nivel ridicat de eficiență energetică și </w:t>
      </w:r>
      <w:proofErr w:type="spellStart"/>
      <w:r w:rsidRPr="009F01C3">
        <w:rPr>
          <w:rFonts w:cs="Times New Roman"/>
          <w:bCs/>
        </w:rPr>
        <w:t>decarbonat</w:t>
      </w:r>
      <w:proofErr w:type="spellEnd"/>
      <w:r w:rsidRPr="009F01C3">
        <w:rPr>
          <w:rFonts w:cs="Times New Roman"/>
          <w:bCs/>
        </w:rPr>
        <w:t xml:space="preserve"> până în 2050.</w:t>
      </w:r>
    </w:p>
  </w:footnote>
  <w:footnote w:id="22">
    <w:p w14:paraId="2B44988C" w14:textId="206D16A6"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date la nivel național, conform estimărilor Institutului Național al Patrimoniului,</w:t>
      </w:r>
    </w:p>
  </w:footnote>
  <w:footnote w:id="23">
    <w:p w14:paraId="6BEA7B18" w14:textId="77777777"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Plan de acțiuni privind SUERD, publicat în Comunicarea Comisiei SWD(2020) 59 final, 2020, disponibil </w:t>
      </w:r>
      <w:hyperlink r:id="rId9" w:history="1">
        <w:r w:rsidRPr="009F01C3">
          <w:rPr>
            <w:rStyle w:val="Hyperlink"/>
            <w:rFonts w:cs="Times New Roman"/>
            <w:bCs/>
          </w:rPr>
          <w:t>https://danube-region.eu/wp-content/uploads/2020/04/EUSDR-ACTION-PLAN-SWD202059-final.pdf</w:t>
        </w:r>
      </w:hyperlink>
    </w:p>
  </w:footnote>
  <w:footnote w:id="24">
    <w:p w14:paraId="3FAC675D" w14:textId="77777777"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Ciclul de investiții publice, definit cf. </w:t>
      </w:r>
      <w:r w:rsidRPr="009F01C3">
        <w:rPr>
          <w:rFonts w:cs="Times New Roman"/>
          <w:bCs/>
          <w:shd w:val="clear" w:color="auto" w:fill="FFFFFF"/>
        </w:rPr>
        <w:t>OECD (2020), </w:t>
      </w:r>
      <w:proofErr w:type="spellStart"/>
      <w:r w:rsidRPr="009F01C3">
        <w:rPr>
          <w:rFonts w:cs="Times New Roman"/>
          <w:bCs/>
          <w:i/>
          <w:iCs/>
          <w:shd w:val="clear" w:color="auto" w:fill="FFFFFF"/>
        </w:rPr>
        <w:t>Strengthening</w:t>
      </w:r>
      <w:proofErr w:type="spellEnd"/>
      <w:r w:rsidRPr="009F01C3">
        <w:rPr>
          <w:rFonts w:cs="Times New Roman"/>
          <w:bCs/>
          <w:i/>
          <w:iCs/>
          <w:shd w:val="clear" w:color="auto" w:fill="FFFFFF"/>
        </w:rPr>
        <w:t xml:space="preserve"> </w:t>
      </w:r>
      <w:proofErr w:type="spellStart"/>
      <w:r w:rsidRPr="009F01C3">
        <w:rPr>
          <w:rFonts w:cs="Times New Roman"/>
          <w:bCs/>
          <w:i/>
          <w:iCs/>
          <w:shd w:val="clear" w:color="auto" w:fill="FFFFFF"/>
        </w:rPr>
        <w:t>Governance</w:t>
      </w:r>
      <w:proofErr w:type="spellEnd"/>
      <w:r w:rsidRPr="009F01C3">
        <w:rPr>
          <w:rFonts w:cs="Times New Roman"/>
          <w:bCs/>
          <w:i/>
          <w:iCs/>
          <w:shd w:val="clear" w:color="auto" w:fill="FFFFFF"/>
        </w:rPr>
        <w:t xml:space="preserve"> of EU </w:t>
      </w:r>
      <w:proofErr w:type="spellStart"/>
      <w:r w:rsidRPr="009F01C3">
        <w:rPr>
          <w:rFonts w:cs="Times New Roman"/>
          <w:bCs/>
          <w:i/>
          <w:iCs/>
          <w:shd w:val="clear" w:color="auto" w:fill="FFFFFF"/>
        </w:rPr>
        <w:t>Funds</w:t>
      </w:r>
      <w:proofErr w:type="spellEnd"/>
      <w:r w:rsidRPr="009F01C3">
        <w:rPr>
          <w:rFonts w:cs="Times New Roman"/>
          <w:bCs/>
          <w:i/>
          <w:iCs/>
          <w:shd w:val="clear" w:color="auto" w:fill="FFFFFF"/>
        </w:rPr>
        <w:t xml:space="preserve"> </w:t>
      </w:r>
      <w:proofErr w:type="spellStart"/>
      <w:r w:rsidRPr="009F01C3">
        <w:rPr>
          <w:rFonts w:cs="Times New Roman"/>
          <w:bCs/>
          <w:i/>
          <w:iCs/>
          <w:shd w:val="clear" w:color="auto" w:fill="FFFFFF"/>
        </w:rPr>
        <w:t>under</w:t>
      </w:r>
      <w:proofErr w:type="spellEnd"/>
      <w:r w:rsidRPr="009F01C3">
        <w:rPr>
          <w:rFonts w:cs="Times New Roman"/>
          <w:bCs/>
          <w:i/>
          <w:iCs/>
          <w:shd w:val="clear" w:color="auto" w:fill="FFFFFF"/>
        </w:rPr>
        <w:t xml:space="preserve"> </w:t>
      </w:r>
      <w:proofErr w:type="spellStart"/>
      <w:r w:rsidRPr="009F01C3">
        <w:rPr>
          <w:rFonts w:cs="Times New Roman"/>
          <w:bCs/>
          <w:i/>
          <w:iCs/>
          <w:shd w:val="clear" w:color="auto" w:fill="FFFFFF"/>
        </w:rPr>
        <w:t>Cohesion</w:t>
      </w:r>
      <w:proofErr w:type="spellEnd"/>
      <w:r w:rsidRPr="009F01C3">
        <w:rPr>
          <w:rFonts w:cs="Times New Roman"/>
          <w:bCs/>
          <w:i/>
          <w:iCs/>
          <w:shd w:val="clear" w:color="auto" w:fill="FFFFFF"/>
        </w:rPr>
        <w:t xml:space="preserve"> </w:t>
      </w:r>
      <w:proofErr w:type="spellStart"/>
      <w:r w:rsidRPr="009F01C3">
        <w:rPr>
          <w:rFonts w:cs="Times New Roman"/>
          <w:bCs/>
          <w:i/>
          <w:iCs/>
          <w:shd w:val="clear" w:color="auto" w:fill="FFFFFF"/>
        </w:rPr>
        <w:t>Policy</w:t>
      </w:r>
      <w:proofErr w:type="spellEnd"/>
      <w:r w:rsidRPr="009F01C3">
        <w:rPr>
          <w:rFonts w:cs="Times New Roman"/>
          <w:bCs/>
          <w:i/>
          <w:iCs/>
          <w:shd w:val="clear" w:color="auto" w:fill="FFFFFF"/>
        </w:rPr>
        <w:t xml:space="preserve">: Administrative </w:t>
      </w:r>
      <w:proofErr w:type="spellStart"/>
      <w:r w:rsidRPr="009F01C3">
        <w:rPr>
          <w:rFonts w:cs="Times New Roman"/>
          <w:bCs/>
          <w:i/>
          <w:iCs/>
          <w:shd w:val="clear" w:color="auto" w:fill="FFFFFF"/>
        </w:rPr>
        <w:t>Capacity</w:t>
      </w:r>
      <w:proofErr w:type="spellEnd"/>
      <w:r w:rsidRPr="009F01C3">
        <w:rPr>
          <w:rFonts w:cs="Times New Roman"/>
          <w:bCs/>
          <w:i/>
          <w:iCs/>
          <w:shd w:val="clear" w:color="auto" w:fill="FFFFFF"/>
        </w:rPr>
        <w:t xml:space="preserve"> Building </w:t>
      </w:r>
      <w:proofErr w:type="spellStart"/>
      <w:r w:rsidRPr="009F01C3">
        <w:rPr>
          <w:rFonts w:cs="Times New Roman"/>
          <w:bCs/>
          <w:i/>
          <w:iCs/>
          <w:shd w:val="clear" w:color="auto" w:fill="FFFFFF"/>
        </w:rPr>
        <w:t>Roadmaps</w:t>
      </w:r>
      <w:proofErr w:type="spellEnd"/>
      <w:r w:rsidRPr="009F01C3">
        <w:rPr>
          <w:rFonts w:cs="Times New Roman"/>
          <w:bCs/>
          <w:shd w:val="clear" w:color="auto" w:fill="FFFFFF"/>
        </w:rPr>
        <w:t xml:space="preserve">, OECD </w:t>
      </w:r>
      <w:proofErr w:type="spellStart"/>
      <w:r w:rsidRPr="009F01C3">
        <w:rPr>
          <w:rFonts w:cs="Times New Roman"/>
          <w:bCs/>
          <w:shd w:val="clear" w:color="auto" w:fill="FFFFFF"/>
        </w:rPr>
        <w:t>Multi-level</w:t>
      </w:r>
      <w:proofErr w:type="spellEnd"/>
      <w:r w:rsidRPr="009F01C3">
        <w:rPr>
          <w:rFonts w:cs="Times New Roman"/>
          <w:bCs/>
          <w:shd w:val="clear" w:color="auto" w:fill="FFFFFF"/>
        </w:rPr>
        <w:t xml:space="preserve"> </w:t>
      </w:r>
      <w:proofErr w:type="spellStart"/>
      <w:r w:rsidRPr="009F01C3">
        <w:rPr>
          <w:rFonts w:cs="Times New Roman"/>
          <w:bCs/>
          <w:shd w:val="clear" w:color="auto" w:fill="FFFFFF"/>
        </w:rPr>
        <w:t>Governance</w:t>
      </w:r>
      <w:proofErr w:type="spellEnd"/>
      <w:r w:rsidRPr="009F01C3">
        <w:rPr>
          <w:rFonts w:cs="Times New Roman"/>
          <w:bCs/>
          <w:shd w:val="clear" w:color="auto" w:fill="FFFFFF"/>
        </w:rPr>
        <w:t xml:space="preserve"> Studies, OECD </w:t>
      </w:r>
      <w:proofErr w:type="spellStart"/>
      <w:r w:rsidRPr="009F01C3">
        <w:rPr>
          <w:rFonts w:cs="Times New Roman"/>
          <w:bCs/>
          <w:shd w:val="clear" w:color="auto" w:fill="FFFFFF"/>
        </w:rPr>
        <w:t>Publishing</w:t>
      </w:r>
      <w:proofErr w:type="spellEnd"/>
      <w:r w:rsidRPr="009F01C3">
        <w:rPr>
          <w:rFonts w:cs="Times New Roman"/>
          <w:bCs/>
          <w:shd w:val="clear" w:color="auto" w:fill="FFFFFF"/>
        </w:rPr>
        <w:t>, Paris, </w:t>
      </w:r>
      <w:hyperlink r:id="rId10" w:history="1">
        <w:r w:rsidRPr="009F01C3">
          <w:rPr>
            <w:rStyle w:val="Hyperlink"/>
            <w:rFonts w:cs="Times New Roman"/>
            <w:bCs/>
            <w:color w:val="auto"/>
            <w:shd w:val="clear" w:color="auto" w:fill="FFFFFF"/>
          </w:rPr>
          <w:t>https://doi.org/10.1787/9b71c8d8-en</w:t>
        </w:r>
      </w:hyperlink>
      <w:r w:rsidRPr="009F01C3">
        <w:rPr>
          <w:rFonts w:cs="Times New Roman"/>
          <w:bCs/>
          <w:shd w:val="clear" w:color="auto" w:fill="FFFFFF"/>
        </w:rPr>
        <w:t>.</w:t>
      </w:r>
    </w:p>
  </w:footnote>
  <w:footnote w:id="25">
    <w:p w14:paraId="34F50851" w14:textId="77777777"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hyperlink r:id="rId11" w:anchor="title2" w:history="1">
        <w:r w:rsidRPr="009F01C3">
          <w:rPr>
            <w:rStyle w:val="Hyperlink"/>
            <w:rFonts w:cs="Times New Roman"/>
            <w:bCs/>
          </w:rPr>
          <w:t>https://www.europarl.europa.eu/doceo/document/TA-8-2019-0303_RO.html#title2</w:t>
        </w:r>
      </w:hyperlink>
      <w:r w:rsidRPr="009F01C3">
        <w:rPr>
          <w:rFonts w:cs="Times New Roman"/>
          <w:bCs/>
        </w:rPr>
        <w:t xml:space="preserve"> </w:t>
      </w:r>
    </w:p>
  </w:footnote>
  <w:footnote w:id="26">
    <w:p w14:paraId="4260F3DC" w14:textId="3A51F4E6"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Strategia de Specializare Inteligentă a Regiunii Nord-Vest 2021-2027, Planului de Dezvoltare Regională a Regiunii Nord-Vest 2021-2027, Strategia </w:t>
      </w:r>
      <w:proofErr w:type="spellStart"/>
      <w:r w:rsidRPr="009F01C3">
        <w:rPr>
          <w:rFonts w:cs="Times New Roman"/>
          <w:bCs/>
        </w:rPr>
        <w:t>Naţională</w:t>
      </w:r>
      <w:proofErr w:type="spellEnd"/>
      <w:r w:rsidRPr="009F01C3">
        <w:rPr>
          <w:rFonts w:cs="Times New Roman"/>
          <w:bCs/>
        </w:rPr>
        <w:t xml:space="preserve"> de Cercetare și Specializare Inteligentă (SNCSI) 2021-2027, Strategia Națională pentru Dezvoltare Durabilă 2030, Documentul de Politică Industrială a României</w:t>
      </w:r>
    </w:p>
  </w:footnote>
  <w:footnote w:id="27">
    <w:p w14:paraId="0107555C" w14:textId="7317CA75" w:rsidR="0016447E" w:rsidRPr="009F01C3" w:rsidRDefault="0016447E" w:rsidP="00967F33">
      <w:pPr>
        <w:pStyle w:val="FootnoteText"/>
        <w:rPr>
          <w:rFonts w:cs="Times New Roman"/>
          <w:bCs/>
        </w:rPr>
      </w:pPr>
      <w:r w:rsidRPr="009F01C3">
        <w:rPr>
          <w:rStyle w:val="FootnoteReference"/>
          <w:rFonts w:cs="Times New Roman"/>
          <w:b w:val="0"/>
          <w:bCs/>
        </w:rPr>
        <w:footnoteRef/>
      </w:r>
      <w:r w:rsidRPr="009F01C3">
        <w:rPr>
          <w:rFonts w:cs="Times New Roman"/>
          <w:bCs/>
        </w:rPr>
        <w:t xml:space="preserve"> Strategia de Specializare Inteligentă a Regiunii Nord-Vest 2021-2027, Strategia Regională de Mobilitate Urbană Durabilă și Orașe Inteligente a Regiunii Nord-Vest 2021-2027, Planul de Dezvoltare Regională a Regiunii Nord-Vest 2021-2027</w:t>
      </w:r>
    </w:p>
  </w:footnote>
  <w:footnote w:id="28">
    <w:p w14:paraId="45852272" w14:textId="3979D398" w:rsidR="0016447E" w:rsidRPr="009F01C3" w:rsidRDefault="0016447E" w:rsidP="00967F33">
      <w:pPr>
        <w:pStyle w:val="FootnoteText"/>
        <w:rPr>
          <w:rFonts w:cs="Times New Roman"/>
          <w:bCs/>
        </w:rPr>
      </w:pPr>
      <w:r w:rsidRPr="009F01C3">
        <w:rPr>
          <w:rStyle w:val="FootnoteReference"/>
          <w:rFonts w:cs="Times New Roman"/>
          <w:b w:val="0"/>
          <w:bCs/>
        </w:rPr>
        <w:footnoteRef/>
      </w:r>
      <w:r w:rsidRPr="009F01C3">
        <w:rPr>
          <w:rFonts w:cs="Times New Roman"/>
          <w:bCs/>
        </w:rPr>
        <w:t xml:space="preserve"> Strategia Regională de Mobilitate Urbană Durabilă și Orașe Inteligente a Regiunii Nord-Vest 2021-2027</w:t>
      </w:r>
    </w:p>
  </w:footnote>
  <w:footnote w:id="29">
    <w:p w14:paraId="056B8A3A" w14:textId="7E574BB3" w:rsidR="0016447E" w:rsidRPr="009F01C3" w:rsidRDefault="0016447E" w:rsidP="00967F33">
      <w:pPr>
        <w:pStyle w:val="FootnoteText"/>
        <w:rPr>
          <w:rFonts w:cs="Times New Roman"/>
          <w:bCs/>
        </w:rPr>
      </w:pPr>
      <w:r w:rsidRPr="009F01C3">
        <w:rPr>
          <w:rStyle w:val="FootnoteReference"/>
          <w:rFonts w:cs="Times New Roman"/>
          <w:b w:val="0"/>
          <w:bCs/>
        </w:rPr>
        <w:footnoteRef/>
      </w:r>
      <w:r w:rsidRPr="009F01C3">
        <w:rPr>
          <w:rFonts w:cs="Times New Roman"/>
          <w:bCs/>
        </w:rPr>
        <w:t xml:space="preserve"> Planul de Dezvoltare Regională a Regiunii Nord-Vest 2021-2027, Strategia Regională de Mobilitate Urbană Durabilă și Orașe Inteligente a Regiunii Nord-Vest 2021-2027</w:t>
      </w:r>
    </w:p>
  </w:footnote>
  <w:footnote w:id="30">
    <w:p w14:paraId="0A7160D8" w14:textId="214A555D" w:rsidR="0016447E" w:rsidRPr="009F01C3" w:rsidRDefault="0016447E" w:rsidP="00967F33">
      <w:pPr>
        <w:pStyle w:val="FootnoteText"/>
        <w:rPr>
          <w:rFonts w:cs="Times New Roman"/>
        </w:rPr>
      </w:pPr>
      <w:r w:rsidRPr="009F01C3">
        <w:rPr>
          <w:rStyle w:val="FootnoteReference"/>
          <w:rFonts w:cs="Times New Roman"/>
        </w:rPr>
        <w:footnoteRef/>
      </w:r>
      <w:r w:rsidRPr="009F01C3">
        <w:rPr>
          <w:rFonts w:cs="Times New Roman"/>
        </w:rPr>
        <w:t xml:space="preserve"> Strategia Regională de Mobilitate Urbană Durabilă și Orașe Inteligente a Regiunii Nord-Vest 2021-2027</w:t>
      </w:r>
    </w:p>
  </w:footnote>
  <w:footnote w:id="31">
    <w:p w14:paraId="374CCD24" w14:textId="77777777"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hyperlink r:id="rId12" w:anchor="title2" w:history="1">
        <w:r w:rsidRPr="009F01C3">
          <w:rPr>
            <w:rStyle w:val="Hyperlink"/>
            <w:rFonts w:cs="Times New Roman"/>
            <w:bCs/>
          </w:rPr>
          <w:t>https://www.europarl.europa.eu/doceo/document/TA-8-2019-0303_RO.html#title2</w:t>
        </w:r>
      </w:hyperlink>
      <w:r w:rsidRPr="009F01C3">
        <w:rPr>
          <w:rFonts w:cs="Times New Roman"/>
          <w:bCs/>
        </w:rPr>
        <w:t xml:space="preserve"> </w:t>
      </w:r>
    </w:p>
  </w:footnote>
  <w:footnote w:id="32">
    <w:p w14:paraId="18669D05" w14:textId="77777777"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r w:rsidRPr="009F01C3">
        <w:rPr>
          <w:rFonts w:cs="Times New Roman"/>
          <w:bCs/>
        </w:rPr>
        <w:tab/>
        <w:t xml:space="preserve">In case </w:t>
      </w:r>
      <w:proofErr w:type="spellStart"/>
      <w:r w:rsidRPr="009F01C3">
        <w:rPr>
          <w:rFonts w:cs="Times New Roman"/>
          <w:bCs/>
        </w:rPr>
        <w:t>resources</w:t>
      </w:r>
      <w:proofErr w:type="spellEnd"/>
      <w:r w:rsidRPr="009F01C3">
        <w:rPr>
          <w:rFonts w:cs="Times New Roman"/>
          <w:bCs/>
        </w:rPr>
        <w:t xml:space="preserve"> </w:t>
      </w:r>
      <w:proofErr w:type="spellStart"/>
      <w:r w:rsidRPr="009F01C3">
        <w:rPr>
          <w:rFonts w:cs="Times New Roman"/>
          <w:bCs/>
        </w:rPr>
        <w:t>under</w:t>
      </w:r>
      <w:proofErr w:type="spellEnd"/>
      <w:r w:rsidRPr="009F01C3">
        <w:rPr>
          <w:rFonts w:cs="Times New Roman"/>
          <w:bCs/>
        </w:rPr>
        <w:t xml:space="preserve"> </w:t>
      </w:r>
      <w:proofErr w:type="spellStart"/>
      <w:r w:rsidRPr="009F01C3">
        <w:rPr>
          <w:rFonts w:cs="Times New Roman"/>
          <w:bCs/>
        </w:rPr>
        <w:t>the</w:t>
      </w:r>
      <w:proofErr w:type="spellEnd"/>
      <w:r w:rsidRPr="009F01C3">
        <w:rPr>
          <w:rFonts w:cs="Times New Roman"/>
          <w:bCs/>
        </w:rPr>
        <w:t xml:space="preserve"> specific </w:t>
      </w:r>
      <w:proofErr w:type="spellStart"/>
      <w:r w:rsidRPr="009F01C3">
        <w:rPr>
          <w:rFonts w:cs="Times New Roman"/>
          <w:bCs/>
        </w:rPr>
        <w:t>objective</w:t>
      </w:r>
      <w:proofErr w:type="spellEnd"/>
      <w:r w:rsidRPr="009F01C3">
        <w:rPr>
          <w:rFonts w:cs="Times New Roman"/>
          <w:bCs/>
        </w:rPr>
        <w:t xml:space="preserve"> set out in </w:t>
      </w:r>
      <w:proofErr w:type="spellStart"/>
      <w:r w:rsidRPr="009F01C3">
        <w:rPr>
          <w:rFonts w:cs="Times New Roman"/>
          <w:bCs/>
        </w:rPr>
        <w:t>point</w:t>
      </w:r>
      <w:proofErr w:type="spellEnd"/>
      <w:r w:rsidRPr="009F01C3">
        <w:rPr>
          <w:rFonts w:cs="Times New Roman"/>
          <w:bCs/>
        </w:rPr>
        <w:t xml:space="preserve"> (x) of </w:t>
      </w:r>
      <w:proofErr w:type="spellStart"/>
      <w:r w:rsidRPr="009F01C3">
        <w:rPr>
          <w:rFonts w:cs="Times New Roman"/>
          <w:bCs/>
        </w:rPr>
        <w:t>Article</w:t>
      </w:r>
      <w:proofErr w:type="spellEnd"/>
      <w:r w:rsidRPr="009F01C3">
        <w:rPr>
          <w:rFonts w:cs="Times New Roman"/>
          <w:bCs/>
        </w:rPr>
        <w:t xml:space="preserve"> 4(1) of </w:t>
      </w:r>
      <w:proofErr w:type="spellStart"/>
      <w:r w:rsidRPr="009F01C3">
        <w:rPr>
          <w:rFonts w:cs="Times New Roman"/>
          <w:bCs/>
        </w:rPr>
        <w:t>the</w:t>
      </w:r>
      <w:proofErr w:type="spellEnd"/>
      <w:r w:rsidRPr="009F01C3">
        <w:rPr>
          <w:rFonts w:cs="Times New Roman"/>
          <w:bCs/>
        </w:rPr>
        <w:t xml:space="preserve"> ESF+ </w:t>
      </w:r>
      <w:proofErr w:type="spellStart"/>
      <w:r w:rsidRPr="009F01C3">
        <w:rPr>
          <w:rFonts w:cs="Times New Roman"/>
          <w:bCs/>
        </w:rPr>
        <w:t>Regulation</w:t>
      </w:r>
      <w:proofErr w:type="spellEnd"/>
      <w:r w:rsidRPr="009F01C3">
        <w:rPr>
          <w:rFonts w:cs="Times New Roman"/>
          <w:bCs/>
        </w:rPr>
        <w:t xml:space="preserve"> are </w:t>
      </w:r>
      <w:proofErr w:type="spellStart"/>
      <w:r w:rsidRPr="009F01C3">
        <w:rPr>
          <w:rFonts w:cs="Times New Roman"/>
          <w:bCs/>
        </w:rPr>
        <w:t>taken</w:t>
      </w:r>
      <w:proofErr w:type="spellEnd"/>
      <w:r w:rsidRPr="009F01C3">
        <w:rPr>
          <w:rFonts w:cs="Times New Roman"/>
          <w:bCs/>
        </w:rPr>
        <w:t xml:space="preserve"> </w:t>
      </w:r>
      <w:proofErr w:type="spellStart"/>
      <w:r w:rsidRPr="009F01C3">
        <w:rPr>
          <w:rFonts w:cs="Times New Roman"/>
          <w:bCs/>
        </w:rPr>
        <w:t>into</w:t>
      </w:r>
      <w:proofErr w:type="spellEnd"/>
      <w:r w:rsidRPr="009F01C3">
        <w:rPr>
          <w:rFonts w:cs="Times New Roman"/>
          <w:bCs/>
        </w:rPr>
        <w:t xml:space="preserve"> </w:t>
      </w:r>
      <w:proofErr w:type="spellStart"/>
      <w:r w:rsidRPr="009F01C3">
        <w:rPr>
          <w:rFonts w:cs="Times New Roman"/>
          <w:bCs/>
        </w:rPr>
        <w:t>account</w:t>
      </w:r>
      <w:proofErr w:type="spellEnd"/>
      <w:r w:rsidRPr="009F01C3">
        <w:rPr>
          <w:rFonts w:cs="Times New Roman"/>
          <w:bCs/>
        </w:rPr>
        <w:t xml:space="preserve"> for </w:t>
      </w:r>
      <w:proofErr w:type="spellStart"/>
      <w:r w:rsidRPr="009F01C3">
        <w:rPr>
          <w:rFonts w:cs="Times New Roman"/>
          <w:bCs/>
        </w:rPr>
        <w:t>the</w:t>
      </w:r>
      <w:proofErr w:type="spellEnd"/>
      <w:r w:rsidRPr="009F01C3">
        <w:rPr>
          <w:rFonts w:cs="Times New Roman"/>
          <w:bCs/>
        </w:rPr>
        <w:t xml:space="preserve"> </w:t>
      </w:r>
      <w:proofErr w:type="spellStart"/>
      <w:r w:rsidRPr="009F01C3">
        <w:rPr>
          <w:rFonts w:cs="Times New Roman"/>
          <w:bCs/>
        </w:rPr>
        <w:t>purposes</w:t>
      </w:r>
      <w:proofErr w:type="spellEnd"/>
      <w:r w:rsidRPr="009F01C3">
        <w:rPr>
          <w:rFonts w:cs="Times New Roman"/>
          <w:bCs/>
        </w:rPr>
        <w:t xml:space="preserve"> of </w:t>
      </w:r>
      <w:proofErr w:type="spellStart"/>
      <w:r w:rsidRPr="009F01C3">
        <w:rPr>
          <w:rFonts w:cs="Times New Roman"/>
          <w:bCs/>
        </w:rPr>
        <w:t>Article</w:t>
      </w:r>
      <w:proofErr w:type="spellEnd"/>
      <w:r w:rsidRPr="009F01C3">
        <w:rPr>
          <w:rFonts w:cs="Times New Roman"/>
          <w:bCs/>
        </w:rPr>
        <w:t xml:space="preserve"> 7(4) of </w:t>
      </w:r>
      <w:proofErr w:type="spellStart"/>
      <w:r w:rsidRPr="009F01C3">
        <w:rPr>
          <w:rFonts w:cs="Times New Roman"/>
          <w:bCs/>
        </w:rPr>
        <w:t>the</w:t>
      </w:r>
      <w:proofErr w:type="spellEnd"/>
      <w:r w:rsidRPr="009F01C3">
        <w:rPr>
          <w:rFonts w:cs="Times New Roman"/>
          <w:bCs/>
        </w:rPr>
        <w:t xml:space="preserve"> ESF+ </w:t>
      </w:r>
      <w:proofErr w:type="spellStart"/>
      <w:r w:rsidRPr="009F01C3">
        <w:rPr>
          <w:rFonts w:cs="Times New Roman"/>
          <w:bCs/>
        </w:rPr>
        <w:t>Regulation</w:t>
      </w:r>
      <w:proofErr w:type="spellEnd"/>
      <w:r w:rsidRPr="009F01C3">
        <w:rPr>
          <w:rFonts w:cs="Times New Roman"/>
          <w:bCs/>
        </w:rPr>
        <w:t>.</w:t>
      </w:r>
    </w:p>
  </w:footnote>
  <w:footnote w:id="33">
    <w:p w14:paraId="33A29279" w14:textId="77777777"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r w:rsidRPr="009F01C3">
        <w:rPr>
          <w:rFonts w:cs="Times New Roman"/>
          <w:bCs/>
        </w:rPr>
        <w:tab/>
      </w:r>
      <w:proofErr w:type="spellStart"/>
      <w:r w:rsidRPr="009F01C3">
        <w:rPr>
          <w:rFonts w:cs="Times New Roman"/>
          <w:bCs/>
        </w:rPr>
        <w:t>Not</w:t>
      </w:r>
      <w:proofErr w:type="spellEnd"/>
      <w:r w:rsidRPr="009F01C3">
        <w:rPr>
          <w:rFonts w:cs="Times New Roman"/>
          <w:bCs/>
        </w:rPr>
        <w:t xml:space="preserve"> relevant for CF</w:t>
      </w:r>
    </w:p>
  </w:footnote>
  <w:footnote w:id="34">
    <w:p w14:paraId="7ED9F4A2" w14:textId="77777777"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r w:rsidRPr="009F01C3">
        <w:rPr>
          <w:rFonts w:cs="Times New Roman"/>
          <w:bCs/>
        </w:rPr>
        <w:tab/>
      </w:r>
      <w:proofErr w:type="spellStart"/>
      <w:r w:rsidRPr="009F01C3">
        <w:rPr>
          <w:rFonts w:cs="Times New Roman"/>
          <w:bCs/>
        </w:rPr>
        <w:t>Not</w:t>
      </w:r>
      <w:proofErr w:type="spellEnd"/>
      <w:r w:rsidRPr="009F01C3">
        <w:rPr>
          <w:rFonts w:cs="Times New Roman"/>
          <w:bCs/>
        </w:rPr>
        <w:t xml:space="preserve"> relevant for CF</w:t>
      </w:r>
    </w:p>
  </w:footnote>
  <w:footnote w:id="35">
    <w:p w14:paraId="0A8AF267" w14:textId="77777777"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r w:rsidRPr="009F01C3">
        <w:rPr>
          <w:rFonts w:cs="Times New Roman"/>
          <w:bCs/>
        </w:rPr>
        <w:tab/>
      </w:r>
      <w:proofErr w:type="spellStart"/>
      <w:r w:rsidRPr="009F01C3">
        <w:rPr>
          <w:rFonts w:cs="Times New Roman"/>
          <w:bCs/>
        </w:rPr>
        <w:t>Not</w:t>
      </w:r>
      <w:proofErr w:type="spellEnd"/>
      <w:r w:rsidRPr="009F01C3">
        <w:rPr>
          <w:rFonts w:cs="Times New Roman"/>
          <w:bCs/>
        </w:rPr>
        <w:t xml:space="preserve"> relevant for CF</w:t>
      </w:r>
    </w:p>
  </w:footnote>
  <w:footnote w:id="36">
    <w:p w14:paraId="72C9A89E" w14:textId="77777777" w:rsidR="0016447E" w:rsidRDefault="0016447E" w:rsidP="00336446">
      <w:pPr>
        <w:pStyle w:val="FootnoteText"/>
      </w:pPr>
      <w:r>
        <w:rPr>
          <w:rStyle w:val="FootnoteReference"/>
        </w:rPr>
        <w:footnoteRef/>
      </w:r>
      <w:r>
        <w:t xml:space="preserve"> Banca Mondială, </w:t>
      </w:r>
      <w:proofErr w:type="spellStart"/>
      <w:r w:rsidRPr="00DC4C71">
        <w:t>Support</w:t>
      </w:r>
      <w:proofErr w:type="spellEnd"/>
      <w:r w:rsidRPr="00DC4C71">
        <w:t xml:space="preserve"> </w:t>
      </w:r>
      <w:proofErr w:type="spellStart"/>
      <w:r w:rsidRPr="00DC4C71">
        <w:t>Innovation</w:t>
      </w:r>
      <w:proofErr w:type="spellEnd"/>
      <w:r w:rsidRPr="00DC4C71">
        <w:t xml:space="preserve"> in </w:t>
      </w:r>
      <w:proofErr w:type="spellStart"/>
      <w:r w:rsidRPr="00DC4C71">
        <w:t>Romania’s</w:t>
      </w:r>
      <w:proofErr w:type="spellEnd"/>
      <w:r w:rsidRPr="00DC4C71">
        <w:t xml:space="preserve"> </w:t>
      </w:r>
      <w:proofErr w:type="spellStart"/>
      <w:r w:rsidRPr="00DC4C71">
        <w:t>Catching-Up</w:t>
      </w:r>
      <w:proofErr w:type="spellEnd"/>
      <w:r w:rsidRPr="00DC4C71">
        <w:t xml:space="preserve"> </w:t>
      </w:r>
      <w:proofErr w:type="spellStart"/>
      <w:r w:rsidRPr="00DC4C71">
        <w:t>Regions</w:t>
      </w:r>
      <w:proofErr w:type="spellEnd"/>
      <w:r>
        <w:t xml:space="preserve"> (2019)</w:t>
      </w:r>
    </w:p>
  </w:footnote>
  <w:footnote w:id="37">
    <w:p w14:paraId="3D56B65A" w14:textId="77777777" w:rsidR="0016447E" w:rsidRDefault="0016447E" w:rsidP="00336446">
      <w:pPr>
        <w:pStyle w:val="FootnoteText"/>
      </w:pPr>
      <w:r>
        <w:rPr>
          <w:rStyle w:val="FootnoteReference"/>
        </w:rPr>
        <w:footnoteRef/>
      </w:r>
      <w:r>
        <w:t xml:space="preserve"> </w:t>
      </w:r>
      <w:r w:rsidRPr="00BA2BD9">
        <w:rPr>
          <w:rFonts w:cs="Times New Roman"/>
        </w:rPr>
        <w:t>Universitatea Babeș-Bolya</w:t>
      </w:r>
      <w:r>
        <w:rPr>
          <w:rFonts w:cs="Times New Roman"/>
        </w:rPr>
        <w:t>i</w:t>
      </w:r>
      <w:r w:rsidRPr="00BA2BD9">
        <w:rPr>
          <w:rFonts w:cs="Times New Roman"/>
        </w:rPr>
        <w:t>, Universitatea Tehnică Cluj-Napoca, Universitatea de Științe Agricole și Medicină Veterinară și Universitatea de Medicină și Farmacie Iuliu Hațieganu</w:t>
      </w:r>
      <w:r>
        <w:rPr>
          <w:rFonts w:cs="Times New Roman"/>
        </w:rPr>
        <w:t>, toate localizate în Cluj-Napoca</w:t>
      </w:r>
    </w:p>
  </w:footnote>
  <w:footnote w:id="38">
    <w:p w14:paraId="429E6566" w14:textId="77777777" w:rsidR="0016447E" w:rsidRDefault="0016447E" w:rsidP="00336446">
      <w:pPr>
        <w:pStyle w:val="FootnoteText"/>
      </w:pPr>
      <w:r>
        <w:rPr>
          <w:rStyle w:val="FootnoteReference"/>
        </w:rPr>
        <w:footnoteRef/>
      </w:r>
      <w:r>
        <w:t xml:space="preserve"> Sursa: RIS3 Nord-Vest </w:t>
      </w:r>
      <w:hyperlink r:id="rId13" w:history="1">
        <w:r>
          <w:rPr>
            <w:rStyle w:val="Hyperlink"/>
          </w:rPr>
          <w:t>https://www.nord-vest.ro/wp-content/uploads/2018/07/RIS3-NV-190301.pdf</w:t>
        </w:r>
      </w:hyperlink>
    </w:p>
  </w:footnote>
  <w:footnote w:id="39">
    <w:p w14:paraId="51A4D790" w14:textId="77777777" w:rsidR="0016447E" w:rsidRPr="009F01C3" w:rsidRDefault="0016447E" w:rsidP="00336446">
      <w:pPr>
        <w:pStyle w:val="FootnoteText"/>
        <w:rPr>
          <w:rFonts w:cs="Times New Roman"/>
          <w:lang w:val="en-US"/>
        </w:rPr>
      </w:pPr>
      <w:r w:rsidRPr="009F01C3">
        <w:rPr>
          <w:rStyle w:val="FootnoteReference"/>
          <w:rFonts w:cs="Times New Roman"/>
        </w:rPr>
        <w:footnoteRef/>
      </w:r>
      <w:r w:rsidRPr="009F01C3">
        <w:rPr>
          <w:rFonts w:cs="Times New Roman"/>
        </w:rPr>
        <w:t xml:space="preserve"> </w:t>
      </w:r>
      <w:hyperlink r:id="rId14" w:history="1">
        <w:r w:rsidRPr="009F01C3">
          <w:rPr>
            <w:rStyle w:val="Hyperlink"/>
            <w:rFonts w:cs="Times New Roman"/>
          </w:rPr>
          <w:t>https://ec.europa.eu/docsroom/documents/35937</w:t>
        </w:r>
      </w:hyperlink>
    </w:p>
  </w:footnote>
  <w:footnote w:id="40">
    <w:p w14:paraId="3BEEA387" w14:textId="77777777" w:rsidR="0016447E" w:rsidRDefault="0016447E" w:rsidP="00336446">
      <w:pPr>
        <w:pStyle w:val="FootnoteText"/>
      </w:pPr>
      <w:r>
        <w:rPr>
          <w:rStyle w:val="FootnoteReference"/>
        </w:rPr>
        <w:footnoteRef/>
      </w:r>
      <w:r>
        <w:t xml:space="preserve"> Banca Mondială, </w:t>
      </w:r>
      <w:proofErr w:type="spellStart"/>
      <w:r w:rsidRPr="00DC4C71">
        <w:t>Support</w:t>
      </w:r>
      <w:proofErr w:type="spellEnd"/>
      <w:r w:rsidRPr="00DC4C71">
        <w:t xml:space="preserve"> </w:t>
      </w:r>
      <w:proofErr w:type="spellStart"/>
      <w:r w:rsidRPr="00DC4C71">
        <w:t>Innovation</w:t>
      </w:r>
      <w:proofErr w:type="spellEnd"/>
      <w:r w:rsidRPr="00DC4C71">
        <w:t xml:space="preserve"> in </w:t>
      </w:r>
      <w:proofErr w:type="spellStart"/>
      <w:r w:rsidRPr="00DC4C71">
        <w:t>Romania’s</w:t>
      </w:r>
      <w:proofErr w:type="spellEnd"/>
      <w:r w:rsidRPr="00DC4C71">
        <w:t xml:space="preserve"> </w:t>
      </w:r>
      <w:proofErr w:type="spellStart"/>
      <w:r w:rsidRPr="00DC4C71">
        <w:t>Catching-Up</w:t>
      </w:r>
      <w:proofErr w:type="spellEnd"/>
      <w:r w:rsidRPr="00DC4C71">
        <w:t xml:space="preserve"> </w:t>
      </w:r>
      <w:proofErr w:type="spellStart"/>
      <w:r w:rsidRPr="00DC4C71">
        <w:t>Regions</w:t>
      </w:r>
      <w:proofErr w:type="spellEnd"/>
      <w:r>
        <w:t xml:space="preserve"> (2019)</w:t>
      </w:r>
    </w:p>
  </w:footnote>
  <w:footnote w:id="41">
    <w:p w14:paraId="4D044151" w14:textId="77777777" w:rsidR="0016447E" w:rsidRDefault="0016447E" w:rsidP="00336446">
      <w:pPr>
        <w:pStyle w:val="FootnoteText"/>
      </w:pPr>
      <w:r>
        <w:rPr>
          <w:rStyle w:val="FootnoteReference"/>
        </w:rPr>
        <w:footnoteRef/>
      </w:r>
      <w:r>
        <w:t xml:space="preserve"> Banca Mondială, </w:t>
      </w:r>
      <w:proofErr w:type="spellStart"/>
      <w:r w:rsidRPr="00DC4C71">
        <w:t>Support</w:t>
      </w:r>
      <w:proofErr w:type="spellEnd"/>
      <w:r w:rsidRPr="00DC4C71">
        <w:t xml:space="preserve"> </w:t>
      </w:r>
      <w:proofErr w:type="spellStart"/>
      <w:r w:rsidRPr="00DC4C71">
        <w:t>Innovation</w:t>
      </w:r>
      <w:proofErr w:type="spellEnd"/>
      <w:r w:rsidRPr="00DC4C71">
        <w:t xml:space="preserve"> in </w:t>
      </w:r>
      <w:proofErr w:type="spellStart"/>
      <w:r w:rsidRPr="00DC4C71">
        <w:t>Romania’s</w:t>
      </w:r>
      <w:proofErr w:type="spellEnd"/>
      <w:r w:rsidRPr="00DC4C71">
        <w:t xml:space="preserve"> </w:t>
      </w:r>
      <w:proofErr w:type="spellStart"/>
      <w:r w:rsidRPr="00DC4C71">
        <w:t>Catching-Up</w:t>
      </w:r>
      <w:proofErr w:type="spellEnd"/>
      <w:r w:rsidRPr="00DC4C71">
        <w:t xml:space="preserve"> </w:t>
      </w:r>
      <w:proofErr w:type="spellStart"/>
      <w:r w:rsidRPr="00DC4C71">
        <w:t>Regions</w:t>
      </w:r>
      <w:proofErr w:type="spellEnd"/>
      <w:r>
        <w:t xml:space="preserve"> (2019)</w:t>
      </w:r>
    </w:p>
  </w:footnote>
  <w:footnote w:id="42">
    <w:p w14:paraId="75742107" w14:textId="77777777" w:rsidR="0016447E" w:rsidRDefault="0016447E" w:rsidP="00C14246">
      <w:pPr>
        <w:pStyle w:val="FootnoteText"/>
      </w:pPr>
      <w:r>
        <w:rPr>
          <w:rStyle w:val="FootnoteReference"/>
        </w:rPr>
        <w:footnoteRef/>
      </w:r>
      <w:r>
        <w:t xml:space="preserve"> </w:t>
      </w:r>
      <w:proofErr w:type="spellStart"/>
      <w:r>
        <w:t>Analysis</w:t>
      </w:r>
      <w:proofErr w:type="spellEnd"/>
      <w:r>
        <w:t xml:space="preserve"> of </w:t>
      </w:r>
      <w:proofErr w:type="spellStart"/>
      <w:r>
        <w:t>Needs</w:t>
      </w:r>
      <w:proofErr w:type="spellEnd"/>
      <w:r>
        <w:t xml:space="preserve">, </w:t>
      </w:r>
      <w:proofErr w:type="spellStart"/>
      <w:r>
        <w:t>Offers</w:t>
      </w:r>
      <w:proofErr w:type="spellEnd"/>
      <w:r>
        <w:t xml:space="preserve"> </w:t>
      </w:r>
      <w:proofErr w:type="spellStart"/>
      <w:r>
        <w:t>and</w:t>
      </w:r>
      <w:proofErr w:type="spellEnd"/>
      <w:r>
        <w:t xml:space="preserve"> </w:t>
      </w:r>
      <w:proofErr w:type="spellStart"/>
      <w:r>
        <w:t>Gaps</w:t>
      </w:r>
      <w:proofErr w:type="spellEnd"/>
      <w:r>
        <w:t xml:space="preserve"> for </w:t>
      </w:r>
      <w:proofErr w:type="spellStart"/>
      <w:r>
        <w:t>Innovation</w:t>
      </w:r>
      <w:proofErr w:type="spellEnd"/>
      <w:r>
        <w:t xml:space="preserve"> &amp;Technology Transfer Services for </w:t>
      </w:r>
      <w:proofErr w:type="spellStart"/>
      <w:r>
        <w:t>Companies</w:t>
      </w:r>
      <w:proofErr w:type="spellEnd"/>
      <w:r>
        <w:t xml:space="preserve"> in </w:t>
      </w:r>
      <w:proofErr w:type="spellStart"/>
      <w:r>
        <w:t>the</w:t>
      </w:r>
      <w:proofErr w:type="spellEnd"/>
      <w:r>
        <w:t xml:space="preserve"> </w:t>
      </w:r>
      <w:proofErr w:type="spellStart"/>
      <w:r>
        <w:t>NorthWest</w:t>
      </w:r>
      <w:proofErr w:type="spellEnd"/>
      <w:r>
        <w:t xml:space="preserve"> </w:t>
      </w:r>
      <w:proofErr w:type="spellStart"/>
      <w:r>
        <w:t>Region</w:t>
      </w:r>
      <w:proofErr w:type="spellEnd"/>
      <w:r>
        <w:t xml:space="preserve"> of Romania, JRC </w:t>
      </w:r>
      <w:proofErr w:type="spellStart"/>
      <w:r>
        <w:t>Study</w:t>
      </w:r>
      <w:proofErr w:type="spellEnd"/>
      <w:r>
        <w:t>, CCI 2016CE168AT07, preluat în RIS3NV</w:t>
      </w:r>
    </w:p>
  </w:footnote>
  <w:footnote w:id="43">
    <w:p w14:paraId="6A8BB7B1" w14:textId="77777777" w:rsidR="0016447E" w:rsidRDefault="0016447E" w:rsidP="00F964FD">
      <w:pPr>
        <w:pStyle w:val="FootnoteText"/>
      </w:pPr>
      <w:r>
        <w:rPr>
          <w:rStyle w:val="FootnoteReference"/>
        </w:rPr>
        <w:footnoteRef/>
      </w:r>
      <w:r>
        <w:t xml:space="preserve"> Banca Mondială, </w:t>
      </w:r>
      <w:proofErr w:type="spellStart"/>
      <w:r w:rsidRPr="00DC4C71">
        <w:t>Support</w:t>
      </w:r>
      <w:proofErr w:type="spellEnd"/>
      <w:r w:rsidRPr="00DC4C71">
        <w:t xml:space="preserve"> </w:t>
      </w:r>
      <w:proofErr w:type="spellStart"/>
      <w:r w:rsidRPr="00DC4C71">
        <w:t>Innovation</w:t>
      </w:r>
      <w:proofErr w:type="spellEnd"/>
      <w:r w:rsidRPr="00DC4C71">
        <w:t xml:space="preserve"> in </w:t>
      </w:r>
      <w:proofErr w:type="spellStart"/>
      <w:r w:rsidRPr="00DC4C71">
        <w:t>Romania’s</w:t>
      </w:r>
      <w:proofErr w:type="spellEnd"/>
      <w:r w:rsidRPr="00DC4C71">
        <w:t xml:space="preserve"> </w:t>
      </w:r>
      <w:proofErr w:type="spellStart"/>
      <w:r w:rsidRPr="00DC4C71">
        <w:t>Catching-Up</w:t>
      </w:r>
      <w:proofErr w:type="spellEnd"/>
      <w:r w:rsidRPr="00DC4C71">
        <w:t xml:space="preserve"> </w:t>
      </w:r>
      <w:proofErr w:type="spellStart"/>
      <w:r w:rsidRPr="00DC4C71">
        <w:t>Regions</w:t>
      </w:r>
      <w:proofErr w:type="spellEnd"/>
      <w:r>
        <w:t xml:space="preserve"> (2019)</w:t>
      </w:r>
    </w:p>
    <w:p w14:paraId="166ED02D" w14:textId="0D12DFDD" w:rsidR="0016447E" w:rsidRDefault="0016447E">
      <w:pPr>
        <w:pStyle w:val="FootnoteText"/>
      </w:pPr>
    </w:p>
  </w:footnote>
  <w:footnote w:id="44">
    <w:p w14:paraId="0F81FD29" w14:textId="77777777"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r w:rsidRPr="009F01C3">
        <w:rPr>
          <w:rFonts w:cs="Times New Roman"/>
          <w:bCs/>
        </w:rPr>
        <w:tab/>
        <w:t xml:space="preserve">In case </w:t>
      </w:r>
      <w:proofErr w:type="spellStart"/>
      <w:r w:rsidRPr="009F01C3">
        <w:rPr>
          <w:rFonts w:cs="Times New Roman"/>
          <w:bCs/>
        </w:rPr>
        <w:t>resources</w:t>
      </w:r>
      <w:proofErr w:type="spellEnd"/>
      <w:r w:rsidRPr="009F01C3">
        <w:rPr>
          <w:rFonts w:cs="Times New Roman"/>
          <w:bCs/>
        </w:rPr>
        <w:t xml:space="preserve"> </w:t>
      </w:r>
      <w:proofErr w:type="spellStart"/>
      <w:r w:rsidRPr="009F01C3">
        <w:rPr>
          <w:rFonts w:cs="Times New Roman"/>
          <w:bCs/>
        </w:rPr>
        <w:t>under</w:t>
      </w:r>
      <w:proofErr w:type="spellEnd"/>
      <w:r w:rsidRPr="009F01C3">
        <w:rPr>
          <w:rFonts w:cs="Times New Roman"/>
          <w:bCs/>
        </w:rPr>
        <w:t xml:space="preserve"> </w:t>
      </w:r>
      <w:proofErr w:type="spellStart"/>
      <w:r w:rsidRPr="009F01C3">
        <w:rPr>
          <w:rFonts w:cs="Times New Roman"/>
          <w:bCs/>
        </w:rPr>
        <w:t>the</w:t>
      </w:r>
      <w:proofErr w:type="spellEnd"/>
      <w:r w:rsidRPr="009F01C3">
        <w:rPr>
          <w:rFonts w:cs="Times New Roman"/>
          <w:bCs/>
        </w:rPr>
        <w:t xml:space="preserve"> specific </w:t>
      </w:r>
      <w:proofErr w:type="spellStart"/>
      <w:r w:rsidRPr="009F01C3">
        <w:rPr>
          <w:rFonts w:cs="Times New Roman"/>
          <w:bCs/>
        </w:rPr>
        <w:t>objective</w:t>
      </w:r>
      <w:proofErr w:type="spellEnd"/>
      <w:r w:rsidRPr="009F01C3">
        <w:rPr>
          <w:rFonts w:cs="Times New Roman"/>
          <w:bCs/>
        </w:rPr>
        <w:t xml:space="preserve"> set out in </w:t>
      </w:r>
      <w:proofErr w:type="spellStart"/>
      <w:r w:rsidRPr="009F01C3">
        <w:rPr>
          <w:rFonts w:cs="Times New Roman"/>
          <w:bCs/>
        </w:rPr>
        <w:t>point</w:t>
      </w:r>
      <w:proofErr w:type="spellEnd"/>
      <w:r w:rsidRPr="009F01C3">
        <w:rPr>
          <w:rFonts w:cs="Times New Roman"/>
          <w:bCs/>
        </w:rPr>
        <w:t xml:space="preserve"> (x) of </w:t>
      </w:r>
      <w:proofErr w:type="spellStart"/>
      <w:r w:rsidRPr="009F01C3">
        <w:rPr>
          <w:rFonts w:cs="Times New Roman"/>
          <w:bCs/>
        </w:rPr>
        <w:t>Article</w:t>
      </w:r>
      <w:proofErr w:type="spellEnd"/>
      <w:r w:rsidRPr="009F01C3">
        <w:rPr>
          <w:rFonts w:cs="Times New Roman"/>
          <w:bCs/>
        </w:rPr>
        <w:t xml:space="preserve"> 4(1) of </w:t>
      </w:r>
      <w:proofErr w:type="spellStart"/>
      <w:r w:rsidRPr="009F01C3">
        <w:rPr>
          <w:rFonts w:cs="Times New Roman"/>
          <w:bCs/>
        </w:rPr>
        <w:t>the</w:t>
      </w:r>
      <w:proofErr w:type="spellEnd"/>
      <w:r w:rsidRPr="009F01C3">
        <w:rPr>
          <w:rFonts w:cs="Times New Roman"/>
          <w:bCs/>
        </w:rPr>
        <w:t xml:space="preserve"> ESF+ </w:t>
      </w:r>
      <w:proofErr w:type="spellStart"/>
      <w:r w:rsidRPr="009F01C3">
        <w:rPr>
          <w:rFonts w:cs="Times New Roman"/>
          <w:bCs/>
        </w:rPr>
        <w:t>Regulation</w:t>
      </w:r>
      <w:proofErr w:type="spellEnd"/>
      <w:r w:rsidRPr="009F01C3">
        <w:rPr>
          <w:rFonts w:cs="Times New Roman"/>
          <w:bCs/>
        </w:rPr>
        <w:t xml:space="preserve"> are </w:t>
      </w:r>
      <w:proofErr w:type="spellStart"/>
      <w:r w:rsidRPr="009F01C3">
        <w:rPr>
          <w:rFonts w:cs="Times New Roman"/>
          <w:bCs/>
        </w:rPr>
        <w:t>taken</w:t>
      </w:r>
      <w:proofErr w:type="spellEnd"/>
      <w:r w:rsidRPr="009F01C3">
        <w:rPr>
          <w:rFonts w:cs="Times New Roman"/>
          <w:bCs/>
        </w:rPr>
        <w:t xml:space="preserve"> </w:t>
      </w:r>
      <w:proofErr w:type="spellStart"/>
      <w:r w:rsidRPr="009F01C3">
        <w:rPr>
          <w:rFonts w:cs="Times New Roman"/>
          <w:bCs/>
        </w:rPr>
        <w:t>into</w:t>
      </w:r>
      <w:proofErr w:type="spellEnd"/>
      <w:r w:rsidRPr="009F01C3">
        <w:rPr>
          <w:rFonts w:cs="Times New Roman"/>
          <w:bCs/>
        </w:rPr>
        <w:t xml:space="preserve"> </w:t>
      </w:r>
      <w:proofErr w:type="spellStart"/>
      <w:r w:rsidRPr="009F01C3">
        <w:rPr>
          <w:rFonts w:cs="Times New Roman"/>
          <w:bCs/>
        </w:rPr>
        <w:t>account</w:t>
      </w:r>
      <w:proofErr w:type="spellEnd"/>
      <w:r w:rsidRPr="009F01C3">
        <w:rPr>
          <w:rFonts w:cs="Times New Roman"/>
          <w:bCs/>
        </w:rPr>
        <w:t xml:space="preserve"> for </w:t>
      </w:r>
      <w:proofErr w:type="spellStart"/>
      <w:r w:rsidRPr="009F01C3">
        <w:rPr>
          <w:rFonts w:cs="Times New Roman"/>
          <w:bCs/>
        </w:rPr>
        <w:t>the</w:t>
      </w:r>
      <w:proofErr w:type="spellEnd"/>
      <w:r w:rsidRPr="009F01C3">
        <w:rPr>
          <w:rFonts w:cs="Times New Roman"/>
          <w:bCs/>
        </w:rPr>
        <w:t xml:space="preserve"> </w:t>
      </w:r>
      <w:proofErr w:type="spellStart"/>
      <w:r w:rsidRPr="009F01C3">
        <w:rPr>
          <w:rFonts w:cs="Times New Roman"/>
          <w:bCs/>
        </w:rPr>
        <w:t>purposes</w:t>
      </w:r>
      <w:proofErr w:type="spellEnd"/>
      <w:r w:rsidRPr="009F01C3">
        <w:rPr>
          <w:rFonts w:cs="Times New Roman"/>
          <w:bCs/>
        </w:rPr>
        <w:t xml:space="preserve"> of </w:t>
      </w:r>
      <w:proofErr w:type="spellStart"/>
      <w:r w:rsidRPr="009F01C3">
        <w:rPr>
          <w:rFonts w:cs="Times New Roman"/>
          <w:bCs/>
        </w:rPr>
        <w:t>Article</w:t>
      </w:r>
      <w:proofErr w:type="spellEnd"/>
      <w:r w:rsidRPr="009F01C3">
        <w:rPr>
          <w:rFonts w:cs="Times New Roman"/>
          <w:bCs/>
        </w:rPr>
        <w:t xml:space="preserve"> 7(4) of </w:t>
      </w:r>
      <w:proofErr w:type="spellStart"/>
      <w:r w:rsidRPr="009F01C3">
        <w:rPr>
          <w:rFonts w:cs="Times New Roman"/>
          <w:bCs/>
        </w:rPr>
        <w:t>the</w:t>
      </w:r>
      <w:proofErr w:type="spellEnd"/>
      <w:r w:rsidRPr="009F01C3">
        <w:rPr>
          <w:rFonts w:cs="Times New Roman"/>
          <w:bCs/>
        </w:rPr>
        <w:t xml:space="preserve"> ESF+ </w:t>
      </w:r>
      <w:proofErr w:type="spellStart"/>
      <w:r w:rsidRPr="009F01C3">
        <w:rPr>
          <w:rFonts w:cs="Times New Roman"/>
          <w:bCs/>
        </w:rPr>
        <w:t>Regulation</w:t>
      </w:r>
      <w:proofErr w:type="spellEnd"/>
      <w:r w:rsidRPr="009F01C3">
        <w:rPr>
          <w:rFonts w:cs="Times New Roman"/>
          <w:bCs/>
        </w:rPr>
        <w:t>.</w:t>
      </w:r>
    </w:p>
  </w:footnote>
  <w:footnote w:id="45">
    <w:p w14:paraId="08D9DA06" w14:textId="77777777"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r w:rsidRPr="009F01C3">
        <w:rPr>
          <w:rFonts w:cs="Times New Roman"/>
          <w:bCs/>
        </w:rPr>
        <w:tab/>
      </w:r>
      <w:proofErr w:type="spellStart"/>
      <w:r w:rsidRPr="009F01C3">
        <w:rPr>
          <w:rFonts w:cs="Times New Roman"/>
          <w:bCs/>
        </w:rPr>
        <w:t>Not</w:t>
      </w:r>
      <w:proofErr w:type="spellEnd"/>
      <w:r w:rsidRPr="009F01C3">
        <w:rPr>
          <w:rFonts w:cs="Times New Roman"/>
          <w:bCs/>
        </w:rPr>
        <w:t xml:space="preserve"> relevant for CF</w:t>
      </w:r>
    </w:p>
  </w:footnote>
  <w:footnote w:id="46">
    <w:p w14:paraId="288DE0A3" w14:textId="77777777"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r w:rsidRPr="009F01C3">
        <w:rPr>
          <w:rFonts w:cs="Times New Roman"/>
          <w:bCs/>
        </w:rPr>
        <w:tab/>
      </w:r>
      <w:proofErr w:type="spellStart"/>
      <w:r w:rsidRPr="009F01C3">
        <w:rPr>
          <w:rFonts w:cs="Times New Roman"/>
          <w:bCs/>
        </w:rPr>
        <w:t>Not</w:t>
      </w:r>
      <w:proofErr w:type="spellEnd"/>
      <w:r w:rsidRPr="009F01C3">
        <w:rPr>
          <w:rFonts w:cs="Times New Roman"/>
          <w:bCs/>
        </w:rPr>
        <w:t xml:space="preserve"> relevant for CF</w:t>
      </w:r>
    </w:p>
  </w:footnote>
  <w:footnote w:id="47">
    <w:p w14:paraId="65EF997D" w14:textId="77777777"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r w:rsidRPr="009F01C3">
        <w:rPr>
          <w:rFonts w:cs="Times New Roman"/>
          <w:bCs/>
        </w:rPr>
        <w:tab/>
      </w:r>
      <w:proofErr w:type="spellStart"/>
      <w:r w:rsidRPr="009F01C3">
        <w:rPr>
          <w:rFonts w:cs="Times New Roman"/>
          <w:bCs/>
        </w:rPr>
        <w:t>Not</w:t>
      </w:r>
      <w:proofErr w:type="spellEnd"/>
      <w:r w:rsidRPr="009F01C3">
        <w:rPr>
          <w:rFonts w:cs="Times New Roman"/>
          <w:bCs/>
        </w:rPr>
        <w:t xml:space="preserve"> relevant for CF</w:t>
      </w:r>
    </w:p>
  </w:footnote>
  <w:footnote w:id="48">
    <w:p w14:paraId="33E04D2B" w14:textId="77777777"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r w:rsidRPr="009F01C3">
        <w:rPr>
          <w:rFonts w:cs="Times New Roman"/>
          <w:bCs/>
        </w:rPr>
        <w:tab/>
        <w:t xml:space="preserve">In case </w:t>
      </w:r>
      <w:proofErr w:type="spellStart"/>
      <w:r w:rsidRPr="009F01C3">
        <w:rPr>
          <w:rFonts w:cs="Times New Roman"/>
          <w:bCs/>
        </w:rPr>
        <w:t>resources</w:t>
      </w:r>
      <w:proofErr w:type="spellEnd"/>
      <w:r w:rsidRPr="009F01C3">
        <w:rPr>
          <w:rFonts w:cs="Times New Roman"/>
          <w:bCs/>
        </w:rPr>
        <w:t xml:space="preserve"> </w:t>
      </w:r>
      <w:proofErr w:type="spellStart"/>
      <w:r w:rsidRPr="009F01C3">
        <w:rPr>
          <w:rFonts w:cs="Times New Roman"/>
          <w:bCs/>
        </w:rPr>
        <w:t>under</w:t>
      </w:r>
      <w:proofErr w:type="spellEnd"/>
      <w:r w:rsidRPr="009F01C3">
        <w:rPr>
          <w:rFonts w:cs="Times New Roman"/>
          <w:bCs/>
        </w:rPr>
        <w:t xml:space="preserve"> </w:t>
      </w:r>
      <w:proofErr w:type="spellStart"/>
      <w:r w:rsidRPr="009F01C3">
        <w:rPr>
          <w:rFonts w:cs="Times New Roman"/>
          <w:bCs/>
        </w:rPr>
        <w:t>the</w:t>
      </w:r>
      <w:proofErr w:type="spellEnd"/>
      <w:r w:rsidRPr="009F01C3">
        <w:rPr>
          <w:rFonts w:cs="Times New Roman"/>
          <w:bCs/>
        </w:rPr>
        <w:t xml:space="preserve"> specific </w:t>
      </w:r>
      <w:proofErr w:type="spellStart"/>
      <w:r w:rsidRPr="009F01C3">
        <w:rPr>
          <w:rFonts w:cs="Times New Roman"/>
          <w:bCs/>
        </w:rPr>
        <w:t>objective</w:t>
      </w:r>
      <w:proofErr w:type="spellEnd"/>
      <w:r w:rsidRPr="009F01C3">
        <w:rPr>
          <w:rFonts w:cs="Times New Roman"/>
          <w:bCs/>
        </w:rPr>
        <w:t xml:space="preserve"> set out in </w:t>
      </w:r>
      <w:proofErr w:type="spellStart"/>
      <w:r w:rsidRPr="009F01C3">
        <w:rPr>
          <w:rFonts w:cs="Times New Roman"/>
          <w:bCs/>
        </w:rPr>
        <w:t>point</w:t>
      </w:r>
      <w:proofErr w:type="spellEnd"/>
      <w:r w:rsidRPr="009F01C3">
        <w:rPr>
          <w:rFonts w:cs="Times New Roman"/>
          <w:bCs/>
        </w:rPr>
        <w:t xml:space="preserve"> (x) of </w:t>
      </w:r>
      <w:proofErr w:type="spellStart"/>
      <w:r w:rsidRPr="009F01C3">
        <w:rPr>
          <w:rFonts w:cs="Times New Roman"/>
          <w:bCs/>
        </w:rPr>
        <w:t>Article</w:t>
      </w:r>
      <w:proofErr w:type="spellEnd"/>
      <w:r w:rsidRPr="009F01C3">
        <w:rPr>
          <w:rFonts w:cs="Times New Roman"/>
          <w:bCs/>
        </w:rPr>
        <w:t xml:space="preserve"> 4(1) of </w:t>
      </w:r>
      <w:proofErr w:type="spellStart"/>
      <w:r w:rsidRPr="009F01C3">
        <w:rPr>
          <w:rFonts w:cs="Times New Roman"/>
          <w:bCs/>
        </w:rPr>
        <w:t>the</w:t>
      </w:r>
      <w:proofErr w:type="spellEnd"/>
      <w:r w:rsidRPr="009F01C3">
        <w:rPr>
          <w:rFonts w:cs="Times New Roman"/>
          <w:bCs/>
        </w:rPr>
        <w:t xml:space="preserve"> ESF+ </w:t>
      </w:r>
      <w:proofErr w:type="spellStart"/>
      <w:r w:rsidRPr="009F01C3">
        <w:rPr>
          <w:rFonts w:cs="Times New Roman"/>
          <w:bCs/>
        </w:rPr>
        <w:t>Regulation</w:t>
      </w:r>
      <w:proofErr w:type="spellEnd"/>
      <w:r w:rsidRPr="009F01C3">
        <w:rPr>
          <w:rFonts w:cs="Times New Roman"/>
          <w:bCs/>
        </w:rPr>
        <w:t xml:space="preserve"> are </w:t>
      </w:r>
      <w:proofErr w:type="spellStart"/>
      <w:r w:rsidRPr="009F01C3">
        <w:rPr>
          <w:rFonts w:cs="Times New Roman"/>
          <w:bCs/>
        </w:rPr>
        <w:t>taken</w:t>
      </w:r>
      <w:proofErr w:type="spellEnd"/>
      <w:r w:rsidRPr="009F01C3">
        <w:rPr>
          <w:rFonts w:cs="Times New Roman"/>
          <w:bCs/>
        </w:rPr>
        <w:t xml:space="preserve"> </w:t>
      </w:r>
      <w:proofErr w:type="spellStart"/>
      <w:r w:rsidRPr="009F01C3">
        <w:rPr>
          <w:rFonts w:cs="Times New Roman"/>
          <w:bCs/>
        </w:rPr>
        <w:t>into</w:t>
      </w:r>
      <w:proofErr w:type="spellEnd"/>
      <w:r w:rsidRPr="009F01C3">
        <w:rPr>
          <w:rFonts w:cs="Times New Roman"/>
          <w:bCs/>
        </w:rPr>
        <w:t xml:space="preserve"> </w:t>
      </w:r>
      <w:proofErr w:type="spellStart"/>
      <w:r w:rsidRPr="009F01C3">
        <w:rPr>
          <w:rFonts w:cs="Times New Roman"/>
          <w:bCs/>
        </w:rPr>
        <w:t>account</w:t>
      </w:r>
      <w:proofErr w:type="spellEnd"/>
      <w:r w:rsidRPr="009F01C3">
        <w:rPr>
          <w:rFonts w:cs="Times New Roman"/>
          <w:bCs/>
        </w:rPr>
        <w:t xml:space="preserve"> for </w:t>
      </w:r>
      <w:proofErr w:type="spellStart"/>
      <w:r w:rsidRPr="009F01C3">
        <w:rPr>
          <w:rFonts w:cs="Times New Roman"/>
          <w:bCs/>
        </w:rPr>
        <w:t>the</w:t>
      </w:r>
      <w:proofErr w:type="spellEnd"/>
      <w:r w:rsidRPr="009F01C3">
        <w:rPr>
          <w:rFonts w:cs="Times New Roman"/>
          <w:bCs/>
        </w:rPr>
        <w:t xml:space="preserve"> </w:t>
      </w:r>
      <w:proofErr w:type="spellStart"/>
      <w:r w:rsidRPr="009F01C3">
        <w:rPr>
          <w:rFonts w:cs="Times New Roman"/>
          <w:bCs/>
        </w:rPr>
        <w:t>purposes</w:t>
      </w:r>
      <w:proofErr w:type="spellEnd"/>
      <w:r w:rsidRPr="009F01C3">
        <w:rPr>
          <w:rFonts w:cs="Times New Roman"/>
          <w:bCs/>
        </w:rPr>
        <w:t xml:space="preserve"> of </w:t>
      </w:r>
      <w:proofErr w:type="spellStart"/>
      <w:r w:rsidRPr="009F01C3">
        <w:rPr>
          <w:rFonts w:cs="Times New Roman"/>
          <w:bCs/>
        </w:rPr>
        <w:t>Article</w:t>
      </w:r>
      <w:proofErr w:type="spellEnd"/>
      <w:r w:rsidRPr="009F01C3">
        <w:rPr>
          <w:rFonts w:cs="Times New Roman"/>
          <w:bCs/>
        </w:rPr>
        <w:t xml:space="preserve"> 7(4) of </w:t>
      </w:r>
      <w:proofErr w:type="spellStart"/>
      <w:r w:rsidRPr="009F01C3">
        <w:rPr>
          <w:rFonts w:cs="Times New Roman"/>
          <w:bCs/>
        </w:rPr>
        <w:t>the</w:t>
      </w:r>
      <w:proofErr w:type="spellEnd"/>
      <w:r w:rsidRPr="009F01C3">
        <w:rPr>
          <w:rFonts w:cs="Times New Roman"/>
          <w:bCs/>
        </w:rPr>
        <w:t xml:space="preserve"> ESF+ </w:t>
      </w:r>
      <w:proofErr w:type="spellStart"/>
      <w:r w:rsidRPr="009F01C3">
        <w:rPr>
          <w:rFonts w:cs="Times New Roman"/>
          <w:bCs/>
        </w:rPr>
        <w:t>Regulation</w:t>
      </w:r>
      <w:proofErr w:type="spellEnd"/>
      <w:r w:rsidRPr="009F01C3">
        <w:rPr>
          <w:rFonts w:cs="Times New Roman"/>
          <w:bCs/>
        </w:rPr>
        <w:t>.</w:t>
      </w:r>
    </w:p>
  </w:footnote>
  <w:footnote w:id="49">
    <w:p w14:paraId="3EFD2EA8" w14:textId="77777777"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r w:rsidRPr="009F01C3">
        <w:rPr>
          <w:rFonts w:cs="Times New Roman"/>
          <w:bCs/>
        </w:rPr>
        <w:tab/>
      </w:r>
      <w:proofErr w:type="spellStart"/>
      <w:r w:rsidRPr="009F01C3">
        <w:rPr>
          <w:rFonts w:cs="Times New Roman"/>
          <w:bCs/>
        </w:rPr>
        <w:t>Not</w:t>
      </w:r>
      <w:proofErr w:type="spellEnd"/>
      <w:r w:rsidRPr="009F01C3">
        <w:rPr>
          <w:rFonts w:cs="Times New Roman"/>
          <w:bCs/>
        </w:rPr>
        <w:t xml:space="preserve"> relevant for CF</w:t>
      </w:r>
    </w:p>
  </w:footnote>
  <w:footnote w:id="50">
    <w:p w14:paraId="11F3BA2D" w14:textId="3624469D"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proofErr w:type="spellStart"/>
      <w:r w:rsidRPr="009F01C3">
        <w:rPr>
          <w:rFonts w:cs="Times New Roman"/>
          <w:bCs/>
        </w:rPr>
        <w:t>Not</w:t>
      </w:r>
      <w:proofErr w:type="spellEnd"/>
      <w:r w:rsidRPr="009F01C3">
        <w:rPr>
          <w:rFonts w:cs="Times New Roman"/>
          <w:bCs/>
        </w:rPr>
        <w:t xml:space="preserve"> relevant for CF</w:t>
      </w:r>
    </w:p>
  </w:footnote>
  <w:footnote w:id="51">
    <w:p w14:paraId="4E3A0D57" w14:textId="28B5D52B"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proofErr w:type="spellStart"/>
      <w:r w:rsidRPr="009F01C3">
        <w:rPr>
          <w:rFonts w:cs="Times New Roman"/>
          <w:bCs/>
        </w:rPr>
        <w:t>Not</w:t>
      </w:r>
      <w:proofErr w:type="spellEnd"/>
      <w:r w:rsidRPr="009F01C3">
        <w:rPr>
          <w:rFonts w:cs="Times New Roman"/>
          <w:bCs/>
        </w:rPr>
        <w:t xml:space="preserve"> relevant for CF</w:t>
      </w:r>
    </w:p>
  </w:footnote>
  <w:footnote w:id="52">
    <w:p w14:paraId="377B23C4" w14:textId="5CF7BD15" w:rsidR="0016447E" w:rsidRPr="009F01C3" w:rsidRDefault="0016447E" w:rsidP="00967F33">
      <w:pPr>
        <w:pStyle w:val="FootnoteText"/>
        <w:rPr>
          <w:rFonts w:cs="Times New Roman"/>
          <w:lang w:val="en-GB"/>
        </w:rPr>
      </w:pPr>
      <w:r w:rsidRPr="009F01C3">
        <w:rPr>
          <w:rStyle w:val="FootnoteReference"/>
          <w:rFonts w:cs="Times New Roman"/>
        </w:rPr>
        <w:footnoteRef/>
      </w:r>
      <w:r w:rsidRPr="009F01C3">
        <w:rPr>
          <w:rFonts w:cs="Times New Roman"/>
        </w:rPr>
        <w:t xml:space="preserve"> </w:t>
      </w:r>
      <w:proofErr w:type="spellStart"/>
      <w:r w:rsidRPr="009F01C3">
        <w:rPr>
          <w:rFonts w:cs="Times New Roman"/>
          <w:lang w:val="en-GB"/>
        </w:rPr>
        <w:t>municipii</w:t>
      </w:r>
      <w:proofErr w:type="spellEnd"/>
      <w:r w:rsidRPr="009F01C3">
        <w:rPr>
          <w:rFonts w:cs="Times New Roman"/>
          <w:lang w:val="en-GB"/>
        </w:rPr>
        <w:t xml:space="preserve"> </w:t>
      </w:r>
      <w:proofErr w:type="spellStart"/>
      <w:r w:rsidRPr="009F01C3">
        <w:rPr>
          <w:rFonts w:cs="Times New Roman"/>
          <w:lang w:val="en-GB"/>
        </w:rPr>
        <w:t>resedinte</w:t>
      </w:r>
      <w:proofErr w:type="spellEnd"/>
      <w:r w:rsidRPr="009F01C3">
        <w:rPr>
          <w:rFonts w:cs="Times New Roman"/>
          <w:lang w:val="en-GB"/>
        </w:rPr>
        <w:t xml:space="preserve"> de </w:t>
      </w:r>
      <w:proofErr w:type="spellStart"/>
      <w:r w:rsidRPr="009F01C3">
        <w:rPr>
          <w:rFonts w:cs="Times New Roman"/>
          <w:lang w:val="en-GB"/>
        </w:rPr>
        <w:t>judet</w:t>
      </w:r>
      <w:proofErr w:type="spellEnd"/>
      <w:r>
        <w:rPr>
          <w:rFonts w:cs="Times New Roman"/>
          <w:lang w:val="en-GB"/>
        </w:rPr>
        <w:t xml:space="preserve"> </w:t>
      </w:r>
      <w:proofErr w:type="spellStart"/>
      <w:r>
        <w:rPr>
          <w:rFonts w:cs="Times New Roman"/>
          <w:lang w:val="en-GB"/>
        </w:rPr>
        <w:t>si</w:t>
      </w:r>
      <w:proofErr w:type="spellEnd"/>
      <w:r>
        <w:rPr>
          <w:rFonts w:cs="Times New Roman"/>
          <w:lang w:val="en-GB"/>
        </w:rPr>
        <w:t xml:space="preserve"> municipia, </w:t>
      </w:r>
      <w:proofErr w:type="spellStart"/>
      <w:r>
        <w:rPr>
          <w:rFonts w:cs="Times New Roman"/>
          <w:lang w:val="en-GB"/>
        </w:rPr>
        <w:t>altele</w:t>
      </w:r>
      <w:proofErr w:type="spellEnd"/>
      <w:r>
        <w:rPr>
          <w:rFonts w:cs="Times New Roman"/>
          <w:lang w:val="en-GB"/>
        </w:rPr>
        <w:t xml:space="preserve"> </w:t>
      </w:r>
      <w:proofErr w:type="spellStart"/>
      <w:r>
        <w:rPr>
          <w:rFonts w:cs="Times New Roman"/>
          <w:lang w:val="en-GB"/>
        </w:rPr>
        <w:t>decat</w:t>
      </w:r>
      <w:proofErr w:type="spellEnd"/>
      <w:r>
        <w:rPr>
          <w:rFonts w:cs="Times New Roman"/>
          <w:lang w:val="en-GB"/>
        </w:rPr>
        <w:t xml:space="preserve"> </w:t>
      </w:r>
      <w:proofErr w:type="spellStart"/>
      <w:r>
        <w:rPr>
          <w:rFonts w:cs="Times New Roman"/>
          <w:lang w:val="en-GB"/>
        </w:rPr>
        <w:t>municipiile</w:t>
      </w:r>
      <w:proofErr w:type="spellEnd"/>
      <w:r>
        <w:rPr>
          <w:rFonts w:cs="Times New Roman"/>
          <w:lang w:val="en-GB"/>
        </w:rPr>
        <w:t xml:space="preserve"> </w:t>
      </w:r>
      <w:proofErr w:type="spellStart"/>
      <w:r>
        <w:rPr>
          <w:rFonts w:cs="Times New Roman"/>
          <w:lang w:val="en-GB"/>
        </w:rPr>
        <w:t>resedinte</w:t>
      </w:r>
      <w:proofErr w:type="spellEnd"/>
      <w:r>
        <w:rPr>
          <w:rFonts w:cs="Times New Roman"/>
          <w:lang w:val="en-GB"/>
        </w:rPr>
        <w:t xml:space="preserve"> de </w:t>
      </w:r>
      <w:proofErr w:type="spellStart"/>
      <w:r>
        <w:rPr>
          <w:rFonts w:cs="Times New Roman"/>
          <w:lang w:val="en-GB"/>
        </w:rPr>
        <w:t>judet</w:t>
      </w:r>
      <w:proofErr w:type="spellEnd"/>
      <w:r>
        <w:rPr>
          <w:rFonts w:cs="Times New Roman"/>
          <w:lang w:val="en-GB"/>
        </w:rPr>
        <w:t xml:space="preserve">, conform OUG </w:t>
      </w:r>
      <w:proofErr w:type="spellStart"/>
      <w:r>
        <w:rPr>
          <w:rFonts w:cs="Times New Roman"/>
          <w:lang w:val="en-GB"/>
        </w:rPr>
        <w:t>dezv</w:t>
      </w:r>
      <w:proofErr w:type="spellEnd"/>
      <w:r>
        <w:rPr>
          <w:rFonts w:cs="Times New Roman"/>
          <w:lang w:val="en-GB"/>
        </w:rPr>
        <w:t xml:space="preserve"> </w:t>
      </w:r>
      <w:proofErr w:type="spellStart"/>
      <w:r>
        <w:rPr>
          <w:rFonts w:cs="Times New Roman"/>
          <w:lang w:val="en-GB"/>
        </w:rPr>
        <w:t>teritoriala</w:t>
      </w:r>
      <w:proofErr w:type="spellEnd"/>
    </w:p>
  </w:footnote>
  <w:footnote w:id="53">
    <w:p w14:paraId="241E96E7" w14:textId="77777777"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r w:rsidRPr="009F01C3">
        <w:rPr>
          <w:rFonts w:cs="Times New Roman"/>
          <w:bCs/>
        </w:rPr>
        <w:tab/>
        <w:t xml:space="preserve">In case </w:t>
      </w:r>
      <w:proofErr w:type="spellStart"/>
      <w:r w:rsidRPr="009F01C3">
        <w:rPr>
          <w:rFonts w:cs="Times New Roman"/>
          <w:bCs/>
        </w:rPr>
        <w:t>resources</w:t>
      </w:r>
      <w:proofErr w:type="spellEnd"/>
      <w:r w:rsidRPr="009F01C3">
        <w:rPr>
          <w:rFonts w:cs="Times New Roman"/>
          <w:bCs/>
        </w:rPr>
        <w:t xml:space="preserve"> </w:t>
      </w:r>
      <w:proofErr w:type="spellStart"/>
      <w:r w:rsidRPr="009F01C3">
        <w:rPr>
          <w:rFonts w:cs="Times New Roman"/>
          <w:bCs/>
        </w:rPr>
        <w:t>under</w:t>
      </w:r>
      <w:proofErr w:type="spellEnd"/>
      <w:r w:rsidRPr="009F01C3">
        <w:rPr>
          <w:rFonts w:cs="Times New Roman"/>
          <w:bCs/>
        </w:rPr>
        <w:t xml:space="preserve"> </w:t>
      </w:r>
      <w:proofErr w:type="spellStart"/>
      <w:r w:rsidRPr="009F01C3">
        <w:rPr>
          <w:rFonts w:cs="Times New Roman"/>
          <w:bCs/>
        </w:rPr>
        <w:t>the</w:t>
      </w:r>
      <w:proofErr w:type="spellEnd"/>
      <w:r w:rsidRPr="009F01C3">
        <w:rPr>
          <w:rFonts w:cs="Times New Roman"/>
          <w:bCs/>
        </w:rPr>
        <w:t xml:space="preserve"> specific </w:t>
      </w:r>
      <w:proofErr w:type="spellStart"/>
      <w:r w:rsidRPr="009F01C3">
        <w:rPr>
          <w:rFonts w:cs="Times New Roman"/>
          <w:bCs/>
        </w:rPr>
        <w:t>objective</w:t>
      </w:r>
      <w:proofErr w:type="spellEnd"/>
      <w:r w:rsidRPr="009F01C3">
        <w:rPr>
          <w:rFonts w:cs="Times New Roman"/>
          <w:bCs/>
        </w:rPr>
        <w:t xml:space="preserve"> set out in </w:t>
      </w:r>
      <w:proofErr w:type="spellStart"/>
      <w:r w:rsidRPr="009F01C3">
        <w:rPr>
          <w:rFonts w:cs="Times New Roman"/>
          <w:bCs/>
        </w:rPr>
        <w:t>point</w:t>
      </w:r>
      <w:proofErr w:type="spellEnd"/>
      <w:r w:rsidRPr="009F01C3">
        <w:rPr>
          <w:rFonts w:cs="Times New Roman"/>
          <w:bCs/>
        </w:rPr>
        <w:t xml:space="preserve"> (x) of </w:t>
      </w:r>
      <w:proofErr w:type="spellStart"/>
      <w:r w:rsidRPr="009F01C3">
        <w:rPr>
          <w:rFonts w:cs="Times New Roman"/>
          <w:bCs/>
        </w:rPr>
        <w:t>Article</w:t>
      </w:r>
      <w:proofErr w:type="spellEnd"/>
      <w:r w:rsidRPr="009F01C3">
        <w:rPr>
          <w:rFonts w:cs="Times New Roman"/>
          <w:bCs/>
        </w:rPr>
        <w:t xml:space="preserve"> 4(1) of </w:t>
      </w:r>
      <w:proofErr w:type="spellStart"/>
      <w:r w:rsidRPr="009F01C3">
        <w:rPr>
          <w:rFonts w:cs="Times New Roman"/>
          <w:bCs/>
        </w:rPr>
        <w:t>the</w:t>
      </w:r>
      <w:proofErr w:type="spellEnd"/>
      <w:r w:rsidRPr="009F01C3">
        <w:rPr>
          <w:rFonts w:cs="Times New Roman"/>
          <w:bCs/>
        </w:rPr>
        <w:t xml:space="preserve"> ESF+ </w:t>
      </w:r>
      <w:proofErr w:type="spellStart"/>
      <w:r w:rsidRPr="009F01C3">
        <w:rPr>
          <w:rFonts w:cs="Times New Roman"/>
          <w:bCs/>
        </w:rPr>
        <w:t>Regulation</w:t>
      </w:r>
      <w:proofErr w:type="spellEnd"/>
      <w:r w:rsidRPr="009F01C3">
        <w:rPr>
          <w:rFonts w:cs="Times New Roman"/>
          <w:bCs/>
        </w:rPr>
        <w:t xml:space="preserve"> are </w:t>
      </w:r>
      <w:proofErr w:type="spellStart"/>
      <w:r w:rsidRPr="009F01C3">
        <w:rPr>
          <w:rFonts w:cs="Times New Roman"/>
          <w:bCs/>
        </w:rPr>
        <w:t>taken</w:t>
      </w:r>
      <w:proofErr w:type="spellEnd"/>
      <w:r w:rsidRPr="009F01C3">
        <w:rPr>
          <w:rFonts w:cs="Times New Roman"/>
          <w:bCs/>
        </w:rPr>
        <w:t xml:space="preserve"> </w:t>
      </w:r>
      <w:proofErr w:type="spellStart"/>
      <w:r w:rsidRPr="009F01C3">
        <w:rPr>
          <w:rFonts w:cs="Times New Roman"/>
          <w:bCs/>
        </w:rPr>
        <w:t>into</w:t>
      </w:r>
      <w:proofErr w:type="spellEnd"/>
      <w:r w:rsidRPr="009F01C3">
        <w:rPr>
          <w:rFonts w:cs="Times New Roman"/>
          <w:bCs/>
        </w:rPr>
        <w:t xml:space="preserve"> </w:t>
      </w:r>
      <w:proofErr w:type="spellStart"/>
      <w:r w:rsidRPr="009F01C3">
        <w:rPr>
          <w:rFonts w:cs="Times New Roman"/>
          <w:bCs/>
        </w:rPr>
        <w:t>account</w:t>
      </w:r>
      <w:proofErr w:type="spellEnd"/>
      <w:r w:rsidRPr="009F01C3">
        <w:rPr>
          <w:rFonts w:cs="Times New Roman"/>
          <w:bCs/>
        </w:rPr>
        <w:t xml:space="preserve"> for </w:t>
      </w:r>
      <w:proofErr w:type="spellStart"/>
      <w:r w:rsidRPr="009F01C3">
        <w:rPr>
          <w:rFonts w:cs="Times New Roman"/>
          <w:bCs/>
        </w:rPr>
        <w:t>the</w:t>
      </w:r>
      <w:proofErr w:type="spellEnd"/>
      <w:r w:rsidRPr="009F01C3">
        <w:rPr>
          <w:rFonts w:cs="Times New Roman"/>
          <w:bCs/>
        </w:rPr>
        <w:t xml:space="preserve"> </w:t>
      </w:r>
      <w:proofErr w:type="spellStart"/>
      <w:r w:rsidRPr="009F01C3">
        <w:rPr>
          <w:rFonts w:cs="Times New Roman"/>
          <w:bCs/>
        </w:rPr>
        <w:t>purposes</w:t>
      </w:r>
      <w:proofErr w:type="spellEnd"/>
      <w:r w:rsidRPr="009F01C3">
        <w:rPr>
          <w:rFonts w:cs="Times New Roman"/>
          <w:bCs/>
        </w:rPr>
        <w:t xml:space="preserve"> of </w:t>
      </w:r>
      <w:proofErr w:type="spellStart"/>
      <w:r w:rsidRPr="009F01C3">
        <w:rPr>
          <w:rFonts w:cs="Times New Roman"/>
          <w:bCs/>
        </w:rPr>
        <w:t>Article</w:t>
      </w:r>
      <w:proofErr w:type="spellEnd"/>
      <w:r w:rsidRPr="009F01C3">
        <w:rPr>
          <w:rFonts w:cs="Times New Roman"/>
          <w:bCs/>
        </w:rPr>
        <w:t xml:space="preserve"> 7(4) of </w:t>
      </w:r>
      <w:proofErr w:type="spellStart"/>
      <w:r w:rsidRPr="009F01C3">
        <w:rPr>
          <w:rFonts w:cs="Times New Roman"/>
          <w:bCs/>
        </w:rPr>
        <w:t>the</w:t>
      </w:r>
      <w:proofErr w:type="spellEnd"/>
      <w:r w:rsidRPr="009F01C3">
        <w:rPr>
          <w:rFonts w:cs="Times New Roman"/>
          <w:bCs/>
        </w:rPr>
        <w:t xml:space="preserve"> ESF+ </w:t>
      </w:r>
      <w:proofErr w:type="spellStart"/>
      <w:r w:rsidRPr="009F01C3">
        <w:rPr>
          <w:rFonts w:cs="Times New Roman"/>
          <w:bCs/>
        </w:rPr>
        <w:t>Regulation</w:t>
      </w:r>
      <w:proofErr w:type="spellEnd"/>
      <w:r w:rsidRPr="009F01C3">
        <w:rPr>
          <w:rFonts w:cs="Times New Roman"/>
          <w:bCs/>
        </w:rPr>
        <w:t>.</w:t>
      </w:r>
    </w:p>
  </w:footnote>
  <w:footnote w:id="54">
    <w:p w14:paraId="448FDCA8" w14:textId="77777777"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r w:rsidRPr="009F01C3">
        <w:rPr>
          <w:rFonts w:cs="Times New Roman"/>
          <w:bCs/>
        </w:rPr>
        <w:tab/>
      </w:r>
      <w:proofErr w:type="spellStart"/>
      <w:r w:rsidRPr="009F01C3">
        <w:rPr>
          <w:rFonts w:cs="Times New Roman"/>
          <w:bCs/>
        </w:rPr>
        <w:t>Not</w:t>
      </w:r>
      <w:proofErr w:type="spellEnd"/>
      <w:r w:rsidRPr="009F01C3">
        <w:rPr>
          <w:rFonts w:cs="Times New Roman"/>
          <w:bCs/>
        </w:rPr>
        <w:t xml:space="preserve"> relevant for CF</w:t>
      </w:r>
    </w:p>
  </w:footnote>
  <w:footnote w:id="55">
    <w:p w14:paraId="5E10F079" w14:textId="77777777"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r w:rsidRPr="009F01C3">
        <w:rPr>
          <w:rFonts w:cs="Times New Roman"/>
          <w:bCs/>
        </w:rPr>
        <w:tab/>
      </w:r>
      <w:proofErr w:type="spellStart"/>
      <w:r w:rsidRPr="009F01C3">
        <w:rPr>
          <w:rFonts w:cs="Times New Roman"/>
          <w:bCs/>
        </w:rPr>
        <w:t>Not</w:t>
      </w:r>
      <w:proofErr w:type="spellEnd"/>
      <w:r w:rsidRPr="009F01C3">
        <w:rPr>
          <w:rFonts w:cs="Times New Roman"/>
          <w:bCs/>
        </w:rPr>
        <w:t xml:space="preserve"> relevant for CF</w:t>
      </w:r>
    </w:p>
  </w:footnote>
  <w:footnote w:id="56">
    <w:p w14:paraId="4AE62AD2" w14:textId="77777777"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r w:rsidRPr="009F01C3">
        <w:rPr>
          <w:rFonts w:cs="Times New Roman"/>
          <w:bCs/>
        </w:rPr>
        <w:tab/>
      </w:r>
      <w:proofErr w:type="spellStart"/>
      <w:r w:rsidRPr="009F01C3">
        <w:rPr>
          <w:rFonts w:cs="Times New Roman"/>
          <w:bCs/>
        </w:rPr>
        <w:t>Not</w:t>
      </w:r>
      <w:proofErr w:type="spellEnd"/>
      <w:r w:rsidRPr="009F01C3">
        <w:rPr>
          <w:rFonts w:cs="Times New Roman"/>
          <w:bCs/>
        </w:rPr>
        <w:t xml:space="preserve"> relevant for CF</w:t>
      </w:r>
    </w:p>
  </w:footnote>
  <w:footnote w:id="57">
    <w:p w14:paraId="7B05A476" w14:textId="77777777"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r w:rsidRPr="009F01C3">
        <w:rPr>
          <w:rFonts w:cs="Times New Roman"/>
          <w:bCs/>
        </w:rPr>
        <w:tab/>
        <w:t xml:space="preserve">In case </w:t>
      </w:r>
      <w:proofErr w:type="spellStart"/>
      <w:r w:rsidRPr="009F01C3">
        <w:rPr>
          <w:rFonts w:cs="Times New Roman"/>
          <w:bCs/>
        </w:rPr>
        <w:t>resources</w:t>
      </w:r>
      <w:proofErr w:type="spellEnd"/>
      <w:r w:rsidRPr="009F01C3">
        <w:rPr>
          <w:rFonts w:cs="Times New Roman"/>
          <w:bCs/>
        </w:rPr>
        <w:t xml:space="preserve"> </w:t>
      </w:r>
      <w:proofErr w:type="spellStart"/>
      <w:r w:rsidRPr="009F01C3">
        <w:rPr>
          <w:rFonts w:cs="Times New Roman"/>
          <w:bCs/>
        </w:rPr>
        <w:t>under</w:t>
      </w:r>
      <w:proofErr w:type="spellEnd"/>
      <w:r w:rsidRPr="009F01C3">
        <w:rPr>
          <w:rFonts w:cs="Times New Roman"/>
          <w:bCs/>
        </w:rPr>
        <w:t xml:space="preserve"> </w:t>
      </w:r>
      <w:proofErr w:type="spellStart"/>
      <w:r w:rsidRPr="009F01C3">
        <w:rPr>
          <w:rFonts w:cs="Times New Roman"/>
          <w:bCs/>
        </w:rPr>
        <w:t>the</w:t>
      </w:r>
      <w:proofErr w:type="spellEnd"/>
      <w:r w:rsidRPr="009F01C3">
        <w:rPr>
          <w:rFonts w:cs="Times New Roman"/>
          <w:bCs/>
        </w:rPr>
        <w:t xml:space="preserve"> specific </w:t>
      </w:r>
      <w:proofErr w:type="spellStart"/>
      <w:r w:rsidRPr="009F01C3">
        <w:rPr>
          <w:rFonts w:cs="Times New Roman"/>
          <w:bCs/>
        </w:rPr>
        <w:t>objective</w:t>
      </w:r>
      <w:proofErr w:type="spellEnd"/>
      <w:r w:rsidRPr="009F01C3">
        <w:rPr>
          <w:rFonts w:cs="Times New Roman"/>
          <w:bCs/>
        </w:rPr>
        <w:t xml:space="preserve"> set out in </w:t>
      </w:r>
      <w:proofErr w:type="spellStart"/>
      <w:r w:rsidRPr="009F01C3">
        <w:rPr>
          <w:rFonts w:cs="Times New Roman"/>
          <w:bCs/>
        </w:rPr>
        <w:t>point</w:t>
      </w:r>
      <w:proofErr w:type="spellEnd"/>
      <w:r w:rsidRPr="009F01C3">
        <w:rPr>
          <w:rFonts w:cs="Times New Roman"/>
          <w:bCs/>
        </w:rPr>
        <w:t xml:space="preserve"> (x) of </w:t>
      </w:r>
      <w:proofErr w:type="spellStart"/>
      <w:r w:rsidRPr="009F01C3">
        <w:rPr>
          <w:rFonts w:cs="Times New Roman"/>
          <w:bCs/>
        </w:rPr>
        <w:t>Article</w:t>
      </w:r>
      <w:proofErr w:type="spellEnd"/>
      <w:r w:rsidRPr="009F01C3">
        <w:rPr>
          <w:rFonts w:cs="Times New Roman"/>
          <w:bCs/>
        </w:rPr>
        <w:t xml:space="preserve"> 4(1) of </w:t>
      </w:r>
      <w:proofErr w:type="spellStart"/>
      <w:r w:rsidRPr="009F01C3">
        <w:rPr>
          <w:rFonts w:cs="Times New Roman"/>
          <w:bCs/>
        </w:rPr>
        <w:t>the</w:t>
      </w:r>
      <w:proofErr w:type="spellEnd"/>
      <w:r w:rsidRPr="009F01C3">
        <w:rPr>
          <w:rFonts w:cs="Times New Roman"/>
          <w:bCs/>
        </w:rPr>
        <w:t xml:space="preserve"> ESF+ </w:t>
      </w:r>
      <w:proofErr w:type="spellStart"/>
      <w:r w:rsidRPr="009F01C3">
        <w:rPr>
          <w:rFonts w:cs="Times New Roman"/>
          <w:bCs/>
        </w:rPr>
        <w:t>Regulation</w:t>
      </w:r>
      <w:proofErr w:type="spellEnd"/>
      <w:r w:rsidRPr="009F01C3">
        <w:rPr>
          <w:rFonts w:cs="Times New Roman"/>
          <w:bCs/>
        </w:rPr>
        <w:t xml:space="preserve"> are </w:t>
      </w:r>
      <w:proofErr w:type="spellStart"/>
      <w:r w:rsidRPr="009F01C3">
        <w:rPr>
          <w:rFonts w:cs="Times New Roman"/>
          <w:bCs/>
        </w:rPr>
        <w:t>taken</w:t>
      </w:r>
      <w:proofErr w:type="spellEnd"/>
      <w:r w:rsidRPr="009F01C3">
        <w:rPr>
          <w:rFonts w:cs="Times New Roman"/>
          <w:bCs/>
        </w:rPr>
        <w:t xml:space="preserve"> </w:t>
      </w:r>
      <w:proofErr w:type="spellStart"/>
      <w:r w:rsidRPr="009F01C3">
        <w:rPr>
          <w:rFonts w:cs="Times New Roman"/>
          <w:bCs/>
        </w:rPr>
        <w:t>into</w:t>
      </w:r>
      <w:proofErr w:type="spellEnd"/>
      <w:r w:rsidRPr="009F01C3">
        <w:rPr>
          <w:rFonts w:cs="Times New Roman"/>
          <w:bCs/>
        </w:rPr>
        <w:t xml:space="preserve"> </w:t>
      </w:r>
      <w:proofErr w:type="spellStart"/>
      <w:r w:rsidRPr="009F01C3">
        <w:rPr>
          <w:rFonts w:cs="Times New Roman"/>
          <w:bCs/>
        </w:rPr>
        <w:t>account</w:t>
      </w:r>
      <w:proofErr w:type="spellEnd"/>
      <w:r w:rsidRPr="009F01C3">
        <w:rPr>
          <w:rFonts w:cs="Times New Roman"/>
          <w:bCs/>
        </w:rPr>
        <w:t xml:space="preserve"> for </w:t>
      </w:r>
      <w:proofErr w:type="spellStart"/>
      <w:r w:rsidRPr="009F01C3">
        <w:rPr>
          <w:rFonts w:cs="Times New Roman"/>
          <w:bCs/>
        </w:rPr>
        <w:t>the</w:t>
      </w:r>
      <w:proofErr w:type="spellEnd"/>
      <w:r w:rsidRPr="009F01C3">
        <w:rPr>
          <w:rFonts w:cs="Times New Roman"/>
          <w:bCs/>
        </w:rPr>
        <w:t xml:space="preserve"> </w:t>
      </w:r>
      <w:proofErr w:type="spellStart"/>
      <w:r w:rsidRPr="009F01C3">
        <w:rPr>
          <w:rFonts w:cs="Times New Roman"/>
          <w:bCs/>
        </w:rPr>
        <w:t>purposes</w:t>
      </w:r>
      <w:proofErr w:type="spellEnd"/>
      <w:r w:rsidRPr="009F01C3">
        <w:rPr>
          <w:rFonts w:cs="Times New Roman"/>
          <w:bCs/>
        </w:rPr>
        <w:t xml:space="preserve"> of </w:t>
      </w:r>
      <w:proofErr w:type="spellStart"/>
      <w:r w:rsidRPr="009F01C3">
        <w:rPr>
          <w:rFonts w:cs="Times New Roman"/>
          <w:bCs/>
        </w:rPr>
        <w:t>Article</w:t>
      </w:r>
      <w:proofErr w:type="spellEnd"/>
      <w:r w:rsidRPr="009F01C3">
        <w:rPr>
          <w:rFonts w:cs="Times New Roman"/>
          <w:bCs/>
        </w:rPr>
        <w:t xml:space="preserve"> 7(4) of </w:t>
      </w:r>
      <w:proofErr w:type="spellStart"/>
      <w:r w:rsidRPr="009F01C3">
        <w:rPr>
          <w:rFonts w:cs="Times New Roman"/>
          <w:bCs/>
        </w:rPr>
        <w:t>the</w:t>
      </w:r>
      <w:proofErr w:type="spellEnd"/>
      <w:r w:rsidRPr="009F01C3">
        <w:rPr>
          <w:rFonts w:cs="Times New Roman"/>
          <w:bCs/>
        </w:rPr>
        <w:t xml:space="preserve"> ESF+ </w:t>
      </w:r>
      <w:proofErr w:type="spellStart"/>
      <w:r w:rsidRPr="009F01C3">
        <w:rPr>
          <w:rFonts w:cs="Times New Roman"/>
          <w:bCs/>
        </w:rPr>
        <w:t>Regulation</w:t>
      </w:r>
      <w:proofErr w:type="spellEnd"/>
      <w:r w:rsidRPr="009F01C3">
        <w:rPr>
          <w:rFonts w:cs="Times New Roman"/>
          <w:bCs/>
        </w:rPr>
        <w:t>.</w:t>
      </w:r>
    </w:p>
  </w:footnote>
  <w:footnote w:id="58">
    <w:p w14:paraId="22832B78" w14:textId="77777777"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r w:rsidRPr="009F01C3">
        <w:rPr>
          <w:rFonts w:cs="Times New Roman"/>
          <w:bCs/>
        </w:rPr>
        <w:tab/>
      </w:r>
      <w:proofErr w:type="spellStart"/>
      <w:r w:rsidRPr="009F01C3">
        <w:rPr>
          <w:rFonts w:cs="Times New Roman"/>
          <w:bCs/>
        </w:rPr>
        <w:t>Not</w:t>
      </w:r>
      <w:proofErr w:type="spellEnd"/>
      <w:r w:rsidRPr="009F01C3">
        <w:rPr>
          <w:rFonts w:cs="Times New Roman"/>
          <w:bCs/>
        </w:rPr>
        <w:t xml:space="preserve"> relevant for CF</w:t>
      </w:r>
    </w:p>
  </w:footnote>
  <w:footnote w:id="59">
    <w:p w14:paraId="1D2763F3" w14:textId="77777777"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r w:rsidRPr="009F01C3">
        <w:rPr>
          <w:rFonts w:cs="Times New Roman"/>
          <w:bCs/>
        </w:rPr>
        <w:tab/>
      </w:r>
      <w:proofErr w:type="spellStart"/>
      <w:r w:rsidRPr="009F01C3">
        <w:rPr>
          <w:rFonts w:cs="Times New Roman"/>
          <w:bCs/>
        </w:rPr>
        <w:t>Not</w:t>
      </w:r>
      <w:proofErr w:type="spellEnd"/>
      <w:r w:rsidRPr="009F01C3">
        <w:rPr>
          <w:rFonts w:cs="Times New Roman"/>
          <w:bCs/>
        </w:rPr>
        <w:t xml:space="preserve"> relevant for CF</w:t>
      </w:r>
    </w:p>
  </w:footnote>
  <w:footnote w:id="60">
    <w:p w14:paraId="0B323474" w14:textId="77777777"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r w:rsidRPr="009F01C3">
        <w:rPr>
          <w:rFonts w:cs="Times New Roman"/>
          <w:bCs/>
        </w:rPr>
        <w:tab/>
      </w:r>
      <w:proofErr w:type="spellStart"/>
      <w:r w:rsidRPr="009F01C3">
        <w:rPr>
          <w:rFonts w:cs="Times New Roman"/>
          <w:bCs/>
        </w:rPr>
        <w:t>Not</w:t>
      </w:r>
      <w:proofErr w:type="spellEnd"/>
      <w:r w:rsidRPr="009F01C3">
        <w:rPr>
          <w:rFonts w:cs="Times New Roman"/>
          <w:bCs/>
        </w:rPr>
        <w:t xml:space="preserve"> relevant for CF</w:t>
      </w:r>
    </w:p>
  </w:footnote>
  <w:footnote w:id="61">
    <w:p w14:paraId="2012EB15" w14:textId="77777777"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r w:rsidRPr="009F01C3">
        <w:rPr>
          <w:rFonts w:cs="Times New Roman"/>
          <w:bCs/>
        </w:rPr>
        <w:tab/>
        <w:t xml:space="preserve">In case </w:t>
      </w:r>
      <w:proofErr w:type="spellStart"/>
      <w:r w:rsidRPr="009F01C3">
        <w:rPr>
          <w:rFonts w:cs="Times New Roman"/>
          <w:bCs/>
        </w:rPr>
        <w:t>resources</w:t>
      </w:r>
      <w:proofErr w:type="spellEnd"/>
      <w:r w:rsidRPr="009F01C3">
        <w:rPr>
          <w:rFonts w:cs="Times New Roman"/>
          <w:bCs/>
        </w:rPr>
        <w:t xml:space="preserve"> </w:t>
      </w:r>
      <w:proofErr w:type="spellStart"/>
      <w:r w:rsidRPr="009F01C3">
        <w:rPr>
          <w:rFonts w:cs="Times New Roman"/>
          <w:bCs/>
        </w:rPr>
        <w:t>under</w:t>
      </w:r>
      <w:proofErr w:type="spellEnd"/>
      <w:r w:rsidRPr="009F01C3">
        <w:rPr>
          <w:rFonts w:cs="Times New Roman"/>
          <w:bCs/>
        </w:rPr>
        <w:t xml:space="preserve"> </w:t>
      </w:r>
      <w:proofErr w:type="spellStart"/>
      <w:r w:rsidRPr="009F01C3">
        <w:rPr>
          <w:rFonts w:cs="Times New Roman"/>
          <w:bCs/>
        </w:rPr>
        <w:t>the</w:t>
      </w:r>
      <w:proofErr w:type="spellEnd"/>
      <w:r w:rsidRPr="009F01C3">
        <w:rPr>
          <w:rFonts w:cs="Times New Roman"/>
          <w:bCs/>
        </w:rPr>
        <w:t xml:space="preserve"> specific </w:t>
      </w:r>
      <w:proofErr w:type="spellStart"/>
      <w:r w:rsidRPr="009F01C3">
        <w:rPr>
          <w:rFonts w:cs="Times New Roman"/>
          <w:bCs/>
        </w:rPr>
        <w:t>objective</w:t>
      </w:r>
      <w:proofErr w:type="spellEnd"/>
      <w:r w:rsidRPr="009F01C3">
        <w:rPr>
          <w:rFonts w:cs="Times New Roman"/>
          <w:bCs/>
        </w:rPr>
        <w:t xml:space="preserve"> set out in </w:t>
      </w:r>
      <w:proofErr w:type="spellStart"/>
      <w:r w:rsidRPr="009F01C3">
        <w:rPr>
          <w:rFonts w:cs="Times New Roman"/>
          <w:bCs/>
        </w:rPr>
        <w:t>point</w:t>
      </w:r>
      <w:proofErr w:type="spellEnd"/>
      <w:r w:rsidRPr="009F01C3">
        <w:rPr>
          <w:rFonts w:cs="Times New Roman"/>
          <w:bCs/>
        </w:rPr>
        <w:t xml:space="preserve"> (x) of </w:t>
      </w:r>
      <w:proofErr w:type="spellStart"/>
      <w:r w:rsidRPr="009F01C3">
        <w:rPr>
          <w:rFonts w:cs="Times New Roman"/>
          <w:bCs/>
        </w:rPr>
        <w:t>Article</w:t>
      </w:r>
      <w:proofErr w:type="spellEnd"/>
      <w:r w:rsidRPr="009F01C3">
        <w:rPr>
          <w:rFonts w:cs="Times New Roman"/>
          <w:bCs/>
        </w:rPr>
        <w:t xml:space="preserve"> 4(1) of </w:t>
      </w:r>
      <w:proofErr w:type="spellStart"/>
      <w:r w:rsidRPr="009F01C3">
        <w:rPr>
          <w:rFonts w:cs="Times New Roman"/>
          <w:bCs/>
        </w:rPr>
        <w:t>the</w:t>
      </w:r>
      <w:proofErr w:type="spellEnd"/>
      <w:r w:rsidRPr="009F01C3">
        <w:rPr>
          <w:rFonts w:cs="Times New Roman"/>
          <w:bCs/>
        </w:rPr>
        <w:t xml:space="preserve"> ESF+ </w:t>
      </w:r>
      <w:proofErr w:type="spellStart"/>
      <w:r w:rsidRPr="009F01C3">
        <w:rPr>
          <w:rFonts w:cs="Times New Roman"/>
          <w:bCs/>
        </w:rPr>
        <w:t>Regulation</w:t>
      </w:r>
      <w:proofErr w:type="spellEnd"/>
      <w:r w:rsidRPr="009F01C3">
        <w:rPr>
          <w:rFonts w:cs="Times New Roman"/>
          <w:bCs/>
        </w:rPr>
        <w:t xml:space="preserve"> are </w:t>
      </w:r>
      <w:proofErr w:type="spellStart"/>
      <w:r w:rsidRPr="009F01C3">
        <w:rPr>
          <w:rFonts w:cs="Times New Roman"/>
          <w:bCs/>
        </w:rPr>
        <w:t>taken</w:t>
      </w:r>
      <w:proofErr w:type="spellEnd"/>
      <w:r w:rsidRPr="009F01C3">
        <w:rPr>
          <w:rFonts w:cs="Times New Roman"/>
          <w:bCs/>
        </w:rPr>
        <w:t xml:space="preserve"> </w:t>
      </w:r>
      <w:proofErr w:type="spellStart"/>
      <w:r w:rsidRPr="009F01C3">
        <w:rPr>
          <w:rFonts w:cs="Times New Roman"/>
          <w:bCs/>
        </w:rPr>
        <w:t>into</w:t>
      </w:r>
      <w:proofErr w:type="spellEnd"/>
      <w:r w:rsidRPr="009F01C3">
        <w:rPr>
          <w:rFonts w:cs="Times New Roman"/>
          <w:bCs/>
        </w:rPr>
        <w:t xml:space="preserve"> </w:t>
      </w:r>
      <w:proofErr w:type="spellStart"/>
      <w:r w:rsidRPr="009F01C3">
        <w:rPr>
          <w:rFonts w:cs="Times New Roman"/>
          <w:bCs/>
        </w:rPr>
        <w:t>account</w:t>
      </w:r>
      <w:proofErr w:type="spellEnd"/>
      <w:r w:rsidRPr="009F01C3">
        <w:rPr>
          <w:rFonts w:cs="Times New Roman"/>
          <w:bCs/>
        </w:rPr>
        <w:t xml:space="preserve"> for </w:t>
      </w:r>
      <w:proofErr w:type="spellStart"/>
      <w:r w:rsidRPr="009F01C3">
        <w:rPr>
          <w:rFonts w:cs="Times New Roman"/>
          <w:bCs/>
        </w:rPr>
        <w:t>the</w:t>
      </w:r>
      <w:proofErr w:type="spellEnd"/>
      <w:r w:rsidRPr="009F01C3">
        <w:rPr>
          <w:rFonts w:cs="Times New Roman"/>
          <w:bCs/>
        </w:rPr>
        <w:t xml:space="preserve"> </w:t>
      </w:r>
      <w:proofErr w:type="spellStart"/>
      <w:r w:rsidRPr="009F01C3">
        <w:rPr>
          <w:rFonts w:cs="Times New Roman"/>
          <w:bCs/>
        </w:rPr>
        <w:t>purposes</w:t>
      </w:r>
      <w:proofErr w:type="spellEnd"/>
      <w:r w:rsidRPr="009F01C3">
        <w:rPr>
          <w:rFonts w:cs="Times New Roman"/>
          <w:bCs/>
        </w:rPr>
        <w:t xml:space="preserve"> of </w:t>
      </w:r>
      <w:proofErr w:type="spellStart"/>
      <w:r w:rsidRPr="009F01C3">
        <w:rPr>
          <w:rFonts w:cs="Times New Roman"/>
          <w:bCs/>
        </w:rPr>
        <w:t>Article</w:t>
      </w:r>
      <w:proofErr w:type="spellEnd"/>
      <w:r w:rsidRPr="009F01C3">
        <w:rPr>
          <w:rFonts w:cs="Times New Roman"/>
          <w:bCs/>
        </w:rPr>
        <w:t xml:space="preserve"> 7(4) of </w:t>
      </w:r>
      <w:proofErr w:type="spellStart"/>
      <w:r w:rsidRPr="009F01C3">
        <w:rPr>
          <w:rFonts w:cs="Times New Roman"/>
          <w:bCs/>
        </w:rPr>
        <w:t>the</w:t>
      </w:r>
      <w:proofErr w:type="spellEnd"/>
      <w:r w:rsidRPr="009F01C3">
        <w:rPr>
          <w:rFonts w:cs="Times New Roman"/>
          <w:bCs/>
        </w:rPr>
        <w:t xml:space="preserve"> ESF+ </w:t>
      </w:r>
      <w:proofErr w:type="spellStart"/>
      <w:r w:rsidRPr="009F01C3">
        <w:rPr>
          <w:rFonts w:cs="Times New Roman"/>
          <w:bCs/>
        </w:rPr>
        <w:t>Regulation</w:t>
      </w:r>
      <w:proofErr w:type="spellEnd"/>
      <w:r w:rsidRPr="009F01C3">
        <w:rPr>
          <w:rFonts w:cs="Times New Roman"/>
          <w:bCs/>
        </w:rPr>
        <w:t>.</w:t>
      </w:r>
    </w:p>
  </w:footnote>
  <w:footnote w:id="62">
    <w:p w14:paraId="10D14D2A" w14:textId="77777777"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r w:rsidRPr="009F01C3">
        <w:rPr>
          <w:rFonts w:cs="Times New Roman"/>
          <w:bCs/>
        </w:rPr>
        <w:tab/>
      </w:r>
      <w:proofErr w:type="spellStart"/>
      <w:r w:rsidRPr="009F01C3">
        <w:rPr>
          <w:rFonts w:cs="Times New Roman"/>
          <w:bCs/>
        </w:rPr>
        <w:t>Not</w:t>
      </w:r>
      <w:proofErr w:type="spellEnd"/>
      <w:r w:rsidRPr="009F01C3">
        <w:rPr>
          <w:rFonts w:cs="Times New Roman"/>
          <w:bCs/>
        </w:rPr>
        <w:t xml:space="preserve"> relevant for CF</w:t>
      </w:r>
    </w:p>
  </w:footnote>
  <w:footnote w:id="63">
    <w:p w14:paraId="4889F124" w14:textId="77777777"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r w:rsidRPr="009F01C3">
        <w:rPr>
          <w:rFonts w:cs="Times New Roman"/>
          <w:bCs/>
        </w:rPr>
        <w:tab/>
      </w:r>
      <w:proofErr w:type="spellStart"/>
      <w:r w:rsidRPr="009F01C3">
        <w:rPr>
          <w:rFonts w:cs="Times New Roman"/>
          <w:bCs/>
        </w:rPr>
        <w:t>Not</w:t>
      </w:r>
      <w:proofErr w:type="spellEnd"/>
      <w:r w:rsidRPr="009F01C3">
        <w:rPr>
          <w:rFonts w:cs="Times New Roman"/>
          <w:bCs/>
        </w:rPr>
        <w:t xml:space="preserve"> relevant for CF</w:t>
      </w:r>
    </w:p>
  </w:footnote>
  <w:footnote w:id="64">
    <w:p w14:paraId="6EF4C459" w14:textId="77777777"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r w:rsidRPr="009F01C3">
        <w:rPr>
          <w:rFonts w:cs="Times New Roman"/>
          <w:bCs/>
        </w:rPr>
        <w:tab/>
      </w:r>
      <w:proofErr w:type="spellStart"/>
      <w:r w:rsidRPr="009F01C3">
        <w:rPr>
          <w:rFonts w:cs="Times New Roman"/>
          <w:bCs/>
        </w:rPr>
        <w:t>Not</w:t>
      </w:r>
      <w:proofErr w:type="spellEnd"/>
      <w:r w:rsidRPr="009F01C3">
        <w:rPr>
          <w:rFonts w:cs="Times New Roman"/>
          <w:bCs/>
        </w:rPr>
        <w:t xml:space="preserve"> relevant for CF</w:t>
      </w:r>
    </w:p>
  </w:footnote>
  <w:footnote w:id="65">
    <w:p w14:paraId="4FE44CFA" w14:textId="77777777"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r w:rsidRPr="009F01C3">
        <w:rPr>
          <w:rFonts w:cs="Times New Roman"/>
          <w:bCs/>
        </w:rPr>
        <w:tab/>
      </w:r>
      <w:proofErr w:type="spellStart"/>
      <w:r w:rsidRPr="009F01C3">
        <w:rPr>
          <w:rFonts w:cs="Times New Roman"/>
          <w:bCs/>
        </w:rPr>
        <w:t>Not</w:t>
      </w:r>
      <w:proofErr w:type="spellEnd"/>
      <w:r w:rsidRPr="009F01C3">
        <w:rPr>
          <w:rFonts w:cs="Times New Roman"/>
          <w:bCs/>
        </w:rPr>
        <w:t xml:space="preserve"> relevant for CF</w:t>
      </w:r>
    </w:p>
  </w:footnote>
  <w:footnote w:id="66">
    <w:p w14:paraId="3F1D751B" w14:textId="77777777"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r w:rsidRPr="009F01C3">
        <w:rPr>
          <w:rFonts w:cs="Times New Roman"/>
          <w:bCs/>
        </w:rPr>
        <w:tab/>
      </w:r>
      <w:proofErr w:type="spellStart"/>
      <w:r w:rsidRPr="009F01C3">
        <w:rPr>
          <w:rFonts w:cs="Times New Roman"/>
          <w:bCs/>
        </w:rPr>
        <w:t>Applicable</w:t>
      </w:r>
      <w:proofErr w:type="spellEnd"/>
      <w:r w:rsidRPr="009F01C3">
        <w:rPr>
          <w:rFonts w:cs="Times New Roman"/>
          <w:bCs/>
        </w:rPr>
        <w:t xml:space="preserve"> </w:t>
      </w:r>
      <w:proofErr w:type="spellStart"/>
      <w:r w:rsidRPr="009F01C3">
        <w:rPr>
          <w:rFonts w:cs="Times New Roman"/>
          <w:bCs/>
        </w:rPr>
        <w:t>only</w:t>
      </w:r>
      <w:proofErr w:type="spellEnd"/>
      <w:r w:rsidRPr="009F01C3">
        <w:rPr>
          <w:rFonts w:cs="Times New Roman"/>
          <w:bCs/>
        </w:rPr>
        <w:t xml:space="preserve"> </w:t>
      </w:r>
      <w:proofErr w:type="spellStart"/>
      <w:r w:rsidRPr="009F01C3">
        <w:rPr>
          <w:rFonts w:cs="Times New Roman"/>
          <w:bCs/>
        </w:rPr>
        <w:t>to</w:t>
      </w:r>
      <w:proofErr w:type="spellEnd"/>
      <w:r w:rsidRPr="009F01C3">
        <w:rPr>
          <w:rFonts w:cs="Times New Roman"/>
          <w:bCs/>
        </w:rPr>
        <w:t xml:space="preserve"> </w:t>
      </w:r>
      <w:proofErr w:type="spellStart"/>
      <w:r w:rsidRPr="009F01C3">
        <w:rPr>
          <w:rFonts w:cs="Times New Roman"/>
          <w:bCs/>
        </w:rPr>
        <w:t>programme</w:t>
      </w:r>
      <w:proofErr w:type="spellEnd"/>
      <w:r w:rsidRPr="009F01C3">
        <w:rPr>
          <w:rFonts w:cs="Times New Roman"/>
          <w:bCs/>
        </w:rPr>
        <w:t xml:space="preserve"> </w:t>
      </w:r>
      <w:proofErr w:type="spellStart"/>
      <w:r w:rsidRPr="009F01C3">
        <w:rPr>
          <w:rFonts w:cs="Times New Roman"/>
          <w:bCs/>
        </w:rPr>
        <w:t>amendments</w:t>
      </w:r>
      <w:proofErr w:type="spellEnd"/>
      <w:r w:rsidRPr="009F01C3">
        <w:rPr>
          <w:rFonts w:cs="Times New Roman"/>
          <w:bCs/>
        </w:rPr>
        <w:t xml:space="preserve"> in line </w:t>
      </w:r>
      <w:proofErr w:type="spellStart"/>
      <w:r w:rsidRPr="009F01C3">
        <w:rPr>
          <w:rFonts w:cs="Times New Roman"/>
          <w:bCs/>
        </w:rPr>
        <w:t>with</w:t>
      </w:r>
      <w:proofErr w:type="spellEnd"/>
      <w:r w:rsidRPr="009F01C3">
        <w:rPr>
          <w:rFonts w:cs="Times New Roman"/>
          <w:bCs/>
        </w:rPr>
        <w:t xml:space="preserve"> </w:t>
      </w:r>
      <w:proofErr w:type="spellStart"/>
      <w:r w:rsidRPr="009F01C3">
        <w:rPr>
          <w:rFonts w:cs="Times New Roman"/>
          <w:bCs/>
        </w:rPr>
        <w:t>Article</w:t>
      </w:r>
      <w:proofErr w:type="spellEnd"/>
      <w:r w:rsidRPr="009F01C3">
        <w:rPr>
          <w:rFonts w:cs="Times New Roman"/>
          <w:bCs/>
        </w:rPr>
        <w:t xml:space="preserve"> 10 </w:t>
      </w:r>
      <w:proofErr w:type="spellStart"/>
      <w:r w:rsidRPr="009F01C3">
        <w:rPr>
          <w:rFonts w:cs="Times New Roman"/>
          <w:bCs/>
        </w:rPr>
        <w:t>and</w:t>
      </w:r>
      <w:proofErr w:type="spellEnd"/>
      <w:r w:rsidRPr="009F01C3">
        <w:rPr>
          <w:rFonts w:cs="Times New Roman"/>
          <w:bCs/>
        </w:rPr>
        <w:t xml:space="preserve"> 21, CPR.</w:t>
      </w:r>
    </w:p>
  </w:footnote>
  <w:footnote w:id="67">
    <w:p w14:paraId="68226080" w14:textId="77777777" w:rsidR="0016447E" w:rsidRPr="009F01C3" w:rsidRDefault="0016447E" w:rsidP="00967F33">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proofErr w:type="spellStart"/>
      <w:r w:rsidRPr="009F01C3">
        <w:rPr>
          <w:rFonts w:cs="Times New Roman"/>
          <w:bCs/>
        </w:rPr>
        <w:t>Several</w:t>
      </w:r>
      <w:proofErr w:type="spellEnd"/>
      <w:r w:rsidRPr="009F01C3">
        <w:rPr>
          <w:rFonts w:cs="Times New Roman"/>
          <w:bCs/>
        </w:rPr>
        <w:t xml:space="preserve"> </w:t>
      </w:r>
      <w:proofErr w:type="spellStart"/>
      <w:r w:rsidRPr="009F01C3">
        <w:rPr>
          <w:rFonts w:cs="Times New Roman"/>
          <w:bCs/>
        </w:rPr>
        <w:t>complementary</w:t>
      </w:r>
      <w:proofErr w:type="spellEnd"/>
      <w:r w:rsidRPr="009F01C3">
        <w:rPr>
          <w:rFonts w:cs="Times New Roman"/>
          <w:bCs/>
        </w:rPr>
        <w:t xml:space="preserve"> </w:t>
      </w:r>
      <w:proofErr w:type="spellStart"/>
      <w:r w:rsidRPr="009F01C3">
        <w:rPr>
          <w:rFonts w:cs="Times New Roman"/>
          <w:bCs/>
        </w:rPr>
        <w:t>indicators</w:t>
      </w:r>
      <w:proofErr w:type="spellEnd"/>
      <w:r w:rsidRPr="009F01C3">
        <w:rPr>
          <w:rFonts w:cs="Times New Roman"/>
          <w:bCs/>
        </w:rPr>
        <w:t xml:space="preserve"> (for </w:t>
      </w:r>
      <w:proofErr w:type="spellStart"/>
      <w:r w:rsidRPr="009F01C3">
        <w:rPr>
          <w:rFonts w:cs="Times New Roman"/>
          <w:bCs/>
        </w:rPr>
        <w:t>instance</w:t>
      </w:r>
      <w:proofErr w:type="spellEnd"/>
      <w:r w:rsidRPr="009F01C3">
        <w:rPr>
          <w:rFonts w:cs="Times New Roman"/>
          <w:bCs/>
        </w:rPr>
        <w:t xml:space="preserve"> </w:t>
      </w:r>
      <w:proofErr w:type="spellStart"/>
      <w:r w:rsidRPr="009F01C3">
        <w:rPr>
          <w:rFonts w:cs="Times New Roman"/>
          <w:bCs/>
        </w:rPr>
        <w:t>one</w:t>
      </w:r>
      <w:proofErr w:type="spellEnd"/>
      <w:r w:rsidRPr="009F01C3">
        <w:rPr>
          <w:rFonts w:cs="Times New Roman"/>
          <w:bCs/>
        </w:rPr>
        <w:t xml:space="preserve"> output indicator </w:t>
      </w:r>
      <w:proofErr w:type="spellStart"/>
      <w:r w:rsidRPr="009F01C3">
        <w:rPr>
          <w:rFonts w:cs="Times New Roman"/>
          <w:bCs/>
        </w:rPr>
        <w:t>and</w:t>
      </w:r>
      <w:proofErr w:type="spellEnd"/>
      <w:r w:rsidRPr="009F01C3">
        <w:rPr>
          <w:rFonts w:cs="Times New Roman"/>
          <w:bCs/>
        </w:rPr>
        <w:t xml:space="preserve"> </w:t>
      </w:r>
      <w:proofErr w:type="spellStart"/>
      <w:r w:rsidRPr="009F01C3">
        <w:rPr>
          <w:rFonts w:cs="Times New Roman"/>
          <w:bCs/>
        </w:rPr>
        <w:t>one</w:t>
      </w:r>
      <w:proofErr w:type="spellEnd"/>
      <w:r w:rsidRPr="009F01C3">
        <w:rPr>
          <w:rFonts w:cs="Times New Roman"/>
          <w:bCs/>
        </w:rPr>
        <w:t xml:space="preserve"> </w:t>
      </w:r>
      <w:proofErr w:type="spellStart"/>
      <w:r w:rsidRPr="009F01C3">
        <w:rPr>
          <w:rFonts w:cs="Times New Roman"/>
          <w:bCs/>
        </w:rPr>
        <w:t>result</w:t>
      </w:r>
      <w:proofErr w:type="spellEnd"/>
      <w:r w:rsidRPr="009F01C3">
        <w:rPr>
          <w:rFonts w:cs="Times New Roman"/>
          <w:bCs/>
        </w:rPr>
        <w:t xml:space="preserve"> indicator) are </w:t>
      </w:r>
      <w:proofErr w:type="spellStart"/>
      <w:r w:rsidRPr="009F01C3">
        <w:rPr>
          <w:rFonts w:cs="Times New Roman"/>
          <w:bCs/>
        </w:rPr>
        <w:t>possible</w:t>
      </w:r>
      <w:proofErr w:type="spellEnd"/>
      <w:r w:rsidRPr="009F01C3">
        <w:rPr>
          <w:rFonts w:cs="Times New Roman"/>
          <w:bCs/>
        </w:rPr>
        <w:t xml:space="preserve"> for </w:t>
      </w:r>
      <w:proofErr w:type="spellStart"/>
      <w:r w:rsidRPr="009F01C3">
        <w:rPr>
          <w:rFonts w:cs="Times New Roman"/>
          <w:bCs/>
        </w:rPr>
        <w:t>one</w:t>
      </w:r>
      <w:proofErr w:type="spellEnd"/>
      <w:r w:rsidRPr="009F01C3">
        <w:rPr>
          <w:rFonts w:cs="Times New Roman"/>
          <w:bCs/>
        </w:rPr>
        <w:t xml:space="preserve"> </w:t>
      </w:r>
      <w:proofErr w:type="spellStart"/>
      <w:r w:rsidRPr="009F01C3">
        <w:rPr>
          <w:rFonts w:cs="Times New Roman"/>
          <w:bCs/>
        </w:rPr>
        <w:t>type</w:t>
      </w:r>
      <w:proofErr w:type="spellEnd"/>
      <w:r w:rsidRPr="009F01C3">
        <w:rPr>
          <w:rFonts w:cs="Times New Roman"/>
          <w:bCs/>
        </w:rPr>
        <w:t xml:space="preserve"> of </w:t>
      </w:r>
      <w:proofErr w:type="spellStart"/>
      <w:r w:rsidRPr="009F01C3">
        <w:rPr>
          <w:rFonts w:cs="Times New Roman"/>
          <w:bCs/>
        </w:rPr>
        <w:t>operation</w:t>
      </w:r>
      <w:proofErr w:type="spellEnd"/>
      <w:r w:rsidRPr="009F01C3">
        <w:rPr>
          <w:rFonts w:cs="Times New Roman"/>
          <w:bCs/>
        </w:rPr>
        <w:t xml:space="preserve">. In </w:t>
      </w:r>
      <w:proofErr w:type="spellStart"/>
      <w:r w:rsidRPr="009F01C3">
        <w:rPr>
          <w:rFonts w:cs="Times New Roman"/>
          <w:bCs/>
        </w:rPr>
        <w:t>these</w:t>
      </w:r>
      <w:proofErr w:type="spellEnd"/>
      <w:r w:rsidRPr="009F01C3">
        <w:rPr>
          <w:rFonts w:cs="Times New Roman"/>
          <w:bCs/>
        </w:rPr>
        <w:t xml:space="preserve"> </w:t>
      </w:r>
      <w:proofErr w:type="spellStart"/>
      <w:r w:rsidRPr="009F01C3">
        <w:rPr>
          <w:rFonts w:cs="Times New Roman"/>
          <w:bCs/>
        </w:rPr>
        <w:t>cases</w:t>
      </w:r>
      <w:proofErr w:type="spellEnd"/>
      <w:r w:rsidRPr="009F01C3">
        <w:rPr>
          <w:rFonts w:cs="Times New Roman"/>
          <w:bCs/>
        </w:rPr>
        <w:t xml:space="preserve">, </w:t>
      </w:r>
      <w:proofErr w:type="spellStart"/>
      <w:r w:rsidRPr="009F01C3">
        <w:rPr>
          <w:rFonts w:cs="Times New Roman"/>
          <w:bCs/>
        </w:rPr>
        <w:t>fields</w:t>
      </w:r>
      <w:proofErr w:type="spellEnd"/>
      <w:r w:rsidRPr="009F01C3">
        <w:rPr>
          <w:rFonts w:cs="Times New Roman"/>
          <w:bCs/>
        </w:rPr>
        <w:t xml:space="preserve"> 1.3 </w:t>
      </w:r>
      <w:proofErr w:type="spellStart"/>
      <w:r w:rsidRPr="009F01C3">
        <w:rPr>
          <w:rFonts w:cs="Times New Roman"/>
          <w:bCs/>
        </w:rPr>
        <w:t>to</w:t>
      </w:r>
      <w:proofErr w:type="spellEnd"/>
      <w:r w:rsidRPr="009F01C3">
        <w:rPr>
          <w:rFonts w:cs="Times New Roman"/>
          <w:bCs/>
        </w:rPr>
        <w:t xml:space="preserve"> 1.11 </w:t>
      </w:r>
      <w:proofErr w:type="spellStart"/>
      <w:r w:rsidRPr="009F01C3">
        <w:rPr>
          <w:rFonts w:cs="Times New Roman"/>
          <w:bCs/>
        </w:rPr>
        <w:t>should</w:t>
      </w:r>
      <w:proofErr w:type="spellEnd"/>
      <w:r w:rsidRPr="009F01C3">
        <w:rPr>
          <w:rFonts w:cs="Times New Roman"/>
          <w:bCs/>
        </w:rPr>
        <w:t xml:space="preserve"> </w:t>
      </w:r>
      <w:proofErr w:type="spellStart"/>
      <w:r w:rsidRPr="009F01C3">
        <w:rPr>
          <w:rFonts w:cs="Times New Roman"/>
          <w:bCs/>
        </w:rPr>
        <w:t>be</w:t>
      </w:r>
      <w:proofErr w:type="spellEnd"/>
      <w:r w:rsidRPr="009F01C3">
        <w:rPr>
          <w:rFonts w:cs="Times New Roman"/>
          <w:bCs/>
        </w:rPr>
        <w:t xml:space="preserve"> </w:t>
      </w:r>
      <w:proofErr w:type="spellStart"/>
      <w:r w:rsidRPr="009F01C3">
        <w:rPr>
          <w:rFonts w:cs="Times New Roman"/>
          <w:bCs/>
        </w:rPr>
        <w:t>filled</w:t>
      </w:r>
      <w:proofErr w:type="spellEnd"/>
      <w:r w:rsidRPr="009F01C3">
        <w:rPr>
          <w:rFonts w:cs="Times New Roman"/>
          <w:bCs/>
        </w:rPr>
        <w:t xml:space="preserve"> in for </w:t>
      </w:r>
      <w:proofErr w:type="spellStart"/>
      <w:r w:rsidRPr="009F01C3">
        <w:rPr>
          <w:rFonts w:cs="Times New Roman"/>
          <w:bCs/>
        </w:rPr>
        <w:t>each</w:t>
      </w:r>
      <w:proofErr w:type="spellEnd"/>
      <w:r w:rsidRPr="009F01C3">
        <w:rPr>
          <w:rFonts w:cs="Times New Roman"/>
          <w:bCs/>
        </w:rPr>
        <w:t xml:space="preserve"> indicator.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38B84B" w14:textId="77777777" w:rsidR="0016447E" w:rsidRDefault="001644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C40868" w14:textId="77777777" w:rsidR="0016447E" w:rsidRDefault="001644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92EF0A" w14:textId="77777777" w:rsidR="0016447E" w:rsidRDefault="0016447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A3FE3E" w14:textId="77777777" w:rsidR="0016447E" w:rsidRPr="00674D71" w:rsidRDefault="0016447E" w:rsidP="0053412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B42B03" w14:textId="77777777" w:rsidR="0016447E" w:rsidRPr="00674D71" w:rsidRDefault="0016447E" w:rsidP="0053412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3D0100" w14:textId="77777777" w:rsidR="0016447E" w:rsidRPr="00674D71" w:rsidRDefault="0016447E" w:rsidP="005341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8244F1CE"/>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98B87070"/>
    <w:lvl w:ilvl="0">
      <w:start w:val="1"/>
      <w:numFmt w:val="bullet"/>
      <w:pStyle w:val="ListBullet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B03A2460"/>
    <w:lvl w:ilvl="0">
      <w:start w:val="1"/>
      <w:numFmt w:val="bullet"/>
      <w:pStyle w:val="ListBullet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C0E4893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11F3D6A"/>
    <w:multiLevelType w:val="hybridMultilevel"/>
    <w:tmpl w:val="AD3A0118"/>
    <w:lvl w:ilvl="0" w:tplc="DBDE7832">
      <w:numFmt w:val="bullet"/>
      <w:lvlText w:val="•"/>
      <w:lvlJc w:val="left"/>
      <w:pPr>
        <w:ind w:left="720" w:hanging="720"/>
      </w:pPr>
      <w:rPr>
        <w:rFonts w:ascii="Times New Roman" w:eastAsiaTheme="minorHAnsi"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6495604"/>
    <w:multiLevelType w:val="multilevel"/>
    <w:tmpl w:val="9F60CF46"/>
    <w:name w:val="Points"/>
    <w:lvl w:ilvl="0">
      <w:start w:val="1"/>
      <w:numFmt w:val="decimal"/>
      <w:lvlRestart w:val="0"/>
      <w:pStyle w:val="Point123"/>
      <w:lvlText w:val="%1."/>
      <w:lvlJc w:val="left"/>
      <w:pPr>
        <w:tabs>
          <w:tab w:val="num" w:pos="567"/>
        </w:tabs>
        <w:ind w:left="567" w:hanging="567"/>
      </w:pPr>
    </w:lvl>
    <w:lvl w:ilvl="1">
      <w:start w:val="1"/>
      <w:numFmt w:val="lowerLetter"/>
      <w:pStyle w:val="Pointabc"/>
      <w:lvlText w:val="%2)"/>
      <w:lvlJc w:val="left"/>
      <w:pPr>
        <w:tabs>
          <w:tab w:val="num" w:pos="567"/>
        </w:tabs>
        <w:ind w:left="567" w:hanging="567"/>
      </w:pPr>
    </w:lvl>
    <w:lvl w:ilvl="2">
      <w:start w:val="1"/>
      <w:numFmt w:val="decimal"/>
      <w:pStyle w:val="Point1231"/>
      <w:lvlText w:val="%3."/>
      <w:lvlJc w:val="left"/>
      <w:pPr>
        <w:tabs>
          <w:tab w:val="num" w:pos="1134"/>
        </w:tabs>
        <w:ind w:left="1134" w:hanging="567"/>
      </w:pPr>
    </w:lvl>
    <w:lvl w:ilvl="3">
      <w:start w:val="1"/>
      <w:numFmt w:val="lowerLetter"/>
      <w:pStyle w:val="Pointabc1"/>
      <w:lvlText w:val="%4)"/>
      <w:lvlJc w:val="left"/>
      <w:pPr>
        <w:tabs>
          <w:tab w:val="num" w:pos="1134"/>
        </w:tabs>
        <w:ind w:left="1134" w:hanging="567"/>
      </w:pPr>
    </w:lvl>
    <w:lvl w:ilvl="4">
      <w:start w:val="1"/>
      <w:numFmt w:val="decimal"/>
      <w:pStyle w:val="Point1232"/>
      <w:lvlText w:val="%5."/>
      <w:lvlJc w:val="left"/>
      <w:pPr>
        <w:tabs>
          <w:tab w:val="num" w:pos="1701"/>
        </w:tabs>
        <w:ind w:left="1701" w:hanging="567"/>
      </w:pPr>
    </w:lvl>
    <w:lvl w:ilvl="5">
      <w:start w:val="1"/>
      <w:numFmt w:val="lowerLetter"/>
      <w:pStyle w:val="Pointabc2"/>
      <w:lvlText w:val="%6)"/>
      <w:lvlJc w:val="left"/>
      <w:pPr>
        <w:tabs>
          <w:tab w:val="num" w:pos="1701"/>
        </w:tabs>
        <w:ind w:left="1701" w:hanging="567"/>
      </w:pPr>
    </w:lvl>
    <w:lvl w:ilvl="6">
      <w:start w:val="1"/>
      <w:numFmt w:val="decimal"/>
      <w:pStyle w:val="Pointabc"/>
      <w:lvlText w:val="%7."/>
      <w:lvlJc w:val="left"/>
      <w:pPr>
        <w:tabs>
          <w:tab w:val="num" w:pos="2268"/>
        </w:tabs>
        <w:ind w:left="2268" w:hanging="567"/>
      </w:pPr>
    </w:lvl>
    <w:lvl w:ilvl="7">
      <w:start w:val="1"/>
      <w:numFmt w:val="lowerLetter"/>
      <w:pStyle w:val="Pointabc3"/>
      <w:lvlText w:val="%8)"/>
      <w:lvlJc w:val="left"/>
      <w:pPr>
        <w:tabs>
          <w:tab w:val="num" w:pos="2268"/>
        </w:tabs>
        <w:ind w:left="2268" w:hanging="567"/>
      </w:pPr>
    </w:lvl>
    <w:lvl w:ilvl="8">
      <w:start w:val="1"/>
      <w:numFmt w:val="lowerLetter"/>
      <w:pStyle w:val="Pointabc4"/>
      <w:lvlText w:val="%9)"/>
      <w:lvlJc w:val="left"/>
      <w:pPr>
        <w:tabs>
          <w:tab w:val="num" w:pos="2835"/>
        </w:tabs>
        <w:ind w:left="2835" w:hanging="567"/>
      </w:pPr>
    </w:lvl>
  </w:abstractNum>
  <w:abstractNum w:abstractNumId="9" w15:restartNumberingAfterBreak="0">
    <w:nsid w:val="066B5A68"/>
    <w:multiLevelType w:val="singleLevel"/>
    <w:tmpl w:val="8B0853B0"/>
    <w:name w:val="Dash 1"/>
    <w:lvl w:ilvl="0">
      <w:start w:val="1"/>
      <w:numFmt w:val="bullet"/>
      <w:lvlRestart w:val="0"/>
      <w:pStyle w:val="Dash1"/>
      <w:lvlText w:val="–"/>
      <w:lvlJc w:val="left"/>
      <w:pPr>
        <w:tabs>
          <w:tab w:val="num" w:pos="1134"/>
        </w:tabs>
        <w:ind w:left="1134" w:hanging="567"/>
      </w:pPr>
    </w:lvl>
  </w:abstractNum>
  <w:abstractNum w:abstractNumId="10" w15:restartNumberingAfterBreak="0">
    <w:nsid w:val="06BD2B11"/>
    <w:multiLevelType w:val="hybridMultilevel"/>
    <w:tmpl w:val="B612731E"/>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613F3"/>
    <w:multiLevelType w:val="hybridMultilevel"/>
    <w:tmpl w:val="EF6E0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0903645C"/>
    <w:multiLevelType w:val="hybridMultilevel"/>
    <w:tmpl w:val="D25CBB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9C20093"/>
    <w:multiLevelType w:val="singleLevel"/>
    <w:tmpl w:val="05F6137C"/>
    <w:name w:val="Dash 4"/>
    <w:lvl w:ilvl="0">
      <w:start w:val="1"/>
      <w:numFmt w:val="bullet"/>
      <w:lvlRestart w:val="0"/>
      <w:pStyle w:val="Dash4"/>
      <w:lvlText w:val="–"/>
      <w:lvlJc w:val="left"/>
      <w:pPr>
        <w:tabs>
          <w:tab w:val="num" w:pos="2835"/>
        </w:tabs>
        <w:ind w:left="2835" w:hanging="567"/>
      </w:pPr>
    </w:lvl>
  </w:abstractNum>
  <w:abstractNum w:abstractNumId="14" w15:restartNumberingAfterBreak="0">
    <w:nsid w:val="10037B36"/>
    <w:multiLevelType w:val="hybridMultilevel"/>
    <w:tmpl w:val="4B487E5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172B0495"/>
    <w:multiLevelType w:val="multilevel"/>
    <w:tmpl w:val="FED03EAA"/>
    <w:name w:val="Heading ABC"/>
    <w:lvl w:ilvl="0">
      <w:start w:val="1"/>
      <w:numFmt w:val="upperLetter"/>
      <w:lvlRestart w:val="0"/>
      <w:pStyle w:val="HeadingABC"/>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76C37B8"/>
    <w:multiLevelType w:val="singleLevel"/>
    <w:tmpl w:val="E17861E4"/>
    <w:name w:val="Bullet (2)"/>
    <w:lvl w:ilvl="0">
      <w:start w:val="1"/>
      <w:numFmt w:val="bullet"/>
      <w:lvlRestart w:val="0"/>
      <w:pStyle w:val="Bullet2"/>
      <w:lvlText w:val=""/>
      <w:lvlJc w:val="left"/>
      <w:pPr>
        <w:tabs>
          <w:tab w:val="num" w:pos="1701"/>
        </w:tabs>
        <w:ind w:left="1701" w:hanging="567"/>
      </w:pPr>
      <w:rPr>
        <w:rFonts w:ascii="Symbol" w:hAnsi="Symbol" w:hint="default"/>
      </w:rPr>
    </w:lvl>
  </w:abstractNum>
  <w:abstractNum w:abstractNumId="18" w15:restartNumberingAfterBreak="0">
    <w:nsid w:val="1A9466E1"/>
    <w:multiLevelType w:val="hybridMultilevel"/>
    <w:tmpl w:val="33ACAF3C"/>
    <w:lvl w:ilvl="0" w:tplc="9C0AC8D2">
      <w:start w:val="1"/>
      <w:numFmt w:val="bullet"/>
      <w:lvlText w:val=""/>
      <w:lvlJc w:val="left"/>
      <w:pPr>
        <w:ind w:left="720" w:hanging="360"/>
      </w:pPr>
      <w:rPr>
        <w:rFonts w:ascii="Symbol" w:hAnsi="Symbol" w:hint="default"/>
        <w:sz w:val="20"/>
        <w:szCs w:val="2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1B3C78B8"/>
    <w:multiLevelType w:val="multilevel"/>
    <w:tmpl w:val="ADB23302"/>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lvlText w:val="(%4)"/>
      <w:lvlJc w:val="left"/>
      <w:pPr>
        <w:tabs>
          <w:tab w:val="num" w:pos="1417"/>
        </w:tabs>
        <w:ind w:left="1417" w:hanging="567"/>
      </w:pPr>
      <w:rPr>
        <w:strike w:val="0"/>
        <w:dstrike w:val="0"/>
        <w:u w:val="none"/>
        <w:effect w:val="none"/>
      </w:r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0" w15:restartNumberingAfterBreak="0">
    <w:nsid w:val="1BBA710E"/>
    <w:multiLevelType w:val="hybridMultilevel"/>
    <w:tmpl w:val="0EB22B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FC73EED"/>
    <w:multiLevelType w:val="singleLevel"/>
    <w:tmpl w:val="109A6A02"/>
    <w:name w:val="Bullet (1)"/>
    <w:lvl w:ilvl="0">
      <w:start w:val="1"/>
      <w:numFmt w:val="bullet"/>
      <w:lvlRestart w:val="0"/>
      <w:pStyle w:val="Bullet1"/>
      <w:lvlText w:val=""/>
      <w:lvlJc w:val="left"/>
      <w:pPr>
        <w:tabs>
          <w:tab w:val="num" w:pos="1134"/>
        </w:tabs>
        <w:ind w:left="1134" w:hanging="567"/>
      </w:pPr>
      <w:rPr>
        <w:rFonts w:ascii="Symbol" w:hAnsi="Symbol" w:hint="default"/>
      </w:rPr>
    </w:lvl>
  </w:abstractNum>
  <w:abstractNum w:abstractNumId="22" w15:restartNumberingAfterBreak="0">
    <w:nsid w:val="22CA659A"/>
    <w:multiLevelType w:val="singleLevel"/>
    <w:tmpl w:val="7B9C897A"/>
    <w:lvl w:ilvl="0">
      <w:start w:val="1"/>
      <w:numFmt w:val="bullet"/>
      <w:pStyle w:val="Par-dash"/>
      <w:lvlText w:val=""/>
      <w:lvlJc w:val="left"/>
      <w:pPr>
        <w:tabs>
          <w:tab w:val="num" w:pos="567"/>
        </w:tabs>
        <w:ind w:left="567" w:hanging="567"/>
      </w:pPr>
      <w:rPr>
        <w:rFonts w:ascii="Symbol" w:hAnsi="Symbol" w:hint="default"/>
      </w:rPr>
    </w:lvl>
  </w:abstractNum>
  <w:abstractNum w:abstractNumId="23" w15:restartNumberingAfterBreak="0">
    <w:nsid w:val="22D918D1"/>
    <w:multiLevelType w:val="multilevel"/>
    <w:tmpl w:val="DE2606C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851"/>
        </w:tabs>
        <w:ind w:left="851" w:hanging="851"/>
      </w:pPr>
    </w:lvl>
    <w:lvl w:ilvl="3">
      <w:start w:val="1"/>
      <w:numFmt w:val="decimal"/>
      <w:pStyle w:val="Heading4"/>
      <w:lvlText w:val="%1.%2.%3.%4."/>
      <w:lvlJc w:val="left"/>
      <w:pPr>
        <w:tabs>
          <w:tab w:val="num" w:pos="851"/>
        </w:tabs>
        <w:ind w:left="851" w:hanging="851"/>
      </w:pPr>
    </w:lvl>
    <w:lvl w:ilvl="4">
      <w:start w:val="1"/>
      <w:numFmt w:val="none"/>
      <w:lvlText w:val=""/>
      <w:lvlJc w:val="left"/>
      <w:pPr>
        <w:tabs>
          <w:tab w:val="num" w:pos="36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4" w15:restartNumberingAfterBreak="0">
    <w:nsid w:val="23374017"/>
    <w:multiLevelType w:val="hybridMultilevel"/>
    <w:tmpl w:val="37040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23AA766E"/>
    <w:multiLevelType w:val="hybridMultilevel"/>
    <w:tmpl w:val="74A689C4"/>
    <w:lvl w:ilvl="0" w:tplc="421EC4C4">
      <w:numFmt w:val="bullet"/>
      <w:lvlText w:val="-"/>
      <w:lvlJc w:val="left"/>
      <w:pPr>
        <w:ind w:left="360" w:hanging="360"/>
      </w:pPr>
      <w:rPr>
        <w:rFonts w:ascii="Calibri" w:eastAsiaTheme="minorHAnsi" w:hAnsi="Calibri"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3AA7678"/>
    <w:multiLevelType w:val="hybridMultilevel"/>
    <w:tmpl w:val="600AE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8" w15:restartNumberingAfterBreak="0">
    <w:nsid w:val="26596D70"/>
    <w:multiLevelType w:val="multilevel"/>
    <w:tmpl w:val="0ABAD01C"/>
    <w:name w:val="Points roman"/>
    <w:lvl w:ilvl="0">
      <w:start w:val="1"/>
      <w:numFmt w:val="lowerRoman"/>
      <w:lvlRestart w:val="0"/>
      <w:pStyle w:val="Pointivx"/>
      <w:lvlText w:val="%1)"/>
      <w:lvlJc w:val="left"/>
      <w:pPr>
        <w:tabs>
          <w:tab w:val="num" w:pos="567"/>
        </w:tabs>
        <w:ind w:left="567" w:hanging="567"/>
      </w:pPr>
    </w:lvl>
    <w:lvl w:ilvl="1">
      <w:start w:val="1"/>
      <w:numFmt w:val="lowerRoman"/>
      <w:pStyle w:val="Pointivx1"/>
      <w:lvlText w:val="%2)"/>
      <w:lvlJc w:val="left"/>
      <w:pPr>
        <w:tabs>
          <w:tab w:val="num" w:pos="1134"/>
        </w:tabs>
        <w:ind w:left="1134" w:hanging="567"/>
      </w:pPr>
    </w:lvl>
    <w:lvl w:ilvl="2">
      <w:start w:val="1"/>
      <w:numFmt w:val="lowerRoman"/>
      <w:pStyle w:val="Pointivx2"/>
      <w:lvlText w:val="%3)"/>
      <w:lvlJc w:val="left"/>
      <w:pPr>
        <w:tabs>
          <w:tab w:val="num" w:pos="1701"/>
        </w:tabs>
        <w:ind w:left="1701" w:hanging="567"/>
      </w:pPr>
    </w:lvl>
    <w:lvl w:ilvl="3">
      <w:start w:val="1"/>
      <w:numFmt w:val="lowerRoman"/>
      <w:pStyle w:val="Pointivx3"/>
      <w:lvlText w:val="%4)"/>
      <w:lvlJc w:val="left"/>
      <w:pPr>
        <w:tabs>
          <w:tab w:val="num" w:pos="2268"/>
        </w:tabs>
        <w:ind w:left="2268" w:hanging="567"/>
      </w:pPr>
    </w:lvl>
    <w:lvl w:ilvl="4">
      <w:start w:val="1"/>
      <w:numFmt w:val="lowerRoman"/>
      <w:pStyle w:val="Pointivx4"/>
      <w:lvlText w:val="%5)"/>
      <w:lvlJc w:val="left"/>
      <w:pPr>
        <w:tabs>
          <w:tab w:val="num" w:pos="2835"/>
        </w:tabs>
        <w:ind w:left="2835" w:hanging="56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7A94842"/>
    <w:multiLevelType w:val="multilevel"/>
    <w:tmpl w:val="AF12CA62"/>
    <w:name w:val="Heading 123"/>
    <w:lvl w:ilvl="0">
      <w:start w:val="1"/>
      <w:numFmt w:val="decimal"/>
      <w:lvlRestart w:val="0"/>
      <w:pStyle w:val="Heading123"/>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8267E08"/>
    <w:multiLevelType w:val="hybridMultilevel"/>
    <w:tmpl w:val="B55AAA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9FF5A85"/>
    <w:multiLevelType w:val="hybridMultilevel"/>
    <w:tmpl w:val="8280ED2C"/>
    <w:lvl w:ilvl="0" w:tplc="9536D086">
      <w:start w:val="1"/>
      <w:numFmt w:val="decimal"/>
      <w:pStyle w:val="Considerant"/>
      <w:lvlText w:val="%1)"/>
      <w:lvlJc w:val="left"/>
      <w:pPr>
        <w:ind w:left="928"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2" w15:restartNumberingAfterBreak="0">
    <w:nsid w:val="2CE9221F"/>
    <w:multiLevelType w:val="singleLevel"/>
    <w:tmpl w:val="9B4AFB48"/>
    <w:name w:val="Tiret 3"/>
    <w:lvl w:ilvl="0">
      <w:start w:val="1"/>
      <w:numFmt w:val="bullet"/>
      <w:pStyle w:val="Tiret3"/>
      <w:lvlText w:val="–"/>
      <w:lvlJc w:val="left"/>
      <w:pPr>
        <w:tabs>
          <w:tab w:val="num" w:pos="2551"/>
        </w:tabs>
        <w:ind w:left="2551" w:hanging="567"/>
      </w:pPr>
    </w:lvl>
  </w:abstractNum>
  <w:abstractNum w:abstractNumId="33" w15:restartNumberingAfterBreak="0">
    <w:nsid w:val="2D2D468B"/>
    <w:multiLevelType w:val="singleLevel"/>
    <w:tmpl w:val="A18042A8"/>
    <w:lvl w:ilvl="0">
      <w:start w:val="1"/>
      <w:numFmt w:val="upperLetter"/>
      <w:pStyle w:val="Par-numberA"/>
      <w:lvlText w:val="%1."/>
      <w:lvlJc w:val="left"/>
      <w:pPr>
        <w:tabs>
          <w:tab w:val="num" w:pos="567"/>
        </w:tabs>
        <w:ind w:left="567" w:hanging="567"/>
      </w:pPr>
    </w:lvl>
  </w:abstractNum>
  <w:abstractNum w:abstractNumId="34" w15:restartNumberingAfterBreak="0">
    <w:nsid w:val="2DB37182"/>
    <w:multiLevelType w:val="singleLevel"/>
    <w:tmpl w:val="F612DBDC"/>
    <w:lvl w:ilvl="0">
      <w:start w:val="1"/>
      <w:numFmt w:val="lowerRoman"/>
      <w:pStyle w:val="Par-numberi"/>
      <w:lvlText w:val="(%1)"/>
      <w:lvlJc w:val="left"/>
      <w:pPr>
        <w:tabs>
          <w:tab w:val="num" w:pos="720"/>
        </w:tabs>
        <w:ind w:left="567" w:hanging="567"/>
      </w:pPr>
    </w:lvl>
  </w:abstractNum>
  <w:abstractNum w:abstractNumId="35" w15:restartNumberingAfterBreak="0">
    <w:nsid w:val="2ED13BEC"/>
    <w:multiLevelType w:val="hybridMultilevel"/>
    <w:tmpl w:val="0450D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0B71D96"/>
    <w:multiLevelType w:val="hybridMultilevel"/>
    <w:tmpl w:val="728C0580"/>
    <w:lvl w:ilvl="0" w:tplc="06427200">
      <w:numFmt w:val="bullet"/>
      <w:lvlText w:val="-"/>
      <w:lvlJc w:val="left"/>
      <w:pPr>
        <w:ind w:left="720" w:hanging="360"/>
      </w:pPr>
      <w:rPr>
        <w:rFonts w:ascii="Calibri" w:eastAsiaTheme="minorHAnsi" w:hAnsi="Calibri" w:cs="Calibri" w:hint="default"/>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361D3324"/>
    <w:multiLevelType w:val="hybridMultilevel"/>
    <w:tmpl w:val="4E267EEA"/>
    <w:lvl w:ilvl="0" w:tplc="08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7D65BC1"/>
    <w:multiLevelType w:val="hybridMultilevel"/>
    <w:tmpl w:val="906299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9" w15:restartNumberingAfterBreak="0">
    <w:nsid w:val="394F5925"/>
    <w:multiLevelType w:val="singleLevel"/>
    <w:tmpl w:val="395C08BE"/>
    <w:lvl w:ilvl="0">
      <w:start w:val="1"/>
      <w:numFmt w:val="decimal"/>
      <w:pStyle w:val="Par-number1"/>
      <w:lvlText w:val="(%1)"/>
      <w:lvlJc w:val="left"/>
      <w:pPr>
        <w:tabs>
          <w:tab w:val="num" w:pos="567"/>
        </w:tabs>
        <w:ind w:left="567" w:hanging="567"/>
      </w:pPr>
    </w:lvl>
  </w:abstractNum>
  <w:abstractNum w:abstractNumId="40" w15:restartNumberingAfterBreak="0">
    <w:nsid w:val="3DD66C9D"/>
    <w:multiLevelType w:val="singleLevel"/>
    <w:tmpl w:val="E5905DC2"/>
    <w:lvl w:ilvl="0">
      <w:start w:val="1"/>
      <w:numFmt w:val="lowerLetter"/>
      <w:pStyle w:val="Par-numbera0"/>
      <w:lvlText w:val="(%1)"/>
      <w:lvlJc w:val="left"/>
      <w:pPr>
        <w:tabs>
          <w:tab w:val="num" w:pos="567"/>
        </w:tabs>
        <w:ind w:left="567" w:hanging="567"/>
      </w:pPr>
    </w:lvl>
  </w:abstractNum>
  <w:abstractNum w:abstractNumId="41" w15:restartNumberingAfterBreak="0">
    <w:nsid w:val="3FC80B1B"/>
    <w:multiLevelType w:val="singleLevel"/>
    <w:tmpl w:val="C11CD6E2"/>
    <w:lvl w:ilvl="0">
      <w:start w:val="1"/>
      <w:numFmt w:val="decimal"/>
      <w:pStyle w:val="Par-number10"/>
      <w:lvlText w:val="%1)"/>
      <w:lvlJc w:val="left"/>
      <w:pPr>
        <w:tabs>
          <w:tab w:val="num" w:pos="567"/>
        </w:tabs>
        <w:ind w:left="567" w:hanging="567"/>
      </w:pPr>
    </w:lvl>
  </w:abstractNum>
  <w:abstractNum w:abstractNumId="42" w15:restartNumberingAfterBreak="0">
    <w:nsid w:val="403E4C70"/>
    <w:multiLevelType w:val="hybridMultilevel"/>
    <w:tmpl w:val="3130600C"/>
    <w:lvl w:ilvl="0" w:tplc="D84803A4">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44"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42FC0772"/>
    <w:multiLevelType w:val="singleLevel"/>
    <w:tmpl w:val="4128FCF8"/>
    <w:name w:val="Tiret 4"/>
    <w:lvl w:ilvl="0">
      <w:start w:val="1"/>
      <w:numFmt w:val="bullet"/>
      <w:pStyle w:val="Tiret4"/>
      <w:lvlText w:val="–"/>
      <w:lvlJc w:val="left"/>
      <w:pPr>
        <w:tabs>
          <w:tab w:val="num" w:pos="3118"/>
        </w:tabs>
        <w:ind w:left="3118" w:hanging="567"/>
      </w:pPr>
    </w:lvl>
  </w:abstractNum>
  <w:abstractNum w:abstractNumId="46" w15:restartNumberingAfterBreak="0">
    <w:nsid w:val="436E0A5D"/>
    <w:multiLevelType w:val="singleLevel"/>
    <w:tmpl w:val="9C807126"/>
    <w:lvl w:ilvl="0">
      <w:start w:val="1"/>
      <w:numFmt w:val="bullet"/>
      <w:pStyle w:val="Par-equal"/>
      <w:lvlText w:val=""/>
      <w:lvlJc w:val="left"/>
      <w:pPr>
        <w:tabs>
          <w:tab w:val="num" w:pos="567"/>
        </w:tabs>
        <w:ind w:left="567" w:hanging="567"/>
      </w:pPr>
      <w:rPr>
        <w:rFonts w:ascii="Symbol" w:hAnsi="Symbol" w:hint="default"/>
      </w:rPr>
    </w:lvl>
  </w:abstractNum>
  <w:abstractNum w:abstractNumId="47" w15:restartNumberingAfterBreak="0">
    <w:nsid w:val="44830AE8"/>
    <w:multiLevelType w:val="singleLevel"/>
    <w:tmpl w:val="C694AB9E"/>
    <w:name w:val="Bullet (0)"/>
    <w:lvl w:ilvl="0">
      <w:start w:val="1"/>
      <w:numFmt w:val="bullet"/>
      <w:lvlRestart w:val="0"/>
      <w:pStyle w:val="Bullet"/>
      <w:lvlText w:val=""/>
      <w:lvlJc w:val="left"/>
      <w:pPr>
        <w:tabs>
          <w:tab w:val="num" w:pos="567"/>
        </w:tabs>
        <w:ind w:left="567" w:hanging="567"/>
      </w:pPr>
      <w:rPr>
        <w:rFonts w:ascii="Symbol" w:hAnsi="Symbol" w:hint="default"/>
      </w:rPr>
    </w:lvl>
  </w:abstractNum>
  <w:abstractNum w:abstractNumId="48" w15:restartNumberingAfterBreak="0">
    <w:nsid w:val="44842E33"/>
    <w:multiLevelType w:val="hybridMultilevel"/>
    <w:tmpl w:val="170CA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 w15:restartNumberingAfterBreak="0">
    <w:nsid w:val="4552127F"/>
    <w:multiLevelType w:val="singleLevel"/>
    <w:tmpl w:val="057A5296"/>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51"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2"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3" w15:restartNumberingAfterBreak="0">
    <w:nsid w:val="497421CF"/>
    <w:multiLevelType w:val="hybridMultilevel"/>
    <w:tmpl w:val="6E10E938"/>
    <w:lvl w:ilvl="0" w:tplc="06427200">
      <w:numFmt w:val="bullet"/>
      <w:lvlText w:val="-"/>
      <w:lvlJc w:val="left"/>
      <w:pPr>
        <w:ind w:left="720" w:hanging="360"/>
      </w:pPr>
      <w:rPr>
        <w:rFonts w:ascii="Calibri" w:eastAsia="Calibr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64B528A"/>
    <w:multiLevelType w:val="hybridMultilevel"/>
    <w:tmpl w:val="43A2F78C"/>
    <w:lvl w:ilvl="0" w:tplc="04180001">
      <w:start w:val="1"/>
      <w:numFmt w:val="bullet"/>
      <w:lvlText w:val=""/>
      <w:lvlJc w:val="left"/>
      <w:pPr>
        <w:ind w:left="720" w:hanging="360"/>
      </w:pPr>
      <w:rPr>
        <w:rFonts w:ascii="Symbol" w:hAnsi="Symbol" w:cs="Symbol" w:hint="default"/>
      </w:rPr>
    </w:lvl>
    <w:lvl w:ilvl="1" w:tplc="D84803A4">
      <w:start w:val="1"/>
      <w:numFmt w:val="bullet"/>
      <w:lvlText w:val="•"/>
      <w:lvlJc w:val="left"/>
      <w:pPr>
        <w:ind w:left="1440" w:hanging="360"/>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cs="Wingdings" w:hint="default"/>
      </w:rPr>
    </w:lvl>
    <w:lvl w:ilvl="3" w:tplc="04180001" w:tentative="1">
      <w:start w:val="1"/>
      <w:numFmt w:val="bullet"/>
      <w:lvlText w:val=""/>
      <w:lvlJc w:val="left"/>
      <w:pPr>
        <w:ind w:left="2880" w:hanging="360"/>
      </w:pPr>
      <w:rPr>
        <w:rFonts w:ascii="Symbol" w:hAnsi="Symbol" w:cs="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cs="Wingdings" w:hint="default"/>
      </w:rPr>
    </w:lvl>
    <w:lvl w:ilvl="6" w:tplc="04180001" w:tentative="1">
      <w:start w:val="1"/>
      <w:numFmt w:val="bullet"/>
      <w:lvlText w:val=""/>
      <w:lvlJc w:val="left"/>
      <w:pPr>
        <w:ind w:left="5040" w:hanging="360"/>
      </w:pPr>
      <w:rPr>
        <w:rFonts w:ascii="Symbol" w:hAnsi="Symbol" w:cs="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cs="Wingdings" w:hint="default"/>
      </w:rPr>
    </w:lvl>
  </w:abstractNum>
  <w:abstractNum w:abstractNumId="55" w15:restartNumberingAfterBreak="0">
    <w:nsid w:val="57227889"/>
    <w:multiLevelType w:val="singleLevel"/>
    <w:tmpl w:val="B83C732C"/>
    <w:name w:val="Dash Equal 2"/>
    <w:lvl w:ilvl="0">
      <w:start w:val="1"/>
      <w:numFmt w:val="bullet"/>
      <w:lvlRestart w:val="0"/>
      <w:pStyle w:val="DashEqual2"/>
      <w:lvlText w:val="="/>
      <w:lvlJc w:val="left"/>
      <w:pPr>
        <w:tabs>
          <w:tab w:val="num" w:pos="1701"/>
        </w:tabs>
        <w:ind w:left="1701" w:hanging="567"/>
      </w:pPr>
    </w:lvl>
  </w:abstractNum>
  <w:abstractNum w:abstractNumId="56" w15:restartNumberingAfterBreak="0">
    <w:nsid w:val="57CF7392"/>
    <w:multiLevelType w:val="multilevel"/>
    <w:tmpl w:val="8F703574"/>
    <w:name w:val="Heading IVX"/>
    <w:lvl w:ilvl="0">
      <w:start w:val="1"/>
      <w:numFmt w:val="upperRoman"/>
      <w:lvlRestart w:val="0"/>
      <w:pStyle w:val="HeadingIVX"/>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5A7F00E6"/>
    <w:multiLevelType w:val="hybridMultilevel"/>
    <w:tmpl w:val="3D74FE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8" w15:restartNumberingAfterBreak="0">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59" w15:restartNumberingAfterBreak="0">
    <w:nsid w:val="5D60669B"/>
    <w:multiLevelType w:val="singleLevel"/>
    <w:tmpl w:val="A97ED7DE"/>
    <w:name w:val="Dash 3"/>
    <w:lvl w:ilvl="0">
      <w:start w:val="1"/>
      <w:numFmt w:val="bullet"/>
      <w:lvlRestart w:val="0"/>
      <w:pStyle w:val="Dash3"/>
      <w:lvlText w:val="–"/>
      <w:lvlJc w:val="left"/>
      <w:pPr>
        <w:tabs>
          <w:tab w:val="num" w:pos="2268"/>
        </w:tabs>
        <w:ind w:left="2268" w:hanging="567"/>
      </w:pPr>
    </w:lvl>
  </w:abstractNum>
  <w:abstractNum w:abstractNumId="60" w15:restartNumberingAfterBreak="0">
    <w:nsid w:val="65373619"/>
    <w:multiLevelType w:val="hybridMultilevel"/>
    <w:tmpl w:val="32B6F5FE"/>
    <w:lvl w:ilvl="0" w:tplc="CD141452">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62"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6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64" w15:restartNumberingAfterBreak="0">
    <w:nsid w:val="6774118E"/>
    <w:multiLevelType w:val="singleLevel"/>
    <w:tmpl w:val="5944F242"/>
    <w:name w:val="Dash Equal 4"/>
    <w:lvl w:ilvl="0">
      <w:start w:val="1"/>
      <w:numFmt w:val="bullet"/>
      <w:lvlRestart w:val="0"/>
      <w:pStyle w:val="DashEqual4"/>
      <w:lvlText w:val="="/>
      <w:lvlJc w:val="left"/>
      <w:pPr>
        <w:tabs>
          <w:tab w:val="num" w:pos="2835"/>
        </w:tabs>
        <w:ind w:left="2835" w:hanging="567"/>
      </w:pPr>
    </w:lvl>
  </w:abstractNum>
  <w:abstractNum w:abstractNumId="65" w15:restartNumberingAfterBreak="0">
    <w:nsid w:val="67B856F6"/>
    <w:multiLevelType w:val="singleLevel"/>
    <w:tmpl w:val="0AB28E9C"/>
    <w:name w:val="Tiret 2"/>
    <w:lvl w:ilvl="0">
      <w:start w:val="1"/>
      <w:numFmt w:val="bullet"/>
      <w:pStyle w:val="Tiret2"/>
      <w:lvlText w:val="–"/>
      <w:lvlJc w:val="left"/>
      <w:pPr>
        <w:tabs>
          <w:tab w:val="num" w:pos="1984"/>
        </w:tabs>
        <w:ind w:left="1984" w:hanging="567"/>
      </w:pPr>
    </w:lvl>
  </w:abstractNum>
  <w:abstractNum w:abstractNumId="66" w15:restartNumberingAfterBreak="0">
    <w:nsid w:val="69123630"/>
    <w:multiLevelType w:val="singleLevel"/>
    <w:tmpl w:val="1BE6CBF4"/>
    <w:name w:val="Bullet (3)"/>
    <w:lvl w:ilvl="0">
      <w:start w:val="1"/>
      <w:numFmt w:val="bullet"/>
      <w:lvlRestart w:val="0"/>
      <w:pStyle w:val="Bullet3"/>
      <w:lvlText w:val=""/>
      <w:lvlJc w:val="left"/>
      <w:pPr>
        <w:tabs>
          <w:tab w:val="num" w:pos="2268"/>
        </w:tabs>
        <w:ind w:left="2268" w:hanging="567"/>
      </w:pPr>
      <w:rPr>
        <w:rFonts w:ascii="Symbol" w:hAnsi="Symbol" w:hint="default"/>
      </w:rPr>
    </w:lvl>
  </w:abstractNum>
  <w:abstractNum w:abstractNumId="67" w15:restartNumberingAfterBreak="0">
    <w:nsid w:val="6D9D664B"/>
    <w:multiLevelType w:val="singleLevel"/>
    <w:tmpl w:val="11148DA2"/>
    <w:name w:val="Dash 0"/>
    <w:lvl w:ilvl="0">
      <w:start w:val="1"/>
      <w:numFmt w:val="bullet"/>
      <w:lvlRestart w:val="0"/>
      <w:pStyle w:val="Dash"/>
      <w:lvlText w:val="–"/>
      <w:lvlJc w:val="left"/>
      <w:pPr>
        <w:tabs>
          <w:tab w:val="num" w:pos="567"/>
        </w:tabs>
        <w:ind w:left="567" w:hanging="567"/>
      </w:pPr>
    </w:lvl>
  </w:abstractNum>
  <w:abstractNum w:abstractNumId="68" w15:restartNumberingAfterBreak="0">
    <w:nsid w:val="6E4E71E4"/>
    <w:multiLevelType w:val="singleLevel"/>
    <w:tmpl w:val="21145626"/>
    <w:lvl w:ilvl="0">
      <w:start w:val="1"/>
      <w:numFmt w:val="decimal"/>
      <w:pStyle w:val="Par-number11"/>
      <w:lvlText w:val="%1."/>
      <w:lvlJc w:val="left"/>
      <w:pPr>
        <w:tabs>
          <w:tab w:val="num" w:pos="567"/>
        </w:tabs>
        <w:ind w:left="567" w:hanging="567"/>
      </w:pPr>
    </w:lvl>
  </w:abstractNum>
  <w:abstractNum w:abstractNumId="69"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70" w15:restartNumberingAfterBreak="0">
    <w:nsid w:val="6F642730"/>
    <w:multiLevelType w:val="singleLevel"/>
    <w:tmpl w:val="142C218E"/>
    <w:name w:val="Dash 2"/>
    <w:lvl w:ilvl="0">
      <w:start w:val="1"/>
      <w:numFmt w:val="bullet"/>
      <w:lvlRestart w:val="0"/>
      <w:pStyle w:val="Dash2"/>
      <w:lvlText w:val="–"/>
      <w:lvlJc w:val="left"/>
      <w:pPr>
        <w:tabs>
          <w:tab w:val="num" w:pos="1701"/>
        </w:tabs>
        <w:ind w:left="1701" w:hanging="567"/>
      </w:pPr>
    </w:lvl>
  </w:abstractNum>
  <w:abstractNum w:abstractNumId="71" w15:restartNumberingAfterBreak="0">
    <w:nsid w:val="753F4BA1"/>
    <w:multiLevelType w:val="singleLevel"/>
    <w:tmpl w:val="E3B64B50"/>
    <w:name w:val="Dash Equal 3"/>
    <w:lvl w:ilvl="0">
      <w:start w:val="1"/>
      <w:numFmt w:val="bullet"/>
      <w:lvlRestart w:val="0"/>
      <w:pStyle w:val="DashEqual3"/>
      <w:lvlText w:val="="/>
      <w:lvlJc w:val="left"/>
      <w:pPr>
        <w:tabs>
          <w:tab w:val="num" w:pos="2268"/>
        </w:tabs>
        <w:ind w:left="2268" w:hanging="567"/>
      </w:pPr>
    </w:lvl>
  </w:abstractNum>
  <w:abstractNum w:abstractNumId="72" w15:restartNumberingAfterBreak="0">
    <w:nsid w:val="767F4AB5"/>
    <w:multiLevelType w:val="hybridMultilevel"/>
    <w:tmpl w:val="6CAEDC20"/>
    <w:lvl w:ilvl="0" w:tplc="7AAA46EC">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pStyle w:val="StyleHeading3BoldNotItalic"/>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3" w15:restartNumberingAfterBreak="0">
    <w:nsid w:val="78250856"/>
    <w:multiLevelType w:val="singleLevel"/>
    <w:tmpl w:val="70ACDB5C"/>
    <w:name w:val="Dash Equal 0"/>
    <w:lvl w:ilvl="0">
      <w:start w:val="1"/>
      <w:numFmt w:val="bullet"/>
      <w:lvlRestart w:val="0"/>
      <w:pStyle w:val="DashEqual"/>
      <w:lvlText w:val="="/>
      <w:lvlJc w:val="left"/>
      <w:pPr>
        <w:tabs>
          <w:tab w:val="num" w:pos="567"/>
        </w:tabs>
        <w:ind w:left="567" w:hanging="567"/>
      </w:pPr>
    </w:lvl>
  </w:abstractNum>
  <w:abstractNum w:abstractNumId="74" w15:restartNumberingAfterBreak="0">
    <w:nsid w:val="79904CA0"/>
    <w:multiLevelType w:val="singleLevel"/>
    <w:tmpl w:val="54F47DCE"/>
    <w:name w:val="Bullet (4)"/>
    <w:lvl w:ilvl="0">
      <w:start w:val="1"/>
      <w:numFmt w:val="bullet"/>
      <w:lvlRestart w:val="0"/>
      <w:pStyle w:val="Bullet4"/>
      <w:lvlText w:val=""/>
      <w:lvlJc w:val="left"/>
      <w:pPr>
        <w:tabs>
          <w:tab w:val="num" w:pos="2835"/>
        </w:tabs>
        <w:ind w:left="2835" w:hanging="567"/>
      </w:pPr>
      <w:rPr>
        <w:rFonts w:ascii="Symbol" w:hAnsi="Symbol" w:hint="default"/>
      </w:rPr>
    </w:lvl>
  </w:abstractNum>
  <w:abstractNum w:abstractNumId="75" w15:restartNumberingAfterBreak="0">
    <w:nsid w:val="79FA34D6"/>
    <w:multiLevelType w:val="singleLevel"/>
    <w:tmpl w:val="41326E50"/>
    <w:lvl w:ilvl="0">
      <w:start w:val="1"/>
      <w:numFmt w:val="bullet"/>
      <w:pStyle w:val="Par-bullet"/>
      <w:lvlText w:val=""/>
      <w:lvlJc w:val="left"/>
      <w:pPr>
        <w:tabs>
          <w:tab w:val="num" w:pos="567"/>
        </w:tabs>
        <w:ind w:left="567" w:hanging="567"/>
      </w:pPr>
      <w:rPr>
        <w:rFonts w:ascii="Symbol" w:hAnsi="Symbol" w:hint="default"/>
      </w:rPr>
    </w:lvl>
  </w:abstractNum>
  <w:abstractNum w:abstractNumId="76" w15:restartNumberingAfterBreak="0">
    <w:nsid w:val="7ACF3A8A"/>
    <w:multiLevelType w:val="singleLevel"/>
    <w:tmpl w:val="0E484FE6"/>
    <w:name w:val="Dash Equal 1"/>
    <w:lvl w:ilvl="0">
      <w:start w:val="1"/>
      <w:numFmt w:val="bullet"/>
      <w:lvlRestart w:val="0"/>
      <w:pStyle w:val="DashEqual1"/>
      <w:lvlText w:val="="/>
      <w:lvlJc w:val="left"/>
      <w:pPr>
        <w:tabs>
          <w:tab w:val="num" w:pos="1134"/>
        </w:tabs>
        <w:ind w:left="1134" w:hanging="567"/>
      </w:pPr>
    </w:lvl>
  </w:abstractNum>
  <w:abstractNum w:abstractNumId="77" w15:restartNumberingAfterBreak="0">
    <w:nsid w:val="7B4D14DA"/>
    <w:multiLevelType w:val="hybridMultilevel"/>
    <w:tmpl w:val="21528C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C3370F4"/>
    <w:multiLevelType w:val="hybridMultilevel"/>
    <w:tmpl w:val="28547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15:restartNumberingAfterBreak="0">
    <w:nsid w:val="7CBE4812"/>
    <w:multiLevelType w:val="singleLevel"/>
    <w:tmpl w:val="23C821E4"/>
    <w:name w:val="Considérant"/>
    <w:lvl w:ilvl="0">
      <w:start w:val="1"/>
      <w:numFmt w:val="decimal"/>
      <w:pStyle w:val="Considrant"/>
      <w:lvlText w:val="(%1)"/>
      <w:lvlJc w:val="left"/>
      <w:pPr>
        <w:tabs>
          <w:tab w:val="num" w:pos="709"/>
        </w:tabs>
        <w:ind w:left="709" w:hanging="709"/>
      </w:pPr>
    </w:lvl>
  </w:abstractNum>
  <w:num w:numId="1">
    <w:abstractNumId w:val="67"/>
  </w:num>
  <w:num w:numId="2">
    <w:abstractNumId w:val="9"/>
  </w:num>
  <w:num w:numId="3">
    <w:abstractNumId w:val="70"/>
  </w:num>
  <w:num w:numId="4">
    <w:abstractNumId w:val="59"/>
  </w:num>
  <w:num w:numId="5">
    <w:abstractNumId w:val="13"/>
  </w:num>
  <w:num w:numId="6">
    <w:abstractNumId w:val="73"/>
  </w:num>
  <w:num w:numId="7">
    <w:abstractNumId w:val="76"/>
  </w:num>
  <w:num w:numId="8">
    <w:abstractNumId w:val="55"/>
  </w:num>
  <w:num w:numId="9">
    <w:abstractNumId w:val="71"/>
  </w:num>
  <w:num w:numId="10">
    <w:abstractNumId w:val="64"/>
  </w:num>
  <w:num w:numId="11">
    <w:abstractNumId w:val="47"/>
  </w:num>
  <w:num w:numId="12">
    <w:abstractNumId w:val="21"/>
  </w:num>
  <w:num w:numId="13">
    <w:abstractNumId w:val="17"/>
  </w:num>
  <w:num w:numId="14">
    <w:abstractNumId w:val="66"/>
  </w:num>
  <w:num w:numId="15">
    <w:abstractNumId w:val="74"/>
  </w:num>
  <w:num w:numId="16">
    <w:abstractNumId w:val="8"/>
  </w:num>
  <w:num w:numId="17">
    <w:abstractNumId w:val="28"/>
  </w:num>
  <w:num w:numId="18">
    <w:abstractNumId w:val="16"/>
  </w:num>
  <w:num w:numId="19">
    <w:abstractNumId w:val="29"/>
  </w:num>
  <w:num w:numId="20">
    <w:abstractNumId w:val="56"/>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4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
  </w:num>
  <w:num w:numId="26">
    <w:abstractNumId w:val="2"/>
  </w:num>
  <w:num w:numId="27">
    <w:abstractNumId w:val="1"/>
  </w:num>
  <w:num w:numId="28">
    <w:abstractNumId w:val="0"/>
    <w:lvlOverride w:ilvl="0">
      <w:startOverride w:val="1"/>
    </w:lvlOverride>
  </w:num>
  <w:num w:numId="29">
    <w:abstractNumId w:val="41"/>
    <w:lvlOverride w:ilvl="0">
      <w:startOverride w:val="1"/>
    </w:lvlOverride>
  </w:num>
  <w:num w:numId="30">
    <w:abstractNumId w:val="75"/>
  </w:num>
  <w:num w:numId="31">
    <w:abstractNumId w:val="46"/>
  </w:num>
  <w:num w:numId="32">
    <w:abstractNumId w:val="39"/>
    <w:lvlOverride w:ilvl="0">
      <w:startOverride w:val="1"/>
    </w:lvlOverride>
  </w:num>
  <w:num w:numId="33">
    <w:abstractNumId w:val="68"/>
    <w:lvlOverride w:ilvl="0">
      <w:startOverride w:val="1"/>
    </w:lvlOverride>
  </w:num>
  <w:num w:numId="34">
    <w:abstractNumId w:val="22"/>
  </w:num>
  <w:num w:numId="35">
    <w:abstractNumId w:val="33"/>
    <w:lvlOverride w:ilvl="0">
      <w:startOverride w:val="1"/>
    </w:lvlOverride>
  </w:num>
  <w:num w:numId="36">
    <w:abstractNumId w:val="34"/>
    <w:lvlOverride w:ilvl="0">
      <w:startOverride w:val="1"/>
    </w:lvlOverride>
  </w:num>
  <w:num w:numId="37">
    <w:abstractNumId w:val="40"/>
    <w:lvlOverride w:ilvl="0">
      <w:startOverride w:val="1"/>
    </w:lvlOverride>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1"/>
  </w:num>
  <w:num w:numId="41">
    <w:abstractNumId w:val="63"/>
  </w:num>
  <w:num w:numId="42">
    <w:abstractNumId w:val="62"/>
  </w:num>
  <w:num w:numId="43">
    <w:abstractNumId w:val="69"/>
  </w:num>
  <w:num w:numId="44">
    <w:abstractNumId w:val="27"/>
  </w:num>
  <w:num w:numId="45">
    <w:abstractNumId w:val="51"/>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9"/>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2"/>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2"/>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8"/>
  </w:num>
  <w:num w:numId="52">
    <w:abstractNumId w:val="43"/>
  </w:num>
  <w:num w:numId="53">
    <w:abstractNumId w:val="65"/>
  </w:num>
  <w:num w:numId="54">
    <w:abstractNumId w:val="32"/>
  </w:num>
  <w:num w:numId="55">
    <w:abstractNumId w:val="45"/>
  </w:num>
  <w:num w:numId="56">
    <w:abstractNumId w:val="50"/>
  </w:num>
  <w:num w:numId="57">
    <w:abstractNumId w:val="79"/>
    <w:lvlOverride w:ilvl="0">
      <w:startOverride w:val="1"/>
    </w:lvlOverride>
  </w:num>
  <w:num w:numId="58">
    <w:abstractNumId w:val="54"/>
  </w:num>
  <w:num w:numId="59">
    <w:abstractNumId w:val="48"/>
  </w:num>
  <w:num w:numId="60">
    <w:abstractNumId w:val="11"/>
  </w:num>
  <w:num w:numId="61">
    <w:abstractNumId w:val="24"/>
  </w:num>
  <w:num w:numId="62">
    <w:abstractNumId w:val="78"/>
  </w:num>
  <w:num w:numId="63">
    <w:abstractNumId w:val="14"/>
  </w:num>
  <w:num w:numId="64">
    <w:abstractNumId w:val="26"/>
  </w:num>
  <w:num w:numId="65">
    <w:abstractNumId w:val="36"/>
  </w:num>
  <w:num w:numId="66">
    <w:abstractNumId w:val="42"/>
  </w:num>
  <w:num w:numId="67">
    <w:abstractNumId w:val="53"/>
  </w:num>
  <w:num w:numId="68">
    <w:abstractNumId w:val="60"/>
  </w:num>
  <w:num w:numId="69">
    <w:abstractNumId w:val="6"/>
  </w:num>
  <w:num w:numId="70">
    <w:abstractNumId w:val="20"/>
  </w:num>
  <w:num w:numId="71">
    <w:abstractNumId w:val="37"/>
  </w:num>
  <w:num w:numId="72">
    <w:abstractNumId w:val="10"/>
  </w:num>
  <w:num w:numId="73">
    <w:abstractNumId w:val="57"/>
  </w:num>
  <w:num w:numId="74">
    <w:abstractNumId w:val="38"/>
  </w:num>
  <w:num w:numId="75">
    <w:abstractNumId w:val="77"/>
  </w:num>
  <w:num w:numId="76">
    <w:abstractNumId w:val="12"/>
  </w:num>
  <w:num w:numId="77">
    <w:abstractNumId w:val="30"/>
  </w:num>
  <w:num w:numId="78">
    <w:abstractNumId w:val="25"/>
  </w:num>
  <w:num w:numId="79">
    <w:abstractNumId w:val="35"/>
  </w:num>
  <w:num w:numId="80">
    <w:abstractNumId w:val="18"/>
  </w:num>
  <w:num w:numId="81">
    <w:abstractNumId w:val="15"/>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hideGrammatical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571"/>
    <w:rsid w:val="0000023E"/>
    <w:rsid w:val="00000B7C"/>
    <w:rsid w:val="000012E7"/>
    <w:rsid w:val="00001432"/>
    <w:rsid w:val="0000192F"/>
    <w:rsid w:val="00001A38"/>
    <w:rsid w:val="000025CB"/>
    <w:rsid w:val="00002E80"/>
    <w:rsid w:val="00004649"/>
    <w:rsid w:val="00004E3A"/>
    <w:rsid w:val="00005C41"/>
    <w:rsid w:val="000069B4"/>
    <w:rsid w:val="00007BA5"/>
    <w:rsid w:val="00010E32"/>
    <w:rsid w:val="000116E8"/>
    <w:rsid w:val="000120CC"/>
    <w:rsid w:val="00012216"/>
    <w:rsid w:val="00012453"/>
    <w:rsid w:val="000132A1"/>
    <w:rsid w:val="0001361B"/>
    <w:rsid w:val="00015949"/>
    <w:rsid w:val="00017111"/>
    <w:rsid w:val="00017F0A"/>
    <w:rsid w:val="000206FF"/>
    <w:rsid w:val="00021F75"/>
    <w:rsid w:val="00025529"/>
    <w:rsid w:val="00025689"/>
    <w:rsid w:val="00027125"/>
    <w:rsid w:val="00030CC3"/>
    <w:rsid w:val="00031434"/>
    <w:rsid w:val="00031B6C"/>
    <w:rsid w:val="00032D53"/>
    <w:rsid w:val="00035719"/>
    <w:rsid w:val="0003605C"/>
    <w:rsid w:val="0003653A"/>
    <w:rsid w:val="00037328"/>
    <w:rsid w:val="00037A34"/>
    <w:rsid w:val="00037F74"/>
    <w:rsid w:val="00040837"/>
    <w:rsid w:val="000412A9"/>
    <w:rsid w:val="00042817"/>
    <w:rsid w:val="000428A2"/>
    <w:rsid w:val="0004297B"/>
    <w:rsid w:val="0004446C"/>
    <w:rsid w:val="00044707"/>
    <w:rsid w:val="00044DED"/>
    <w:rsid w:val="000511E6"/>
    <w:rsid w:val="000519A0"/>
    <w:rsid w:val="00051F33"/>
    <w:rsid w:val="000534C8"/>
    <w:rsid w:val="00053954"/>
    <w:rsid w:val="00053CB4"/>
    <w:rsid w:val="00054765"/>
    <w:rsid w:val="00056B38"/>
    <w:rsid w:val="000601B7"/>
    <w:rsid w:val="00060699"/>
    <w:rsid w:val="00060F63"/>
    <w:rsid w:val="00062E34"/>
    <w:rsid w:val="0006314A"/>
    <w:rsid w:val="00063531"/>
    <w:rsid w:val="00064078"/>
    <w:rsid w:val="00064127"/>
    <w:rsid w:val="00064449"/>
    <w:rsid w:val="00064654"/>
    <w:rsid w:val="00064E62"/>
    <w:rsid w:val="000657C5"/>
    <w:rsid w:val="000662EE"/>
    <w:rsid w:val="00071DF5"/>
    <w:rsid w:val="000727EB"/>
    <w:rsid w:val="0007406B"/>
    <w:rsid w:val="000753E7"/>
    <w:rsid w:val="0007669A"/>
    <w:rsid w:val="00076758"/>
    <w:rsid w:val="00077831"/>
    <w:rsid w:val="0008054B"/>
    <w:rsid w:val="00081139"/>
    <w:rsid w:val="00081A4A"/>
    <w:rsid w:val="00083BDA"/>
    <w:rsid w:val="0008436A"/>
    <w:rsid w:val="00084700"/>
    <w:rsid w:val="00084751"/>
    <w:rsid w:val="00084CCC"/>
    <w:rsid w:val="00084FAE"/>
    <w:rsid w:val="000850BF"/>
    <w:rsid w:val="000856EC"/>
    <w:rsid w:val="000861B6"/>
    <w:rsid w:val="000900EE"/>
    <w:rsid w:val="00090709"/>
    <w:rsid w:val="00091F89"/>
    <w:rsid w:val="0009202D"/>
    <w:rsid w:val="0009236A"/>
    <w:rsid w:val="00092C4D"/>
    <w:rsid w:val="000930BE"/>
    <w:rsid w:val="000941DC"/>
    <w:rsid w:val="000945E0"/>
    <w:rsid w:val="00094885"/>
    <w:rsid w:val="0009505F"/>
    <w:rsid w:val="000956CC"/>
    <w:rsid w:val="00097826"/>
    <w:rsid w:val="000A0A4A"/>
    <w:rsid w:val="000A0E4A"/>
    <w:rsid w:val="000A12CC"/>
    <w:rsid w:val="000A18AE"/>
    <w:rsid w:val="000A20A4"/>
    <w:rsid w:val="000A2306"/>
    <w:rsid w:val="000A2947"/>
    <w:rsid w:val="000A2C9D"/>
    <w:rsid w:val="000A2E06"/>
    <w:rsid w:val="000A3252"/>
    <w:rsid w:val="000A35DD"/>
    <w:rsid w:val="000A3DB6"/>
    <w:rsid w:val="000A3F47"/>
    <w:rsid w:val="000A4697"/>
    <w:rsid w:val="000A5CE8"/>
    <w:rsid w:val="000A60A2"/>
    <w:rsid w:val="000A6485"/>
    <w:rsid w:val="000A7F3F"/>
    <w:rsid w:val="000B01C3"/>
    <w:rsid w:val="000B0355"/>
    <w:rsid w:val="000B0DC9"/>
    <w:rsid w:val="000B2787"/>
    <w:rsid w:val="000B2846"/>
    <w:rsid w:val="000B2A6E"/>
    <w:rsid w:val="000B2E2E"/>
    <w:rsid w:val="000B31ED"/>
    <w:rsid w:val="000B3FFC"/>
    <w:rsid w:val="000B5105"/>
    <w:rsid w:val="000B5D20"/>
    <w:rsid w:val="000C0251"/>
    <w:rsid w:val="000C0353"/>
    <w:rsid w:val="000C07FB"/>
    <w:rsid w:val="000C0909"/>
    <w:rsid w:val="000C1A80"/>
    <w:rsid w:val="000C1CD4"/>
    <w:rsid w:val="000C1F6C"/>
    <w:rsid w:val="000C29D6"/>
    <w:rsid w:val="000C2D9A"/>
    <w:rsid w:val="000C37AE"/>
    <w:rsid w:val="000C633A"/>
    <w:rsid w:val="000C6F0A"/>
    <w:rsid w:val="000C7383"/>
    <w:rsid w:val="000D01D4"/>
    <w:rsid w:val="000D0747"/>
    <w:rsid w:val="000D0EF2"/>
    <w:rsid w:val="000D1031"/>
    <w:rsid w:val="000D1287"/>
    <w:rsid w:val="000D1836"/>
    <w:rsid w:val="000D2328"/>
    <w:rsid w:val="000D2C36"/>
    <w:rsid w:val="000D4559"/>
    <w:rsid w:val="000D66C9"/>
    <w:rsid w:val="000D7CEA"/>
    <w:rsid w:val="000E013F"/>
    <w:rsid w:val="000E0FB3"/>
    <w:rsid w:val="000E1A6B"/>
    <w:rsid w:val="000E258C"/>
    <w:rsid w:val="000E264D"/>
    <w:rsid w:val="000E2E93"/>
    <w:rsid w:val="000E4B9C"/>
    <w:rsid w:val="000E6257"/>
    <w:rsid w:val="000E646F"/>
    <w:rsid w:val="000E7F42"/>
    <w:rsid w:val="000E7FC7"/>
    <w:rsid w:val="000F026F"/>
    <w:rsid w:val="000F17BB"/>
    <w:rsid w:val="000F18B1"/>
    <w:rsid w:val="000F30CD"/>
    <w:rsid w:val="000F3398"/>
    <w:rsid w:val="000F4932"/>
    <w:rsid w:val="000F4D1F"/>
    <w:rsid w:val="000F5B66"/>
    <w:rsid w:val="000F69B4"/>
    <w:rsid w:val="000F7B62"/>
    <w:rsid w:val="000F7E0E"/>
    <w:rsid w:val="00100360"/>
    <w:rsid w:val="001006EA"/>
    <w:rsid w:val="001013DD"/>
    <w:rsid w:val="00101E4C"/>
    <w:rsid w:val="00101F8B"/>
    <w:rsid w:val="00101F9A"/>
    <w:rsid w:val="001027EC"/>
    <w:rsid w:val="00102D15"/>
    <w:rsid w:val="00104671"/>
    <w:rsid w:val="001053D6"/>
    <w:rsid w:val="00106240"/>
    <w:rsid w:val="001070F2"/>
    <w:rsid w:val="00107681"/>
    <w:rsid w:val="00111BA7"/>
    <w:rsid w:val="00112300"/>
    <w:rsid w:val="00112E1B"/>
    <w:rsid w:val="0011357D"/>
    <w:rsid w:val="00113976"/>
    <w:rsid w:val="00114318"/>
    <w:rsid w:val="00115276"/>
    <w:rsid w:val="00117068"/>
    <w:rsid w:val="00117E06"/>
    <w:rsid w:val="00120798"/>
    <w:rsid w:val="00120C0A"/>
    <w:rsid w:val="00120EB3"/>
    <w:rsid w:val="00121203"/>
    <w:rsid w:val="00121657"/>
    <w:rsid w:val="00121DA5"/>
    <w:rsid w:val="00121E64"/>
    <w:rsid w:val="00122746"/>
    <w:rsid w:val="001228FB"/>
    <w:rsid w:val="0012395F"/>
    <w:rsid w:val="00123C68"/>
    <w:rsid w:val="00123ED4"/>
    <w:rsid w:val="0012429A"/>
    <w:rsid w:val="001258C2"/>
    <w:rsid w:val="00125CB3"/>
    <w:rsid w:val="00125EF3"/>
    <w:rsid w:val="00125F50"/>
    <w:rsid w:val="00126077"/>
    <w:rsid w:val="00126987"/>
    <w:rsid w:val="00127666"/>
    <w:rsid w:val="0013053B"/>
    <w:rsid w:val="00130D93"/>
    <w:rsid w:val="00131ADE"/>
    <w:rsid w:val="00132E61"/>
    <w:rsid w:val="001344D4"/>
    <w:rsid w:val="001347FA"/>
    <w:rsid w:val="00134FD4"/>
    <w:rsid w:val="00135324"/>
    <w:rsid w:val="00135791"/>
    <w:rsid w:val="00135CCA"/>
    <w:rsid w:val="00136F50"/>
    <w:rsid w:val="00137BB8"/>
    <w:rsid w:val="00137E8F"/>
    <w:rsid w:val="0014174D"/>
    <w:rsid w:val="00142261"/>
    <w:rsid w:val="001422AF"/>
    <w:rsid w:val="00142A47"/>
    <w:rsid w:val="0014384E"/>
    <w:rsid w:val="00143EA8"/>
    <w:rsid w:val="00145B77"/>
    <w:rsid w:val="0014690B"/>
    <w:rsid w:val="00147166"/>
    <w:rsid w:val="00147331"/>
    <w:rsid w:val="001475EE"/>
    <w:rsid w:val="001513DC"/>
    <w:rsid w:val="001518BB"/>
    <w:rsid w:val="00151BC1"/>
    <w:rsid w:val="00151FEC"/>
    <w:rsid w:val="00152AEA"/>
    <w:rsid w:val="00152B38"/>
    <w:rsid w:val="00153015"/>
    <w:rsid w:val="00154767"/>
    <w:rsid w:val="0015633F"/>
    <w:rsid w:val="00156B87"/>
    <w:rsid w:val="00160271"/>
    <w:rsid w:val="001607C4"/>
    <w:rsid w:val="00160974"/>
    <w:rsid w:val="001614CB"/>
    <w:rsid w:val="00161AD7"/>
    <w:rsid w:val="001622A5"/>
    <w:rsid w:val="001626CB"/>
    <w:rsid w:val="00162804"/>
    <w:rsid w:val="00162E54"/>
    <w:rsid w:val="0016309B"/>
    <w:rsid w:val="0016370F"/>
    <w:rsid w:val="001640BA"/>
    <w:rsid w:val="0016447E"/>
    <w:rsid w:val="001649A1"/>
    <w:rsid w:val="00164DE7"/>
    <w:rsid w:val="001653CD"/>
    <w:rsid w:val="00165564"/>
    <w:rsid w:val="00165B8F"/>
    <w:rsid w:val="00166138"/>
    <w:rsid w:val="00166987"/>
    <w:rsid w:val="001677C2"/>
    <w:rsid w:val="00171C6F"/>
    <w:rsid w:val="001733D5"/>
    <w:rsid w:val="0017459D"/>
    <w:rsid w:val="001747D1"/>
    <w:rsid w:val="00175730"/>
    <w:rsid w:val="00175A1A"/>
    <w:rsid w:val="00175AFB"/>
    <w:rsid w:val="00176E64"/>
    <w:rsid w:val="00177668"/>
    <w:rsid w:val="001801DB"/>
    <w:rsid w:val="001808EC"/>
    <w:rsid w:val="00183122"/>
    <w:rsid w:val="0018436D"/>
    <w:rsid w:val="00184A59"/>
    <w:rsid w:val="0018503C"/>
    <w:rsid w:val="001866F5"/>
    <w:rsid w:val="00186E38"/>
    <w:rsid w:val="001879DD"/>
    <w:rsid w:val="00187E22"/>
    <w:rsid w:val="00191631"/>
    <w:rsid w:val="00191797"/>
    <w:rsid w:val="00191CDB"/>
    <w:rsid w:val="00193240"/>
    <w:rsid w:val="001958B7"/>
    <w:rsid w:val="00195C8A"/>
    <w:rsid w:val="001968AC"/>
    <w:rsid w:val="00197478"/>
    <w:rsid w:val="00197781"/>
    <w:rsid w:val="001A09C2"/>
    <w:rsid w:val="001A0FE2"/>
    <w:rsid w:val="001A15F5"/>
    <w:rsid w:val="001A1A81"/>
    <w:rsid w:val="001A2078"/>
    <w:rsid w:val="001A382A"/>
    <w:rsid w:val="001A3B6F"/>
    <w:rsid w:val="001A4D3E"/>
    <w:rsid w:val="001A55D2"/>
    <w:rsid w:val="001A6071"/>
    <w:rsid w:val="001A617C"/>
    <w:rsid w:val="001A64EA"/>
    <w:rsid w:val="001A6774"/>
    <w:rsid w:val="001A6D34"/>
    <w:rsid w:val="001A7451"/>
    <w:rsid w:val="001A7D7F"/>
    <w:rsid w:val="001B0E8D"/>
    <w:rsid w:val="001B109E"/>
    <w:rsid w:val="001B263E"/>
    <w:rsid w:val="001B2B07"/>
    <w:rsid w:val="001B2F10"/>
    <w:rsid w:val="001B31C0"/>
    <w:rsid w:val="001B379F"/>
    <w:rsid w:val="001B47ED"/>
    <w:rsid w:val="001B5A10"/>
    <w:rsid w:val="001B6950"/>
    <w:rsid w:val="001B6BCF"/>
    <w:rsid w:val="001B78D5"/>
    <w:rsid w:val="001C071E"/>
    <w:rsid w:val="001C0D82"/>
    <w:rsid w:val="001C2176"/>
    <w:rsid w:val="001C270D"/>
    <w:rsid w:val="001C3913"/>
    <w:rsid w:val="001C4251"/>
    <w:rsid w:val="001C4F60"/>
    <w:rsid w:val="001C5635"/>
    <w:rsid w:val="001C59AD"/>
    <w:rsid w:val="001C6B46"/>
    <w:rsid w:val="001C74E4"/>
    <w:rsid w:val="001C7776"/>
    <w:rsid w:val="001C7C37"/>
    <w:rsid w:val="001D063F"/>
    <w:rsid w:val="001D0965"/>
    <w:rsid w:val="001D1097"/>
    <w:rsid w:val="001D1C66"/>
    <w:rsid w:val="001D2E1A"/>
    <w:rsid w:val="001D41CE"/>
    <w:rsid w:val="001D5639"/>
    <w:rsid w:val="001D5650"/>
    <w:rsid w:val="001D7114"/>
    <w:rsid w:val="001D72C4"/>
    <w:rsid w:val="001D742E"/>
    <w:rsid w:val="001D7B08"/>
    <w:rsid w:val="001D7DFC"/>
    <w:rsid w:val="001E078A"/>
    <w:rsid w:val="001E0AC9"/>
    <w:rsid w:val="001E1937"/>
    <w:rsid w:val="001E1DD3"/>
    <w:rsid w:val="001E2025"/>
    <w:rsid w:val="001E23EA"/>
    <w:rsid w:val="001E24C8"/>
    <w:rsid w:val="001E30BC"/>
    <w:rsid w:val="001E3E11"/>
    <w:rsid w:val="001E3FB0"/>
    <w:rsid w:val="001E4ADF"/>
    <w:rsid w:val="001E5AF8"/>
    <w:rsid w:val="001E5FD5"/>
    <w:rsid w:val="001E68EF"/>
    <w:rsid w:val="001F04CB"/>
    <w:rsid w:val="001F04FA"/>
    <w:rsid w:val="001F0714"/>
    <w:rsid w:val="001F08AE"/>
    <w:rsid w:val="001F2CEE"/>
    <w:rsid w:val="001F34C0"/>
    <w:rsid w:val="001F38DA"/>
    <w:rsid w:val="001F3AC2"/>
    <w:rsid w:val="001F4664"/>
    <w:rsid w:val="001F4969"/>
    <w:rsid w:val="001F4B9F"/>
    <w:rsid w:val="001F51F6"/>
    <w:rsid w:val="001F5D46"/>
    <w:rsid w:val="001F612B"/>
    <w:rsid w:val="001F689E"/>
    <w:rsid w:val="001F7788"/>
    <w:rsid w:val="002009F4"/>
    <w:rsid w:val="00200DAA"/>
    <w:rsid w:val="00202B62"/>
    <w:rsid w:val="00202E42"/>
    <w:rsid w:val="00203300"/>
    <w:rsid w:val="0020438C"/>
    <w:rsid w:val="00204F1E"/>
    <w:rsid w:val="00205B19"/>
    <w:rsid w:val="002063EC"/>
    <w:rsid w:val="0020641A"/>
    <w:rsid w:val="00207181"/>
    <w:rsid w:val="00207790"/>
    <w:rsid w:val="00207B91"/>
    <w:rsid w:val="0021124B"/>
    <w:rsid w:val="00211419"/>
    <w:rsid w:val="00213435"/>
    <w:rsid w:val="00214779"/>
    <w:rsid w:val="00215145"/>
    <w:rsid w:val="002153E5"/>
    <w:rsid w:val="0021545E"/>
    <w:rsid w:val="00215DAA"/>
    <w:rsid w:val="0021692E"/>
    <w:rsid w:val="00220438"/>
    <w:rsid w:val="00220DDD"/>
    <w:rsid w:val="0022103B"/>
    <w:rsid w:val="00221F37"/>
    <w:rsid w:val="002227F8"/>
    <w:rsid w:val="00223106"/>
    <w:rsid w:val="00223278"/>
    <w:rsid w:val="002244A5"/>
    <w:rsid w:val="00226463"/>
    <w:rsid w:val="00226D19"/>
    <w:rsid w:val="00227393"/>
    <w:rsid w:val="0023007A"/>
    <w:rsid w:val="00230368"/>
    <w:rsid w:val="002306D5"/>
    <w:rsid w:val="00231694"/>
    <w:rsid w:val="00232079"/>
    <w:rsid w:val="002328B4"/>
    <w:rsid w:val="00232B50"/>
    <w:rsid w:val="00232F65"/>
    <w:rsid w:val="00233849"/>
    <w:rsid w:val="002347F8"/>
    <w:rsid w:val="00235526"/>
    <w:rsid w:val="0024209C"/>
    <w:rsid w:val="0024255B"/>
    <w:rsid w:val="00244895"/>
    <w:rsid w:val="002463EC"/>
    <w:rsid w:val="002509D7"/>
    <w:rsid w:val="00252CA1"/>
    <w:rsid w:val="0025429C"/>
    <w:rsid w:val="00256F5E"/>
    <w:rsid w:val="0025787C"/>
    <w:rsid w:val="00257AFE"/>
    <w:rsid w:val="002600CE"/>
    <w:rsid w:val="00261EB7"/>
    <w:rsid w:val="00262209"/>
    <w:rsid w:val="0026290B"/>
    <w:rsid w:val="0026404F"/>
    <w:rsid w:val="00264524"/>
    <w:rsid w:val="00265990"/>
    <w:rsid w:val="002662A4"/>
    <w:rsid w:val="002664BA"/>
    <w:rsid w:val="00266C35"/>
    <w:rsid w:val="002704A1"/>
    <w:rsid w:val="0027052D"/>
    <w:rsid w:val="00271C48"/>
    <w:rsid w:val="00271D38"/>
    <w:rsid w:val="002748BD"/>
    <w:rsid w:val="0027491B"/>
    <w:rsid w:val="00274AA6"/>
    <w:rsid w:val="00274D84"/>
    <w:rsid w:val="00276FA6"/>
    <w:rsid w:val="002805E2"/>
    <w:rsid w:val="00280AC4"/>
    <w:rsid w:val="00280C65"/>
    <w:rsid w:val="00280F5D"/>
    <w:rsid w:val="002811A7"/>
    <w:rsid w:val="002816E8"/>
    <w:rsid w:val="0028220C"/>
    <w:rsid w:val="00282FA8"/>
    <w:rsid w:val="00283454"/>
    <w:rsid w:val="00283BB8"/>
    <w:rsid w:val="002842AE"/>
    <w:rsid w:val="0028485D"/>
    <w:rsid w:val="0028489E"/>
    <w:rsid w:val="002866B0"/>
    <w:rsid w:val="002867B7"/>
    <w:rsid w:val="0029021B"/>
    <w:rsid w:val="00290B4A"/>
    <w:rsid w:val="002915C1"/>
    <w:rsid w:val="002923E6"/>
    <w:rsid w:val="002948A7"/>
    <w:rsid w:val="00294E25"/>
    <w:rsid w:val="00295E7B"/>
    <w:rsid w:val="00296209"/>
    <w:rsid w:val="00297564"/>
    <w:rsid w:val="00297E4A"/>
    <w:rsid w:val="002A0777"/>
    <w:rsid w:val="002A1C1F"/>
    <w:rsid w:val="002A22D9"/>
    <w:rsid w:val="002A2E69"/>
    <w:rsid w:val="002A3377"/>
    <w:rsid w:val="002A38D2"/>
    <w:rsid w:val="002A439F"/>
    <w:rsid w:val="002A5071"/>
    <w:rsid w:val="002A59CD"/>
    <w:rsid w:val="002A5A24"/>
    <w:rsid w:val="002A5FA8"/>
    <w:rsid w:val="002A6048"/>
    <w:rsid w:val="002A6326"/>
    <w:rsid w:val="002A6989"/>
    <w:rsid w:val="002A6DCD"/>
    <w:rsid w:val="002A78D0"/>
    <w:rsid w:val="002A7D23"/>
    <w:rsid w:val="002B109D"/>
    <w:rsid w:val="002B13AB"/>
    <w:rsid w:val="002B2164"/>
    <w:rsid w:val="002B2316"/>
    <w:rsid w:val="002B24BE"/>
    <w:rsid w:val="002B2883"/>
    <w:rsid w:val="002B4900"/>
    <w:rsid w:val="002B5E0E"/>
    <w:rsid w:val="002B6CD3"/>
    <w:rsid w:val="002B7040"/>
    <w:rsid w:val="002B76AD"/>
    <w:rsid w:val="002B78AB"/>
    <w:rsid w:val="002C1A46"/>
    <w:rsid w:val="002C2445"/>
    <w:rsid w:val="002C3A69"/>
    <w:rsid w:val="002C3E56"/>
    <w:rsid w:val="002C4B61"/>
    <w:rsid w:val="002C5848"/>
    <w:rsid w:val="002C5A7C"/>
    <w:rsid w:val="002D1623"/>
    <w:rsid w:val="002D1C39"/>
    <w:rsid w:val="002D31E8"/>
    <w:rsid w:val="002D3FB4"/>
    <w:rsid w:val="002D444C"/>
    <w:rsid w:val="002D4B2A"/>
    <w:rsid w:val="002D4E23"/>
    <w:rsid w:val="002D60B1"/>
    <w:rsid w:val="002D65C5"/>
    <w:rsid w:val="002D698D"/>
    <w:rsid w:val="002D7163"/>
    <w:rsid w:val="002D7C97"/>
    <w:rsid w:val="002D7EEA"/>
    <w:rsid w:val="002D7FE4"/>
    <w:rsid w:val="002E1418"/>
    <w:rsid w:val="002E1C47"/>
    <w:rsid w:val="002E3055"/>
    <w:rsid w:val="002E33F2"/>
    <w:rsid w:val="002E3A6D"/>
    <w:rsid w:val="002E4B0D"/>
    <w:rsid w:val="002E5CAA"/>
    <w:rsid w:val="002E76BE"/>
    <w:rsid w:val="002E7C2C"/>
    <w:rsid w:val="002F057B"/>
    <w:rsid w:val="002F0601"/>
    <w:rsid w:val="002F08D0"/>
    <w:rsid w:val="002F11DC"/>
    <w:rsid w:val="002F261C"/>
    <w:rsid w:val="002F2A4D"/>
    <w:rsid w:val="002F2C80"/>
    <w:rsid w:val="002F362E"/>
    <w:rsid w:val="002F43F8"/>
    <w:rsid w:val="002F49DD"/>
    <w:rsid w:val="002F56EA"/>
    <w:rsid w:val="002F5BB7"/>
    <w:rsid w:val="002F5CA3"/>
    <w:rsid w:val="002F6271"/>
    <w:rsid w:val="002F6689"/>
    <w:rsid w:val="002F6B60"/>
    <w:rsid w:val="002F766D"/>
    <w:rsid w:val="0030017B"/>
    <w:rsid w:val="00301A38"/>
    <w:rsid w:val="00301A61"/>
    <w:rsid w:val="00302A7D"/>
    <w:rsid w:val="0030344B"/>
    <w:rsid w:val="00303523"/>
    <w:rsid w:val="00304050"/>
    <w:rsid w:val="0030536F"/>
    <w:rsid w:val="003055E9"/>
    <w:rsid w:val="00305731"/>
    <w:rsid w:val="003061C3"/>
    <w:rsid w:val="0030713B"/>
    <w:rsid w:val="00307728"/>
    <w:rsid w:val="0031033B"/>
    <w:rsid w:val="00310446"/>
    <w:rsid w:val="00311129"/>
    <w:rsid w:val="003128BC"/>
    <w:rsid w:val="003135B9"/>
    <w:rsid w:val="00313EC5"/>
    <w:rsid w:val="0031512F"/>
    <w:rsid w:val="003155E4"/>
    <w:rsid w:val="003157D1"/>
    <w:rsid w:val="0031585D"/>
    <w:rsid w:val="003171CA"/>
    <w:rsid w:val="00320E0B"/>
    <w:rsid w:val="00321B63"/>
    <w:rsid w:val="003220FF"/>
    <w:rsid w:val="00322633"/>
    <w:rsid w:val="003236FD"/>
    <w:rsid w:val="00323AA9"/>
    <w:rsid w:val="00325677"/>
    <w:rsid w:val="00325990"/>
    <w:rsid w:val="00325FD0"/>
    <w:rsid w:val="00327A25"/>
    <w:rsid w:val="00327E27"/>
    <w:rsid w:val="00330267"/>
    <w:rsid w:val="0033157C"/>
    <w:rsid w:val="00332627"/>
    <w:rsid w:val="00333C71"/>
    <w:rsid w:val="00333DD4"/>
    <w:rsid w:val="003345E2"/>
    <w:rsid w:val="00335507"/>
    <w:rsid w:val="00335FA2"/>
    <w:rsid w:val="00336052"/>
    <w:rsid w:val="00336446"/>
    <w:rsid w:val="003375CA"/>
    <w:rsid w:val="00337A37"/>
    <w:rsid w:val="00340DB4"/>
    <w:rsid w:val="00340DD5"/>
    <w:rsid w:val="00341481"/>
    <w:rsid w:val="00341932"/>
    <w:rsid w:val="0034216D"/>
    <w:rsid w:val="0034260F"/>
    <w:rsid w:val="00342672"/>
    <w:rsid w:val="00343FCE"/>
    <w:rsid w:val="00344735"/>
    <w:rsid w:val="003454B9"/>
    <w:rsid w:val="00345DE5"/>
    <w:rsid w:val="00346F3E"/>
    <w:rsid w:val="00346FBE"/>
    <w:rsid w:val="00346FDF"/>
    <w:rsid w:val="0034713B"/>
    <w:rsid w:val="0035072C"/>
    <w:rsid w:val="0035171E"/>
    <w:rsid w:val="0035289E"/>
    <w:rsid w:val="003529BA"/>
    <w:rsid w:val="00352C8E"/>
    <w:rsid w:val="00352E9C"/>
    <w:rsid w:val="00354534"/>
    <w:rsid w:val="00355F77"/>
    <w:rsid w:val="00356C78"/>
    <w:rsid w:val="00357AF6"/>
    <w:rsid w:val="003607C8"/>
    <w:rsid w:val="00360B5B"/>
    <w:rsid w:val="00362926"/>
    <w:rsid w:val="00362B1B"/>
    <w:rsid w:val="00362BA7"/>
    <w:rsid w:val="00362FBB"/>
    <w:rsid w:val="0036345C"/>
    <w:rsid w:val="00363A12"/>
    <w:rsid w:val="00364995"/>
    <w:rsid w:val="00366368"/>
    <w:rsid w:val="003669F0"/>
    <w:rsid w:val="003676D0"/>
    <w:rsid w:val="0036778A"/>
    <w:rsid w:val="00367AC5"/>
    <w:rsid w:val="00367B43"/>
    <w:rsid w:val="00370CF7"/>
    <w:rsid w:val="00370E28"/>
    <w:rsid w:val="00371301"/>
    <w:rsid w:val="00371BEB"/>
    <w:rsid w:val="00372AB5"/>
    <w:rsid w:val="00372FD8"/>
    <w:rsid w:val="00373924"/>
    <w:rsid w:val="003746B5"/>
    <w:rsid w:val="00375362"/>
    <w:rsid w:val="00375376"/>
    <w:rsid w:val="003757D1"/>
    <w:rsid w:val="0037613B"/>
    <w:rsid w:val="00376AC3"/>
    <w:rsid w:val="0038021E"/>
    <w:rsid w:val="00380556"/>
    <w:rsid w:val="00380A54"/>
    <w:rsid w:val="00380B36"/>
    <w:rsid w:val="003813A2"/>
    <w:rsid w:val="00381E8E"/>
    <w:rsid w:val="00382100"/>
    <w:rsid w:val="00383697"/>
    <w:rsid w:val="00383748"/>
    <w:rsid w:val="003845E6"/>
    <w:rsid w:val="00384AB0"/>
    <w:rsid w:val="00386308"/>
    <w:rsid w:val="00386E9D"/>
    <w:rsid w:val="003876EC"/>
    <w:rsid w:val="003909EE"/>
    <w:rsid w:val="0039175A"/>
    <w:rsid w:val="00393E03"/>
    <w:rsid w:val="00395330"/>
    <w:rsid w:val="0039619F"/>
    <w:rsid w:val="00396475"/>
    <w:rsid w:val="003965E6"/>
    <w:rsid w:val="0039758D"/>
    <w:rsid w:val="00397A98"/>
    <w:rsid w:val="003A0225"/>
    <w:rsid w:val="003A1BAD"/>
    <w:rsid w:val="003A1CD0"/>
    <w:rsid w:val="003A203B"/>
    <w:rsid w:val="003A22FC"/>
    <w:rsid w:val="003A300C"/>
    <w:rsid w:val="003A3C4E"/>
    <w:rsid w:val="003A5231"/>
    <w:rsid w:val="003A6E58"/>
    <w:rsid w:val="003A7516"/>
    <w:rsid w:val="003B06C3"/>
    <w:rsid w:val="003B0873"/>
    <w:rsid w:val="003B161A"/>
    <w:rsid w:val="003B2701"/>
    <w:rsid w:val="003B29CE"/>
    <w:rsid w:val="003B3137"/>
    <w:rsid w:val="003B4768"/>
    <w:rsid w:val="003B6DD5"/>
    <w:rsid w:val="003B70AC"/>
    <w:rsid w:val="003B7B37"/>
    <w:rsid w:val="003C0338"/>
    <w:rsid w:val="003C41DF"/>
    <w:rsid w:val="003C49BA"/>
    <w:rsid w:val="003C49BE"/>
    <w:rsid w:val="003C5FF8"/>
    <w:rsid w:val="003C62E9"/>
    <w:rsid w:val="003C6F83"/>
    <w:rsid w:val="003D1220"/>
    <w:rsid w:val="003D1C56"/>
    <w:rsid w:val="003D213B"/>
    <w:rsid w:val="003D359F"/>
    <w:rsid w:val="003D39CF"/>
    <w:rsid w:val="003D4114"/>
    <w:rsid w:val="003D4173"/>
    <w:rsid w:val="003D4745"/>
    <w:rsid w:val="003D4C82"/>
    <w:rsid w:val="003D5258"/>
    <w:rsid w:val="003D5EE9"/>
    <w:rsid w:val="003D64F1"/>
    <w:rsid w:val="003D709E"/>
    <w:rsid w:val="003D7478"/>
    <w:rsid w:val="003D7FD0"/>
    <w:rsid w:val="003E1EE4"/>
    <w:rsid w:val="003E235D"/>
    <w:rsid w:val="003E3016"/>
    <w:rsid w:val="003E43C3"/>
    <w:rsid w:val="003E7AA2"/>
    <w:rsid w:val="003F0A1B"/>
    <w:rsid w:val="003F0A40"/>
    <w:rsid w:val="003F0B89"/>
    <w:rsid w:val="003F10DD"/>
    <w:rsid w:val="003F1105"/>
    <w:rsid w:val="003F1772"/>
    <w:rsid w:val="003F1EB2"/>
    <w:rsid w:val="003F260C"/>
    <w:rsid w:val="003F3251"/>
    <w:rsid w:val="003F3605"/>
    <w:rsid w:val="003F3EDF"/>
    <w:rsid w:val="003F3FAC"/>
    <w:rsid w:val="003F40AC"/>
    <w:rsid w:val="003F4914"/>
    <w:rsid w:val="003F63B4"/>
    <w:rsid w:val="003F6582"/>
    <w:rsid w:val="003F710E"/>
    <w:rsid w:val="003F73E4"/>
    <w:rsid w:val="004005D1"/>
    <w:rsid w:val="004011D8"/>
    <w:rsid w:val="00401B4E"/>
    <w:rsid w:val="00402326"/>
    <w:rsid w:val="0040273A"/>
    <w:rsid w:val="0040333B"/>
    <w:rsid w:val="00403413"/>
    <w:rsid w:val="0040343B"/>
    <w:rsid w:val="004034BE"/>
    <w:rsid w:val="00403C1D"/>
    <w:rsid w:val="00406919"/>
    <w:rsid w:val="00411878"/>
    <w:rsid w:val="00412285"/>
    <w:rsid w:val="00412DB3"/>
    <w:rsid w:val="004173B8"/>
    <w:rsid w:val="00417511"/>
    <w:rsid w:val="00417AF9"/>
    <w:rsid w:val="00417E74"/>
    <w:rsid w:val="00417EA3"/>
    <w:rsid w:val="004200AC"/>
    <w:rsid w:val="0042095E"/>
    <w:rsid w:val="00420C73"/>
    <w:rsid w:val="004211BE"/>
    <w:rsid w:val="00421894"/>
    <w:rsid w:val="004224D0"/>
    <w:rsid w:val="004224EE"/>
    <w:rsid w:val="00422F2B"/>
    <w:rsid w:val="00422F2E"/>
    <w:rsid w:val="00423671"/>
    <w:rsid w:val="004262D8"/>
    <w:rsid w:val="004275EC"/>
    <w:rsid w:val="004277F7"/>
    <w:rsid w:val="004278EF"/>
    <w:rsid w:val="00431BB1"/>
    <w:rsid w:val="00432155"/>
    <w:rsid w:val="004324B5"/>
    <w:rsid w:val="00433222"/>
    <w:rsid w:val="00433CE5"/>
    <w:rsid w:val="00434F12"/>
    <w:rsid w:val="00436666"/>
    <w:rsid w:val="00441B79"/>
    <w:rsid w:val="00441C27"/>
    <w:rsid w:val="00441CC4"/>
    <w:rsid w:val="00441D46"/>
    <w:rsid w:val="00441FAE"/>
    <w:rsid w:val="00442287"/>
    <w:rsid w:val="004423D4"/>
    <w:rsid w:val="004428A3"/>
    <w:rsid w:val="00443BC1"/>
    <w:rsid w:val="00444996"/>
    <w:rsid w:val="00444D73"/>
    <w:rsid w:val="0044520B"/>
    <w:rsid w:val="0044621F"/>
    <w:rsid w:val="00446343"/>
    <w:rsid w:val="00446BA4"/>
    <w:rsid w:val="00446C4A"/>
    <w:rsid w:val="00446D74"/>
    <w:rsid w:val="00446D80"/>
    <w:rsid w:val="00446F48"/>
    <w:rsid w:val="00450418"/>
    <w:rsid w:val="00450615"/>
    <w:rsid w:val="0045106B"/>
    <w:rsid w:val="00452C99"/>
    <w:rsid w:val="00452D49"/>
    <w:rsid w:val="0045307C"/>
    <w:rsid w:val="00453556"/>
    <w:rsid w:val="00453851"/>
    <w:rsid w:val="00453EAA"/>
    <w:rsid w:val="0045433B"/>
    <w:rsid w:val="00454640"/>
    <w:rsid w:val="00454B38"/>
    <w:rsid w:val="00455824"/>
    <w:rsid w:val="00455990"/>
    <w:rsid w:val="004560C9"/>
    <w:rsid w:val="00456110"/>
    <w:rsid w:val="00456851"/>
    <w:rsid w:val="00457697"/>
    <w:rsid w:val="00457C52"/>
    <w:rsid w:val="00460482"/>
    <w:rsid w:val="00462FC9"/>
    <w:rsid w:val="00463A08"/>
    <w:rsid w:val="00464EBE"/>
    <w:rsid w:val="00466104"/>
    <w:rsid w:val="004665F1"/>
    <w:rsid w:val="00466E84"/>
    <w:rsid w:val="00467BE6"/>
    <w:rsid w:val="00471508"/>
    <w:rsid w:val="00471C30"/>
    <w:rsid w:val="00472063"/>
    <w:rsid w:val="004724D1"/>
    <w:rsid w:val="0047314D"/>
    <w:rsid w:val="004734C3"/>
    <w:rsid w:val="00473F54"/>
    <w:rsid w:val="0047405F"/>
    <w:rsid w:val="00474158"/>
    <w:rsid w:val="00474817"/>
    <w:rsid w:val="004757F0"/>
    <w:rsid w:val="00475C07"/>
    <w:rsid w:val="00476B0F"/>
    <w:rsid w:val="00477EC6"/>
    <w:rsid w:val="004813E8"/>
    <w:rsid w:val="00481B2F"/>
    <w:rsid w:val="00481CE8"/>
    <w:rsid w:val="0048357C"/>
    <w:rsid w:val="004844FC"/>
    <w:rsid w:val="0048512B"/>
    <w:rsid w:val="00486B8C"/>
    <w:rsid w:val="00490D86"/>
    <w:rsid w:val="0049120B"/>
    <w:rsid w:val="00491806"/>
    <w:rsid w:val="00491C29"/>
    <w:rsid w:val="004931E9"/>
    <w:rsid w:val="00493A6E"/>
    <w:rsid w:val="00494FF5"/>
    <w:rsid w:val="0049606B"/>
    <w:rsid w:val="00496B80"/>
    <w:rsid w:val="004A1378"/>
    <w:rsid w:val="004A1596"/>
    <w:rsid w:val="004A1A84"/>
    <w:rsid w:val="004A1D59"/>
    <w:rsid w:val="004A1F23"/>
    <w:rsid w:val="004A41F5"/>
    <w:rsid w:val="004A4E87"/>
    <w:rsid w:val="004A57A2"/>
    <w:rsid w:val="004A58A8"/>
    <w:rsid w:val="004A7421"/>
    <w:rsid w:val="004B00D5"/>
    <w:rsid w:val="004B0202"/>
    <w:rsid w:val="004B03ED"/>
    <w:rsid w:val="004B0618"/>
    <w:rsid w:val="004B0E6D"/>
    <w:rsid w:val="004B2337"/>
    <w:rsid w:val="004B32E2"/>
    <w:rsid w:val="004B52BE"/>
    <w:rsid w:val="004B555A"/>
    <w:rsid w:val="004B5B57"/>
    <w:rsid w:val="004B5C09"/>
    <w:rsid w:val="004B617F"/>
    <w:rsid w:val="004B65AB"/>
    <w:rsid w:val="004B679B"/>
    <w:rsid w:val="004B6C9A"/>
    <w:rsid w:val="004C1602"/>
    <w:rsid w:val="004C3169"/>
    <w:rsid w:val="004C382D"/>
    <w:rsid w:val="004C4CFF"/>
    <w:rsid w:val="004C5DDA"/>
    <w:rsid w:val="004C5F0B"/>
    <w:rsid w:val="004C693E"/>
    <w:rsid w:val="004D057B"/>
    <w:rsid w:val="004D05C3"/>
    <w:rsid w:val="004D0E0F"/>
    <w:rsid w:val="004D21DA"/>
    <w:rsid w:val="004D2385"/>
    <w:rsid w:val="004D3BF4"/>
    <w:rsid w:val="004D3D15"/>
    <w:rsid w:val="004D4E8A"/>
    <w:rsid w:val="004D6B2B"/>
    <w:rsid w:val="004D6B9E"/>
    <w:rsid w:val="004D74A3"/>
    <w:rsid w:val="004D7A64"/>
    <w:rsid w:val="004E0CDF"/>
    <w:rsid w:val="004E0F10"/>
    <w:rsid w:val="004E137D"/>
    <w:rsid w:val="004E1DC2"/>
    <w:rsid w:val="004E34EC"/>
    <w:rsid w:val="004E5496"/>
    <w:rsid w:val="004E5B8E"/>
    <w:rsid w:val="004E5D20"/>
    <w:rsid w:val="004E6225"/>
    <w:rsid w:val="004E6908"/>
    <w:rsid w:val="004E69EC"/>
    <w:rsid w:val="004F099C"/>
    <w:rsid w:val="004F15D8"/>
    <w:rsid w:val="004F272B"/>
    <w:rsid w:val="004F2A6D"/>
    <w:rsid w:val="004F4233"/>
    <w:rsid w:val="004F491E"/>
    <w:rsid w:val="004F4BEB"/>
    <w:rsid w:val="004F52F6"/>
    <w:rsid w:val="004F58AC"/>
    <w:rsid w:val="004F690D"/>
    <w:rsid w:val="004F7236"/>
    <w:rsid w:val="004F75B7"/>
    <w:rsid w:val="00501C3D"/>
    <w:rsid w:val="00501F5A"/>
    <w:rsid w:val="0050314A"/>
    <w:rsid w:val="00503910"/>
    <w:rsid w:val="005045F0"/>
    <w:rsid w:val="0050486F"/>
    <w:rsid w:val="005057DE"/>
    <w:rsid w:val="00505F9B"/>
    <w:rsid w:val="005065EA"/>
    <w:rsid w:val="00506FCF"/>
    <w:rsid w:val="00507049"/>
    <w:rsid w:val="0050774A"/>
    <w:rsid w:val="00507C1C"/>
    <w:rsid w:val="00510388"/>
    <w:rsid w:val="00511540"/>
    <w:rsid w:val="00512345"/>
    <w:rsid w:val="00513529"/>
    <w:rsid w:val="00514436"/>
    <w:rsid w:val="00514B6B"/>
    <w:rsid w:val="00514D6D"/>
    <w:rsid w:val="00515CDB"/>
    <w:rsid w:val="00515FBA"/>
    <w:rsid w:val="00516238"/>
    <w:rsid w:val="00516CD1"/>
    <w:rsid w:val="0051706D"/>
    <w:rsid w:val="005171F6"/>
    <w:rsid w:val="00520977"/>
    <w:rsid w:val="00521BC2"/>
    <w:rsid w:val="00521E3A"/>
    <w:rsid w:val="005222A0"/>
    <w:rsid w:val="00522894"/>
    <w:rsid w:val="005232AC"/>
    <w:rsid w:val="00524B76"/>
    <w:rsid w:val="00525F2F"/>
    <w:rsid w:val="00526938"/>
    <w:rsid w:val="0052739C"/>
    <w:rsid w:val="00530033"/>
    <w:rsid w:val="00530CD0"/>
    <w:rsid w:val="00530D63"/>
    <w:rsid w:val="00530DB6"/>
    <w:rsid w:val="00531AAC"/>
    <w:rsid w:val="00531B85"/>
    <w:rsid w:val="00531C75"/>
    <w:rsid w:val="00532804"/>
    <w:rsid w:val="00532E36"/>
    <w:rsid w:val="00532FDE"/>
    <w:rsid w:val="005330E8"/>
    <w:rsid w:val="00533593"/>
    <w:rsid w:val="00533CEF"/>
    <w:rsid w:val="00534127"/>
    <w:rsid w:val="00534D30"/>
    <w:rsid w:val="005351C3"/>
    <w:rsid w:val="00536866"/>
    <w:rsid w:val="00536B6A"/>
    <w:rsid w:val="00536C91"/>
    <w:rsid w:val="005404BA"/>
    <w:rsid w:val="00544030"/>
    <w:rsid w:val="0054430D"/>
    <w:rsid w:val="005444E4"/>
    <w:rsid w:val="00545D7F"/>
    <w:rsid w:val="00546020"/>
    <w:rsid w:val="00546102"/>
    <w:rsid w:val="00546221"/>
    <w:rsid w:val="0054634C"/>
    <w:rsid w:val="005463A6"/>
    <w:rsid w:val="0054691A"/>
    <w:rsid w:val="00546D32"/>
    <w:rsid w:val="00547AF3"/>
    <w:rsid w:val="00547CD5"/>
    <w:rsid w:val="00547F0D"/>
    <w:rsid w:val="00550377"/>
    <w:rsid w:val="00552273"/>
    <w:rsid w:val="005527F8"/>
    <w:rsid w:val="005531E1"/>
    <w:rsid w:val="00554E92"/>
    <w:rsid w:val="0055580C"/>
    <w:rsid w:val="00555977"/>
    <w:rsid w:val="00555B1E"/>
    <w:rsid w:val="00556D28"/>
    <w:rsid w:val="00556F44"/>
    <w:rsid w:val="00557CD6"/>
    <w:rsid w:val="00560767"/>
    <w:rsid w:val="00560920"/>
    <w:rsid w:val="00560DDD"/>
    <w:rsid w:val="00562477"/>
    <w:rsid w:val="00563171"/>
    <w:rsid w:val="00563AAD"/>
    <w:rsid w:val="00564606"/>
    <w:rsid w:val="0056588B"/>
    <w:rsid w:val="0056594B"/>
    <w:rsid w:val="005665CF"/>
    <w:rsid w:val="00566797"/>
    <w:rsid w:val="00566B72"/>
    <w:rsid w:val="005702BE"/>
    <w:rsid w:val="00570AF5"/>
    <w:rsid w:val="0057167F"/>
    <w:rsid w:val="005727B4"/>
    <w:rsid w:val="005728C5"/>
    <w:rsid w:val="0057388D"/>
    <w:rsid w:val="00574700"/>
    <w:rsid w:val="00575254"/>
    <w:rsid w:val="005762C0"/>
    <w:rsid w:val="00577A7C"/>
    <w:rsid w:val="00577B82"/>
    <w:rsid w:val="0058015F"/>
    <w:rsid w:val="0058142A"/>
    <w:rsid w:val="005829C0"/>
    <w:rsid w:val="00582EDB"/>
    <w:rsid w:val="0058349A"/>
    <w:rsid w:val="005837C5"/>
    <w:rsid w:val="00584960"/>
    <w:rsid w:val="005873DC"/>
    <w:rsid w:val="00587C6B"/>
    <w:rsid w:val="00590006"/>
    <w:rsid w:val="0059100C"/>
    <w:rsid w:val="0059185A"/>
    <w:rsid w:val="00591F0F"/>
    <w:rsid w:val="00592785"/>
    <w:rsid w:val="005936DD"/>
    <w:rsid w:val="00594550"/>
    <w:rsid w:val="00594C3A"/>
    <w:rsid w:val="00595357"/>
    <w:rsid w:val="00595608"/>
    <w:rsid w:val="00596488"/>
    <w:rsid w:val="005967CC"/>
    <w:rsid w:val="00596C35"/>
    <w:rsid w:val="00597B25"/>
    <w:rsid w:val="00597D3A"/>
    <w:rsid w:val="005A0FCF"/>
    <w:rsid w:val="005A1158"/>
    <w:rsid w:val="005A1F66"/>
    <w:rsid w:val="005A27A8"/>
    <w:rsid w:val="005A2F07"/>
    <w:rsid w:val="005A313C"/>
    <w:rsid w:val="005A3508"/>
    <w:rsid w:val="005A43BA"/>
    <w:rsid w:val="005A43CD"/>
    <w:rsid w:val="005A7A83"/>
    <w:rsid w:val="005B11D6"/>
    <w:rsid w:val="005B1B50"/>
    <w:rsid w:val="005B1D8E"/>
    <w:rsid w:val="005B57C2"/>
    <w:rsid w:val="005B6B40"/>
    <w:rsid w:val="005B7B7F"/>
    <w:rsid w:val="005B7DEC"/>
    <w:rsid w:val="005C1D5D"/>
    <w:rsid w:val="005C2E13"/>
    <w:rsid w:val="005C2F2B"/>
    <w:rsid w:val="005C3467"/>
    <w:rsid w:val="005C49BE"/>
    <w:rsid w:val="005C4F76"/>
    <w:rsid w:val="005C5259"/>
    <w:rsid w:val="005C5A5E"/>
    <w:rsid w:val="005C61E2"/>
    <w:rsid w:val="005C79FD"/>
    <w:rsid w:val="005D0305"/>
    <w:rsid w:val="005D1093"/>
    <w:rsid w:val="005D257B"/>
    <w:rsid w:val="005D2E05"/>
    <w:rsid w:val="005D3BAB"/>
    <w:rsid w:val="005D4211"/>
    <w:rsid w:val="005D4DF6"/>
    <w:rsid w:val="005D4F95"/>
    <w:rsid w:val="005D5785"/>
    <w:rsid w:val="005D67D9"/>
    <w:rsid w:val="005D70F3"/>
    <w:rsid w:val="005D73AC"/>
    <w:rsid w:val="005D7695"/>
    <w:rsid w:val="005D7884"/>
    <w:rsid w:val="005D7B38"/>
    <w:rsid w:val="005E0823"/>
    <w:rsid w:val="005E255D"/>
    <w:rsid w:val="005E38E3"/>
    <w:rsid w:val="005E3B7C"/>
    <w:rsid w:val="005E43D0"/>
    <w:rsid w:val="005E4B97"/>
    <w:rsid w:val="005E53FD"/>
    <w:rsid w:val="005E5640"/>
    <w:rsid w:val="005E58C2"/>
    <w:rsid w:val="005E6435"/>
    <w:rsid w:val="005E6A1E"/>
    <w:rsid w:val="005E6DE1"/>
    <w:rsid w:val="005E792C"/>
    <w:rsid w:val="005F0BAD"/>
    <w:rsid w:val="005F1A59"/>
    <w:rsid w:val="005F1CB7"/>
    <w:rsid w:val="005F2717"/>
    <w:rsid w:val="005F345F"/>
    <w:rsid w:val="005F3B52"/>
    <w:rsid w:val="005F400E"/>
    <w:rsid w:val="005F596E"/>
    <w:rsid w:val="005F5B0F"/>
    <w:rsid w:val="005F5BDA"/>
    <w:rsid w:val="005F685C"/>
    <w:rsid w:val="005F6BA9"/>
    <w:rsid w:val="005F7E85"/>
    <w:rsid w:val="006017E4"/>
    <w:rsid w:val="00602DC4"/>
    <w:rsid w:val="00603A14"/>
    <w:rsid w:val="00603D3A"/>
    <w:rsid w:val="006048F7"/>
    <w:rsid w:val="00605738"/>
    <w:rsid w:val="00605D8A"/>
    <w:rsid w:val="00606BFF"/>
    <w:rsid w:val="00606C83"/>
    <w:rsid w:val="00607D16"/>
    <w:rsid w:val="00611BD1"/>
    <w:rsid w:val="006120D5"/>
    <w:rsid w:val="00613363"/>
    <w:rsid w:val="00615419"/>
    <w:rsid w:val="00620378"/>
    <w:rsid w:val="00620EEE"/>
    <w:rsid w:val="006216AE"/>
    <w:rsid w:val="006222A3"/>
    <w:rsid w:val="006246D6"/>
    <w:rsid w:val="00626F64"/>
    <w:rsid w:val="00627A27"/>
    <w:rsid w:val="00632820"/>
    <w:rsid w:val="00632D84"/>
    <w:rsid w:val="0063316C"/>
    <w:rsid w:val="00633534"/>
    <w:rsid w:val="00633667"/>
    <w:rsid w:val="00634DB8"/>
    <w:rsid w:val="00635659"/>
    <w:rsid w:val="00635DB1"/>
    <w:rsid w:val="00635FB9"/>
    <w:rsid w:val="006368CC"/>
    <w:rsid w:val="00637907"/>
    <w:rsid w:val="00640AE4"/>
    <w:rsid w:val="00640CEA"/>
    <w:rsid w:val="00641BB1"/>
    <w:rsid w:val="00641C39"/>
    <w:rsid w:val="00641CB8"/>
    <w:rsid w:val="00641EFA"/>
    <w:rsid w:val="0064246C"/>
    <w:rsid w:val="0064260F"/>
    <w:rsid w:val="0064456C"/>
    <w:rsid w:val="006454A1"/>
    <w:rsid w:val="006456BC"/>
    <w:rsid w:val="00645C98"/>
    <w:rsid w:val="00647EF4"/>
    <w:rsid w:val="006501E3"/>
    <w:rsid w:val="00650829"/>
    <w:rsid w:val="00652466"/>
    <w:rsid w:val="00652799"/>
    <w:rsid w:val="00653571"/>
    <w:rsid w:val="006548DD"/>
    <w:rsid w:val="00655153"/>
    <w:rsid w:val="00655B61"/>
    <w:rsid w:val="00655EB4"/>
    <w:rsid w:val="006563E7"/>
    <w:rsid w:val="00656B2A"/>
    <w:rsid w:val="00657786"/>
    <w:rsid w:val="00657B8C"/>
    <w:rsid w:val="00661A43"/>
    <w:rsid w:val="00661AB3"/>
    <w:rsid w:val="00661D17"/>
    <w:rsid w:val="00661EDE"/>
    <w:rsid w:val="00662410"/>
    <w:rsid w:val="006629B7"/>
    <w:rsid w:val="00664DA4"/>
    <w:rsid w:val="00665F21"/>
    <w:rsid w:val="0066609F"/>
    <w:rsid w:val="006677D3"/>
    <w:rsid w:val="00667FD3"/>
    <w:rsid w:val="00670069"/>
    <w:rsid w:val="00671894"/>
    <w:rsid w:val="006722D6"/>
    <w:rsid w:val="00674710"/>
    <w:rsid w:val="00674E3C"/>
    <w:rsid w:val="006750E0"/>
    <w:rsid w:val="00676115"/>
    <w:rsid w:val="0067620A"/>
    <w:rsid w:val="0067663E"/>
    <w:rsid w:val="00677144"/>
    <w:rsid w:val="0067766E"/>
    <w:rsid w:val="00677914"/>
    <w:rsid w:val="00677FB6"/>
    <w:rsid w:val="00680019"/>
    <w:rsid w:val="006813E9"/>
    <w:rsid w:val="00682C36"/>
    <w:rsid w:val="00685052"/>
    <w:rsid w:val="006866F2"/>
    <w:rsid w:val="00687E82"/>
    <w:rsid w:val="00690706"/>
    <w:rsid w:val="0069293A"/>
    <w:rsid w:val="00692EB8"/>
    <w:rsid w:val="00693558"/>
    <w:rsid w:val="00693D01"/>
    <w:rsid w:val="00694C94"/>
    <w:rsid w:val="0069663C"/>
    <w:rsid w:val="006968A8"/>
    <w:rsid w:val="00697010"/>
    <w:rsid w:val="00697288"/>
    <w:rsid w:val="006A0080"/>
    <w:rsid w:val="006A08ED"/>
    <w:rsid w:val="006A223C"/>
    <w:rsid w:val="006A2E76"/>
    <w:rsid w:val="006A2F40"/>
    <w:rsid w:val="006A32D1"/>
    <w:rsid w:val="006A49FB"/>
    <w:rsid w:val="006A4B1B"/>
    <w:rsid w:val="006A54A2"/>
    <w:rsid w:val="006A73DF"/>
    <w:rsid w:val="006A7987"/>
    <w:rsid w:val="006A7C11"/>
    <w:rsid w:val="006B1572"/>
    <w:rsid w:val="006B236F"/>
    <w:rsid w:val="006B2E97"/>
    <w:rsid w:val="006B340B"/>
    <w:rsid w:val="006B3866"/>
    <w:rsid w:val="006B397F"/>
    <w:rsid w:val="006B3DCC"/>
    <w:rsid w:val="006B4F50"/>
    <w:rsid w:val="006C1D3F"/>
    <w:rsid w:val="006C2FE4"/>
    <w:rsid w:val="006C5278"/>
    <w:rsid w:val="006C5CA6"/>
    <w:rsid w:val="006C7DD2"/>
    <w:rsid w:val="006D095F"/>
    <w:rsid w:val="006D1415"/>
    <w:rsid w:val="006D1FB9"/>
    <w:rsid w:val="006D2261"/>
    <w:rsid w:val="006D2B12"/>
    <w:rsid w:val="006D2B1C"/>
    <w:rsid w:val="006D4CF0"/>
    <w:rsid w:val="006D588B"/>
    <w:rsid w:val="006D5C2C"/>
    <w:rsid w:val="006D606F"/>
    <w:rsid w:val="006D7E64"/>
    <w:rsid w:val="006D7FF7"/>
    <w:rsid w:val="006E0B48"/>
    <w:rsid w:val="006E0CFB"/>
    <w:rsid w:val="006E0CFF"/>
    <w:rsid w:val="006E12FA"/>
    <w:rsid w:val="006E1FE4"/>
    <w:rsid w:val="006E278F"/>
    <w:rsid w:val="006E32D5"/>
    <w:rsid w:val="006E33B2"/>
    <w:rsid w:val="006E3407"/>
    <w:rsid w:val="006E46F3"/>
    <w:rsid w:val="006E4995"/>
    <w:rsid w:val="006E53FB"/>
    <w:rsid w:val="006E6DF5"/>
    <w:rsid w:val="006E7871"/>
    <w:rsid w:val="006F0F1C"/>
    <w:rsid w:val="006F1E8B"/>
    <w:rsid w:val="006F2A71"/>
    <w:rsid w:val="006F3257"/>
    <w:rsid w:val="006F6797"/>
    <w:rsid w:val="00700A4D"/>
    <w:rsid w:val="00701FC7"/>
    <w:rsid w:val="0070301E"/>
    <w:rsid w:val="00703231"/>
    <w:rsid w:val="0070546B"/>
    <w:rsid w:val="00705DF8"/>
    <w:rsid w:val="00706A9A"/>
    <w:rsid w:val="00706FBE"/>
    <w:rsid w:val="00707293"/>
    <w:rsid w:val="00707BB7"/>
    <w:rsid w:val="007104DB"/>
    <w:rsid w:val="007109BE"/>
    <w:rsid w:val="00710A12"/>
    <w:rsid w:val="00710B3E"/>
    <w:rsid w:val="0071174E"/>
    <w:rsid w:val="00712632"/>
    <w:rsid w:val="00712B53"/>
    <w:rsid w:val="00713190"/>
    <w:rsid w:val="007140A6"/>
    <w:rsid w:val="007151AD"/>
    <w:rsid w:val="00715649"/>
    <w:rsid w:val="00715A51"/>
    <w:rsid w:val="00715FD3"/>
    <w:rsid w:val="0071630E"/>
    <w:rsid w:val="00716382"/>
    <w:rsid w:val="007169C6"/>
    <w:rsid w:val="00716F43"/>
    <w:rsid w:val="00717397"/>
    <w:rsid w:val="007209F0"/>
    <w:rsid w:val="00721462"/>
    <w:rsid w:val="00722029"/>
    <w:rsid w:val="00722BC7"/>
    <w:rsid w:val="00722D6D"/>
    <w:rsid w:val="00723F85"/>
    <w:rsid w:val="00724316"/>
    <w:rsid w:val="00724B11"/>
    <w:rsid w:val="00725820"/>
    <w:rsid w:val="0073008B"/>
    <w:rsid w:val="00732D84"/>
    <w:rsid w:val="0073333A"/>
    <w:rsid w:val="007333B5"/>
    <w:rsid w:val="007339B9"/>
    <w:rsid w:val="00733B3C"/>
    <w:rsid w:val="00733E3D"/>
    <w:rsid w:val="007344A4"/>
    <w:rsid w:val="00737060"/>
    <w:rsid w:val="00737E7A"/>
    <w:rsid w:val="00737EAF"/>
    <w:rsid w:val="0074070B"/>
    <w:rsid w:val="00740D4B"/>
    <w:rsid w:val="0074213E"/>
    <w:rsid w:val="00742631"/>
    <w:rsid w:val="00742B97"/>
    <w:rsid w:val="00745B9B"/>
    <w:rsid w:val="00746AD4"/>
    <w:rsid w:val="0074716E"/>
    <w:rsid w:val="00750772"/>
    <w:rsid w:val="00751A38"/>
    <w:rsid w:val="00753491"/>
    <w:rsid w:val="00753D9C"/>
    <w:rsid w:val="0075490D"/>
    <w:rsid w:val="00755854"/>
    <w:rsid w:val="00755E37"/>
    <w:rsid w:val="00756007"/>
    <w:rsid w:val="007565C6"/>
    <w:rsid w:val="00760776"/>
    <w:rsid w:val="00760BB0"/>
    <w:rsid w:val="0076113D"/>
    <w:rsid w:val="00761529"/>
    <w:rsid w:val="007617B6"/>
    <w:rsid w:val="00761BE5"/>
    <w:rsid w:val="00761EB4"/>
    <w:rsid w:val="00762624"/>
    <w:rsid w:val="00763810"/>
    <w:rsid w:val="0076387B"/>
    <w:rsid w:val="00764B51"/>
    <w:rsid w:val="00766067"/>
    <w:rsid w:val="00766FA3"/>
    <w:rsid w:val="007703A8"/>
    <w:rsid w:val="007708F5"/>
    <w:rsid w:val="00770EDF"/>
    <w:rsid w:val="00771C60"/>
    <w:rsid w:val="00771EF8"/>
    <w:rsid w:val="0077252F"/>
    <w:rsid w:val="00772764"/>
    <w:rsid w:val="00772D10"/>
    <w:rsid w:val="00773B90"/>
    <w:rsid w:val="00774F73"/>
    <w:rsid w:val="007771CC"/>
    <w:rsid w:val="007775B2"/>
    <w:rsid w:val="00777B28"/>
    <w:rsid w:val="00780CF4"/>
    <w:rsid w:val="00782C07"/>
    <w:rsid w:val="00783648"/>
    <w:rsid w:val="007849E4"/>
    <w:rsid w:val="007872F9"/>
    <w:rsid w:val="0078784E"/>
    <w:rsid w:val="00787B84"/>
    <w:rsid w:val="00791258"/>
    <w:rsid w:val="0079156F"/>
    <w:rsid w:val="00791F36"/>
    <w:rsid w:val="0079442D"/>
    <w:rsid w:val="00795369"/>
    <w:rsid w:val="0079583C"/>
    <w:rsid w:val="00796E28"/>
    <w:rsid w:val="00796FD8"/>
    <w:rsid w:val="007970DF"/>
    <w:rsid w:val="00797403"/>
    <w:rsid w:val="00797BDD"/>
    <w:rsid w:val="007A0229"/>
    <w:rsid w:val="007A03D8"/>
    <w:rsid w:val="007A127B"/>
    <w:rsid w:val="007A29DD"/>
    <w:rsid w:val="007A3F41"/>
    <w:rsid w:val="007A403F"/>
    <w:rsid w:val="007A5187"/>
    <w:rsid w:val="007A5276"/>
    <w:rsid w:val="007A67C9"/>
    <w:rsid w:val="007A6ADD"/>
    <w:rsid w:val="007A6E0B"/>
    <w:rsid w:val="007B04C9"/>
    <w:rsid w:val="007B07BA"/>
    <w:rsid w:val="007B1392"/>
    <w:rsid w:val="007B24DC"/>
    <w:rsid w:val="007B2BE2"/>
    <w:rsid w:val="007B2EA9"/>
    <w:rsid w:val="007B3B3F"/>
    <w:rsid w:val="007B40F0"/>
    <w:rsid w:val="007B4697"/>
    <w:rsid w:val="007B5412"/>
    <w:rsid w:val="007B5FD9"/>
    <w:rsid w:val="007B6AB1"/>
    <w:rsid w:val="007B7112"/>
    <w:rsid w:val="007B71A9"/>
    <w:rsid w:val="007B7B64"/>
    <w:rsid w:val="007C025D"/>
    <w:rsid w:val="007C040C"/>
    <w:rsid w:val="007C0688"/>
    <w:rsid w:val="007C0718"/>
    <w:rsid w:val="007C24D2"/>
    <w:rsid w:val="007C2EE4"/>
    <w:rsid w:val="007C308D"/>
    <w:rsid w:val="007C37FB"/>
    <w:rsid w:val="007C37FC"/>
    <w:rsid w:val="007C3DD1"/>
    <w:rsid w:val="007C3E1E"/>
    <w:rsid w:val="007C4A95"/>
    <w:rsid w:val="007C4B51"/>
    <w:rsid w:val="007C6395"/>
    <w:rsid w:val="007C6DDF"/>
    <w:rsid w:val="007C7D43"/>
    <w:rsid w:val="007D0277"/>
    <w:rsid w:val="007D1C29"/>
    <w:rsid w:val="007D1D21"/>
    <w:rsid w:val="007D4826"/>
    <w:rsid w:val="007D4A6C"/>
    <w:rsid w:val="007D4ED8"/>
    <w:rsid w:val="007D503E"/>
    <w:rsid w:val="007D54FC"/>
    <w:rsid w:val="007D670E"/>
    <w:rsid w:val="007E0282"/>
    <w:rsid w:val="007E1137"/>
    <w:rsid w:val="007E12F3"/>
    <w:rsid w:val="007E2DE6"/>
    <w:rsid w:val="007E4396"/>
    <w:rsid w:val="007E4AA4"/>
    <w:rsid w:val="007E4B69"/>
    <w:rsid w:val="007E55CA"/>
    <w:rsid w:val="007E592F"/>
    <w:rsid w:val="007E63D9"/>
    <w:rsid w:val="007E63E3"/>
    <w:rsid w:val="007E7986"/>
    <w:rsid w:val="007E7C33"/>
    <w:rsid w:val="007F01E2"/>
    <w:rsid w:val="007F02BD"/>
    <w:rsid w:val="007F140D"/>
    <w:rsid w:val="007F1ABD"/>
    <w:rsid w:val="007F29D5"/>
    <w:rsid w:val="007F2E04"/>
    <w:rsid w:val="007F32B1"/>
    <w:rsid w:val="007F5237"/>
    <w:rsid w:val="007F5F6B"/>
    <w:rsid w:val="007F74F7"/>
    <w:rsid w:val="007F777B"/>
    <w:rsid w:val="007F7E40"/>
    <w:rsid w:val="0080024B"/>
    <w:rsid w:val="00800E83"/>
    <w:rsid w:val="00801480"/>
    <w:rsid w:val="00801659"/>
    <w:rsid w:val="0080193B"/>
    <w:rsid w:val="00801ABD"/>
    <w:rsid w:val="00801B20"/>
    <w:rsid w:val="00801DB7"/>
    <w:rsid w:val="00801F4B"/>
    <w:rsid w:val="00802A3A"/>
    <w:rsid w:val="0080316E"/>
    <w:rsid w:val="008034F2"/>
    <w:rsid w:val="008046B9"/>
    <w:rsid w:val="008055DD"/>
    <w:rsid w:val="00805730"/>
    <w:rsid w:val="00805E55"/>
    <w:rsid w:val="008063C3"/>
    <w:rsid w:val="0081009F"/>
    <w:rsid w:val="0081079C"/>
    <w:rsid w:val="008111F7"/>
    <w:rsid w:val="00811AE8"/>
    <w:rsid w:val="00812C03"/>
    <w:rsid w:val="00812F56"/>
    <w:rsid w:val="00812F6A"/>
    <w:rsid w:val="008131FB"/>
    <w:rsid w:val="008140C3"/>
    <w:rsid w:val="008142E8"/>
    <w:rsid w:val="00814C49"/>
    <w:rsid w:val="00815C14"/>
    <w:rsid w:val="00817456"/>
    <w:rsid w:val="00817CA3"/>
    <w:rsid w:val="00817E00"/>
    <w:rsid w:val="0082064D"/>
    <w:rsid w:val="008206EB"/>
    <w:rsid w:val="008207E2"/>
    <w:rsid w:val="00821A3D"/>
    <w:rsid w:val="00822088"/>
    <w:rsid w:val="00822302"/>
    <w:rsid w:val="0082278E"/>
    <w:rsid w:val="008234DF"/>
    <w:rsid w:val="00823BFF"/>
    <w:rsid w:val="008243D1"/>
    <w:rsid w:val="00824797"/>
    <w:rsid w:val="00824FB6"/>
    <w:rsid w:val="008260C8"/>
    <w:rsid w:val="0083085F"/>
    <w:rsid w:val="00831562"/>
    <w:rsid w:val="00831A6D"/>
    <w:rsid w:val="00832110"/>
    <w:rsid w:val="008329FF"/>
    <w:rsid w:val="00834E61"/>
    <w:rsid w:val="008352C1"/>
    <w:rsid w:val="00835E2D"/>
    <w:rsid w:val="00840152"/>
    <w:rsid w:val="00840A06"/>
    <w:rsid w:val="00840B43"/>
    <w:rsid w:val="008421BA"/>
    <w:rsid w:val="00842242"/>
    <w:rsid w:val="0084352E"/>
    <w:rsid w:val="00843B28"/>
    <w:rsid w:val="00844B22"/>
    <w:rsid w:val="00844DF0"/>
    <w:rsid w:val="0084514F"/>
    <w:rsid w:val="00845C91"/>
    <w:rsid w:val="00846697"/>
    <w:rsid w:val="008469F5"/>
    <w:rsid w:val="0084724C"/>
    <w:rsid w:val="00847775"/>
    <w:rsid w:val="008477CF"/>
    <w:rsid w:val="00847F05"/>
    <w:rsid w:val="008504E1"/>
    <w:rsid w:val="00850906"/>
    <w:rsid w:val="008512AF"/>
    <w:rsid w:val="00851804"/>
    <w:rsid w:val="00851F3F"/>
    <w:rsid w:val="00852186"/>
    <w:rsid w:val="0085238C"/>
    <w:rsid w:val="00853C97"/>
    <w:rsid w:val="00853EFA"/>
    <w:rsid w:val="008553DB"/>
    <w:rsid w:val="008558E1"/>
    <w:rsid w:val="00855C06"/>
    <w:rsid w:val="008560CB"/>
    <w:rsid w:val="008564CD"/>
    <w:rsid w:val="00856724"/>
    <w:rsid w:val="0085677D"/>
    <w:rsid w:val="00857D56"/>
    <w:rsid w:val="00860BFC"/>
    <w:rsid w:val="00860FA2"/>
    <w:rsid w:val="0086107F"/>
    <w:rsid w:val="00861FA0"/>
    <w:rsid w:val="008620F1"/>
    <w:rsid w:val="0086297B"/>
    <w:rsid w:val="00863099"/>
    <w:rsid w:val="00863519"/>
    <w:rsid w:val="0086379F"/>
    <w:rsid w:val="008647DD"/>
    <w:rsid w:val="00864D72"/>
    <w:rsid w:val="0086623C"/>
    <w:rsid w:val="008670C1"/>
    <w:rsid w:val="008671FF"/>
    <w:rsid w:val="0086722F"/>
    <w:rsid w:val="00867FDA"/>
    <w:rsid w:val="008709F6"/>
    <w:rsid w:val="00871BAD"/>
    <w:rsid w:val="00871E07"/>
    <w:rsid w:val="008736AF"/>
    <w:rsid w:val="00874F69"/>
    <w:rsid w:val="00874F91"/>
    <w:rsid w:val="008752D4"/>
    <w:rsid w:val="00875CA6"/>
    <w:rsid w:val="008769C8"/>
    <w:rsid w:val="00876EBD"/>
    <w:rsid w:val="008774B2"/>
    <w:rsid w:val="00877537"/>
    <w:rsid w:val="00880269"/>
    <w:rsid w:val="00881AE0"/>
    <w:rsid w:val="0088288F"/>
    <w:rsid w:val="00882C1A"/>
    <w:rsid w:val="008830DD"/>
    <w:rsid w:val="0088356E"/>
    <w:rsid w:val="0088437E"/>
    <w:rsid w:val="0088596E"/>
    <w:rsid w:val="008867E4"/>
    <w:rsid w:val="00886A18"/>
    <w:rsid w:val="00886DFC"/>
    <w:rsid w:val="00890173"/>
    <w:rsid w:val="00892FAA"/>
    <w:rsid w:val="00893437"/>
    <w:rsid w:val="00893B97"/>
    <w:rsid w:val="00893D84"/>
    <w:rsid w:val="00894516"/>
    <w:rsid w:val="00894BF8"/>
    <w:rsid w:val="0089595D"/>
    <w:rsid w:val="00897E50"/>
    <w:rsid w:val="008A0FD0"/>
    <w:rsid w:val="008A129C"/>
    <w:rsid w:val="008A19B3"/>
    <w:rsid w:val="008A2045"/>
    <w:rsid w:val="008A2795"/>
    <w:rsid w:val="008A2A26"/>
    <w:rsid w:val="008A2ECA"/>
    <w:rsid w:val="008A3031"/>
    <w:rsid w:val="008A5006"/>
    <w:rsid w:val="008A6EF9"/>
    <w:rsid w:val="008A74B6"/>
    <w:rsid w:val="008A7679"/>
    <w:rsid w:val="008B0E37"/>
    <w:rsid w:val="008B1BF7"/>
    <w:rsid w:val="008B21D3"/>
    <w:rsid w:val="008B3694"/>
    <w:rsid w:val="008B36E1"/>
    <w:rsid w:val="008B3826"/>
    <w:rsid w:val="008B396C"/>
    <w:rsid w:val="008B3BA1"/>
    <w:rsid w:val="008B4AC9"/>
    <w:rsid w:val="008B50BC"/>
    <w:rsid w:val="008B75BF"/>
    <w:rsid w:val="008C0D51"/>
    <w:rsid w:val="008C4CB0"/>
    <w:rsid w:val="008C5C03"/>
    <w:rsid w:val="008C5F1C"/>
    <w:rsid w:val="008C6608"/>
    <w:rsid w:val="008C7CAE"/>
    <w:rsid w:val="008D07FD"/>
    <w:rsid w:val="008D0B50"/>
    <w:rsid w:val="008D0C7B"/>
    <w:rsid w:val="008D11E2"/>
    <w:rsid w:val="008D169D"/>
    <w:rsid w:val="008D180A"/>
    <w:rsid w:val="008D25C1"/>
    <w:rsid w:val="008D50D8"/>
    <w:rsid w:val="008D5A53"/>
    <w:rsid w:val="008D5EE3"/>
    <w:rsid w:val="008D6920"/>
    <w:rsid w:val="008D7A96"/>
    <w:rsid w:val="008D7C50"/>
    <w:rsid w:val="008E0306"/>
    <w:rsid w:val="008E0DB6"/>
    <w:rsid w:val="008E2890"/>
    <w:rsid w:val="008E3AD4"/>
    <w:rsid w:val="008E443F"/>
    <w:rsid w:val="008E44A6"/>
    <w:rsid w:val="008E550C"/>
    <w:rsid w:val="008E5FDF"/>
    <w:rsid w:val="008E72D2"/>
    <w:rsid w:val="008F112F"/>
    <w:rsid w:val="008F1957"/>
    <w:rsid w:val="008F208E"/>
    <w:rsid w:val="008F3544"/>
    <w:rsid w:val="008F4A4C"/>
    <w:rsid w:val="008F5272"/>
    <w:rsid w:val="008F5418"/>
    <w:rsid w:val="008F5E38"/>
    <w:rsid w:val="008F6871"/>
    <w:rsid w:val="008F6B99"/>
    <w:rsid w:val="008F74E8"/>
    <w:rsid w:val="008F7CDD"/>
    <w:rsid w:val="0090088F"/>
    <w:rsid w:val="0090211F"/>
    <w:rsid w:val="00902505"/>
    <w:rsid w:val="00904C61"/>
    <w:rsid w:val="0090653B"/>
    <w:rsid w:val="00907374"/>
    <w:rsid w:val="00907570"/>
    <w:rsid w:val="00907D7D"/>
    <w:rsid w:val="009102FF"/>
    <w:rsid w:val="009124CC"/>
    <w:rsid w:val="00913EC3"/>
    <w:rsid w:val="009144B6"/>
    <w:rsid w:val="0091459B"/>
    <w:rsid w:val="00915CDC"/>
    <w:rsid w:val="00916844"/>
    <w:rsid w:val="00916949"/>
    <w:rsid w:val="009177EE"/>
    <w:rsid w:val="00917989"/>
    <w:rsid w:val="00920040"/>
    <w:rsid w:val="009205FC"/>
    <w:rsid w:val="009208DE"/>
    <w:rsid w:val="00920FE5"/>
    <w:rsid w:val="00921267"/>
    <w:rsid w:val="00921BD3"/>
    <w:rsid w:val="0092263C"/>
    <w:rsid w:val="00926133"/>
    <w:rsid w:val="00926AB7"/>
    <w:rsid w:val="00926EC7"/>
    <w:rsid w:val="00927AEE"/>
    <w:rsid w:val="00927C52"/>
    <w:rsid w:val="00927D50"/>
    <w:rsid w:val="00927E15"/>
    <w:rsid w:val="00930638"/>
    <w:rsid w:val="00930AAE"/>
    <w:rsid w:val="009320DF"/>
    <w:rsid w:val="00933752"/>
    <w:rsid w:val="009348B1"/>
    <w:rsid w:val="00934AF1"/>
    <w:rsid w:val="00935A9B"/>
    <w:rsid w:val="00935DEB"/>
    <w:rsid w:val="0093667D"/>
    <w:rsid w:val="00936C5A"/>
    <w:rsid w:val="009374F8"/>
    <w:rsid w:val="009376CD"/>
    <w:rsid w:val="00940B51"/>
    <w:rsid w:val="009411C3"/>
    <w:rsid w:val="0094152D"/>
    <w:rsid w:val="00941A04"/>
    <w:rsid w:val="00941FB4"/>
    <w:rsid w:val="00944119"/>
    <w:rsid w:val="0094490D"/>
    <w:rsid w:val="00944A48"/>
    <w:rsid w:val="00944DE3"/>
    <w:rsid w:val="0094536F"/>
    <w:rsid w:val="009461A2"/>
    <w:rsid w:val="00946502"/>
    <w:rsid w:val="009467C6"/>
    <w:rsid w:val="009473EF"/>
    <w:rsid w:val="00950445"/>
    <w:rsid w:val="00950965"/>
    <w:rsid w:val="00950AD8"/>
    <w:rsid w:val="00950AEE"/>
    <w:rsid w:val="00951038"/>
    <w:rsid w:val="0095188A"/>
    <w:rsid w:val="00953190"/>
    <w:rsid w:val="009532FD"/>
    <w:rsid w:val="0095402F"/>
    <w:rsid w:val="0095487A"/>
    <w:rsid w:val="00954E76"/>
    <w:rsid w:val="009558F5"/>
    <w:rsid w:val="00956014"/>
    <w:rsid w:val="0095666D"/>
    <w:rsid w:val="00957211"/>
    <w:rsid w:val="00957E0F"/>
    <w:rsid w:val="0096015E"/>
    <w:rsid w:val="009608D8"/>
    <w:rsid w:val="00960DA4"/>
    <w:rsid w:val="00961287"/>
    <w:rsid w:val="00961781"/>
    <w:rsid w:val="009626F0"/>
    <w:rsid w:val="0096280B"/>
    <w:rsid w:val="00963C7B"/>
    <w:rsid w:val="009642EC"/>
    <w:rsid w:val="00965739"/>
    <w:rsid w:val="00967260"/>
    <w:rsid w:val="00967F33"/>
    <w:rsid w:val="009702A6"/>
    <w:rsid w:val="00971A6E"/>
    <w:rsid w:val="0097317B"/>
    <w:rsid w:val="00974015"/>
    <w:rsid w:val="009746E2"/>
    <w:rsid w:val="00974D30"/>
    <w:rsid w:val="009758AB"/>
    <w:rsid w:val="00975C5E"/>
    <w:rsid w:val="009767B7"/>
    <w:rsid w:val="00977616"/>
    <w:rsid w:val="00980A06"/>
    <w:rsid w:val="00980CB7"/>
    <w:rsid w:val="00980D6A"/>
    <w:rsid w:val="00981120"/>
    <w:rsid w:val="009865BD"/>
    <w:rsid w:val="00986C12"/>
    <w:rsid w:val="0098762B"/>
    <w:rsid w:val="009904D9"/>
    <w:rsid w:val="009912E6"/>
    <w:rsid w:val="00991898"/>
    <w:rsid w:val="00991CC5"/>
    <w:rsid w:val="00991FC9"/>
    <w:rsid w:val="0099214B"/>
    <w:rsid w:val="009939A0"/>
    <w:rsid w:val="00993DE4"/>
    <w:rsid w:val="0099449E"/>
    <w:rsid w:val="009952E9"/>
    <w:rsid w:val="00996242"/>
    <w:rsid w:val="00997363"/>
    <w:rsid w:val="00997A64"/>
    <w:rsid w:val="009A0951"/>
    <w:rsid w:val="009A0FF8"/>
    <w:rsid w:val="009A2F43"/>
    <w:rsid w:val="009A4AB4"/>
    <w:rsid w:val="009A66C9"/>
    <w:rsid w:val="009A6D6E"/>
    <w:rsid w:val="009A7729"/>
    <w:rsid w:val="009A7A17"/>
    <w:rsid w:val="009A7CCC"/>
    <w:rsid w:val="009B0061"/>
    <w:rsid w:val="009B11CC"/>
    <w:rsid w:val="009B23B8"/>
    <w:rsid w:val="009B3820"/>
    <w:rsid w:val="009B3A18"/>
    <w:rsid w:val="009B43EE"/>
    <w:rsid w:val="009B56E3"/>
    <w:rsid w:val="009B5F6F"/>
    <w:rsid w:val="009B6742"/>
    <w:rsid w:val="009B746B"/>
    <w:rsid w:val="009C11DF"/>
    <w:rsid w:val="009C3C9F"/>
    <w:rsid w:val="009C3FB9"/>
    <w:rsid w:val="009C47AE"/>
    <w:rsid w:val="009C61AF"/>
    <w:rsid w:val="009C6416"/>
    <w:rsid w:val="009C7E6C"/>
    <w:rsid w:val="009D00E1"/>
    <w:rsid w:val="009D01FD"/>
    <w:rsid w:val="009D0276"/>
    <w:rsid w:val="009D038A"/>
    <w:rsid w:val="009D084F"/>
    <w:rsid w:val="009D0DE6"/>
    <w:rsid w:val="009D14B8"/>
    <w:rsid w:val="009D27AF"/>
    <w:rsid w:val="009D3029"/>
    <w:rsid w:val="009D361D"/>
    <w:rsid w:val="009D3B18"/>
    <w:rsid w:val="009D4574"/>
    <w:rsid w:val="009D4E63"/>
    <w:rsid w:val="009D5041"/>
    <w:rsid w:val="009D5BB4"/>
    <w:rsid w:val="009D6568"/>
    <w:rsid w:val="009D6818"/>
    <w:rsid w:val="009E15D4"/>
    <w:rsid w:val="009E1645"/>
    <w:rsid w:val="009E230B"/>
    <w:rsid w:val="009E2728"/>
    <w:rsid w:val="009E2892"/>
    <w:rsid w:val="009E3FE3"/>
    <w:rsid w:val="009E4414"/>
    <w:rsid w:val="009E5CC0"/>
    <w:rsid w:val="009E6615"/>
    <w:rsid w:val="009E7B0D"/>
    <w:rsid w:val="009F01C3"/>
    <w:rsid w:val="009F01DD"/>
    <w:rsid w:val="009F0C04"/>
    <w:rsid w:val="009F1DED"/>
    <w:rsid w:val="009F24E8"/>
    <w:rsid w:val="009F28F2"/>
    <w:rsid w:val="009F2FA9"/>
    <w:rsid w:val="009F37CB"/>
    <w:rsid w:val="009F3C56"/>
    <w:rsid w:val="009F3E76"/>
    <w:rsid w:val="009F53A8"/>
    <w:rsid w:val="009F5AF9"/>
    <w:rsid w:val="009F65FF"/>
    <w:rsid w:val="009F73BE"/>
    <w:rsid w:val="009F756B"/>
    <w:rsid w:val="009F7F84"/>
    <w:rsid w:val="00A00696"/>
    <w:rsid w:val="00A01014"/>
    <w:rsid w:val="00A0115F"/>
    <w:rsid w:val="00A02873"/>
    <w:rsid w:val="00A030FD"/>
    <w:rsid w:val="00A03CEB"/>
    <w:rsid w:val="00A03EFE"/>
    <w:rsid w:val="00A03F1C"/>
    <w:rsid w:val="00A043E5"/>
    <w:rsid w:val="00A04D4C"/>
    <w:rsid w:val="00A0550D"/>
    <w:rsid w:val="00A06630"/>
    <w:rsid w:val="00A06681"/>
    <w:rsid w:val="00A066C8"/>
    <w:rsid w:val="00A066FF"/>
    <w:rsid w:val="00A06876"/>
    <w:rsid w:val="00A06FED"/>
    <w:rsid w:val="00A07429"/>
    <w:rsid w:val="00A07D1C"/>
    <w:rsid w:val="00A10093"/>
    <w:rsid w:val="00A10DD3"/>
    <w:rsid w:val="00A12418"/>
    <w:rsid w:val="00A14798"/>
    <w:rsid w:val="00A14ABD"/>
    <w:rsid w:val="00A1538B"/>
    <w:rsid w:val="00A153EB"/>
    <w:rsid w:val="00A154DD"/>
    <w:rsid w:val="00A15FD4"/>
    <w:rsid w:val="00A17E09"/>
    <w:rsid w:val="00A200E5"/>
    <w:rsid w:val="00A202D8"/>
    <w:rsid w:val="00A20463"/>
    <w:rsid w:val="00A224CF"/>
    <w:rsid w:val="00A22D21"/>
    <w:rsid w:val="00A23107"/>
    <w:rsid w:val="00A24DD9"/>
    <w:rsid w:val="00A25C0C"/>
    <w:rsid w:val="00A26C37"/>
    <w:rsid w:val="00A27367"/>
    <w:rsid w:val="00A27B70"/>
    <w:rsid w:val="00A27B88"/>
    <w:rsid w:val="00A27C29"/>
    <w:rsid w:val="00A3090F"/>
    <w:rsid w:val="00A30FCA"/>
    <w:rsid w:val="00A31282"/>
    <w:rsid w:val="00A31F74"/>
    <w:rsid w:val="00A328CD"/>
    <w:rsid w:val="00A3304B"/>
    <w:rsid w:val="00A33332"/>
    <w:rsid w:val="00A33B0C"/>
    <w:rsid w:val="00A365E7"/>
    <w:rsid w:val="00A37011"/>
    <w:rsid w:val="00A373BA"/>
    <w:rsid w:val="00A40472"/>
    <w:rsid w:val="00A4174F"/>
    <w:rsid w:val="00A418DD"/>
    <w:rsid w:val="00A420DD"/>
    <w:rsid w:val="00A4265D"/>
    <w:rsid w:val="00A43D8C"/>
    <w:rsid w:val="00A4473B"/>
    <w:rsid w:val="00A4500A"/>
    <w:rsid w:val="00A45084"/>
    <w:rsid w:val="00A4574E"/>
    <w:rsid w:val="00A45856"/>
    <w:rsid w:val="00A462D6"/>
    <w:rsid w:val="00A46884"/>
    <w:rsid w:val="00A46A4C"/>
    <w:rsid w:val="00A4728D"/>
    <w:rsid w:val="00A47470"/>
    <w:rsid w:val="00A47EDA"/>
    <w:rsid w:val="00A513F3"/>
    <w:rsid w:val="00A5158D"/>
    <w:rsid w:val="00A51903"/>
    <w:rsid w:val="00A52336"/>
    <w:rsid w:val="00A52B73"/>
    <w:rsid w:val="00A531B5"/>
    <w:rsid w:val="00A53C23"/>
    <w:rsid w:val="00A53D83"/>
    <w:rsid w:val="00A5610F"/>
    <w:rsid w:val="00A56454"/>
    <w:rsid w:val="00A56611"/>
    <w:rsid w:val="00A56770"/>
    <w:rsid w:val="00A56FFD"/>
    <w:rsid w:val="00A57EA1"/>
    <w:rsid w:val="00A607CE"/>
    <w:rsid w:val="00A61D7A"/>
    <w:rsid w:val="00A62F33"/>
    <w:rsid w:val="00A6308B"/>
    <w:rsid w:val="00A63E49"/>
    <w:rsid w:val="00A648B5"/>
    <w:rsid w:val="00A65319"/>
    <w:rsid w:val="00A65367"/>
    <w:rsid w:val="00A65C9A"/>
    <w:rsid w:val="00A665BA"/>
    <w:rsid w:val="00A669C1"/>
    <w:rsid w:val="00A66A16"/>
    <w:rsid w:val="00A67DFA"/>
    <w:rsid w:val="00A70D74"/>
    <w:rsid w:val="00A7183D"/>
    <w:rsid w:val="00A71BFA"/>
    <w:rsid w:val="00A71D54"/>
    <w:rsid w:val="00A722EE"/>
    <w:rsid w:val="00A72EC4"/>
    <w:rsid w:val="00A737CC"/>
    <w:rsid w:val="00A738AC"/>
    <w:rsid w:val="00A73F0C"/>
    <w:rsid w:val="00A75948"/>
    <w:rsid w:val="00A75CC2"/>
    <w:rsid w:val="00A801C7"/>
    <w:rsid w:val="00A81742"/>
    <w:rsid w:val="00A854BB"/>
    <w:rsid w:val="00A8719C"/>
    <w:rsid w:val="00A87DEB"/>
    <w:rsid w:val="00A91138"/>
    <w:rsid w:val="00A91722"/>
    <w:rsid w:val="00A929B9"/>
    <w:rsid w:val="00A93769"/>
    <w:rsid w:val="00A939E3"/>
    <w:rsid w:val="00A94F12"/>
    <w:rsid w:val="00A95164"/>
    <w:rsid w:val="00A95267"/>
    <w:rsid w:val="00A956B9"/>
    <w:rsid w:val="00A9654A"/>
    <w:rsid w:val="00A965A8"/>
    <w:rsid w:val="00A967B3"/>
    <w:rsid w:val="00A97C7F"/>
    <w:rsid w:val="00AA099F"/>
    <w:rsid w:val="00AA15E8"/>
    <w:rsid w:val="00AA1A35"/>
    <w:rsid w:val="00AA26C4"/>
    <w:rsid w:val="00AA299F"/>
    <w:rsid w:val="00AA2B59"/>
    <w:rsid w:val="00AA3200"/>
    <w:rsid w:val="00AA35A0"/>
    <w:rsid w:val="00AA3A94"/>
    <w:rsid w:val="00AA4A4D"/>
    <w:rsid w:val="00AA55FD"/>
    <w:rsid w:val="00AA5BFA"/>
    <w:rsid w:val="00AA5D45"/>
    <w:rsid w:val="00AA65B2"/>
    <w:rsid w:val="00AA7489"/>
    <w:rsid w:val="00AA74A0"/>
    <w:rsid w:val="00AA7643"/>
    <w:rsid w:val="00AB04DF"/>
    <w:rsid w:val="00AB0637"/>
    <w:rsid w:val="00AB2458"/>
    <w:rsid w:val="00AB3408"/>
    <w:rsid w:val="00AB4172"/>
    <w:rsid w:val="00AB462C"/>
    <w:rsid w:val="00AB4CCD"/>
    <w:rsid w:val="00AB654B"/>
    <w:rsid w:val="00AB66BA"/>
    <w:rsid w:val="00AB7096"/>
    <w:rsid w:val="00AB7AEE"/>
    <w:rsid w:val="00AB7B76"/>
    <w:rsid w:val="00AB7DF1"/>
    <w:rsid w:val="00AB7EAC"/>
    <w:rsid w:val="00AC1BC4"/>
    <w:rsid w:val="00AC20AB"/>
    <w:rsid w:val="00AC3058"/>
    <w:rsid w:val="00AC31D6"/>
    <w:rsid w:val="00AC3A87"/>
    <w:rsid w:val="00AC4462"/>
    <w:rsid w:val="00AC5365"/>
    <w:rsid w:val="00AC6C9E"/>
    <w:rsid w:val="00AD0B34"/>
    <w:rsid w:val="00AD12F7"/>
    <w:rsid w:val="00AD13A5"/>
    <w:rsid w:val="00AD1CC0"/>
    <w:rsid w:val="00AD20FA"/>
    <w:rsid w:val="00AD2A98"/>
    <w:rsid w:val="00AD54A3"/>
    <w:rsid w:val="00AD5968"/>
    <w:rsid w:val="00AD6B4B"/>
    <w:rsid w:val="00AD7A8F"/>
    <w:rsid w:val="00AD7B54"/>
    <w:rsid w:val="00AE0191"/>
    <w:rsid w:val="00AE1255"/>
    <w:rsid w:val="00AE15A6"/>
    <w:rsid w:val="00AE3B0E"/>
    <w:rsid w:val="00AE40BE"/>
    <w:rsid w:val="00AE46A5"/>
    <w:rsid w:val="00AE47EB"/>
    <w:rsid w:val="00AE52FB"/>
    <w:rsid w:val="00AE5FFC"/>
    <w:rsid w:val="00AE6065"/>
    <w:rsid w:val="00AE6312"/>
    <w:rsid w:val="00AE6638"/>
    <w:rsid w:val="00AE70BA"/>
    <w:rsid w:val="00AE7D22"/>
    <w:rsid w:val="00AF0E73"/>
    <w:rsid w:val="00AF2DB4"/>
    <w:rsid w:val="00AF31B0"/>
    <w:rsid w:val="00AF407A"/>
    <w:rsid w:val="00AF5410"/>
    <w:rsid w:val="00AF5E39"/>
    <w:rsid w:val="00AF65D3"/>
    <w:rsid w:val="00AF7081"/>
    <w:rsid w:val="00AF7FFE"/>
    <w:rsid w:val="00B01E98"/>
    <w:rsid w:val="00B02560"/>
    <w:rsid w:val="00B02C91"/>
    <w:rsid w:val="00B03C2D"/>
    <w:rsid w:val="00B03F53"/>
    <w:rsid w:val="00B04816"/>
    <w:rsid w:val="00B051AA"/>
    <w:rsid w:val="00B059CC"/>
    <w:rsid w:val="00B07A1F"/>
    <w:rsid w:val="00B11C00"/>
    <w:rsid w:val="00B11ED6"/>
    <w:rsid w:val="00B1261B"/>
    <w:rsid w:val="00B1288D"/>
    <w:rsid w:val="00B12C00"/>
    <w:rsid w:val="00B12C8F"/>
    <w:rsid w:val="00B14852"/>
    <w:rsid w:val="00B14C24"/>
    <w:rsid w:val="00B159BD"/>
    <w:rsid w:val="00B20548"/>
    <w:rsid w:val="00B20F55"/>
    <w:rsid w:val="00B214A7"/>
    <w:rsid w:val="00B215B1"/>
    <w:rsid w:val="00B218CA"/>
    <w:rsid w:val="00B22496"/>
    <w:rsid w:val="00B23860"/>
    <w:rsid w:val="00B23A66"/>
    <w:rsid w:val="00B23F9C"/>
    <w:rsid w:val="00B24699"/>
    <w:rsid w:val="00B24811"/>
    <w:rsid w:val="00B27788"/>
    <w:rsid w:val="00B27F89"/>
    <w:rsid w:val="00B30705"/>
    <w:rsid w:val="00B3093B"/>
    <w:rsid w:val="00B31FB7"/>
    <w:rsid w:val="00B323AE"/>
    <w:rsid w:val="00B3273B"/>
    <w:rsid w:val="00B33289"/>
    <w:rsid w:val="00B33704"/>
    <w:rsid w:val="00B34875"/>
    <w:rsid w:val="00B35F3D"/>
    <w:rsid w:val="00B36B1F"/>
    <w:rsid w:val="00B36D6C"/>
    <w:rsid w:val="00B36ED6"/>
    <w:rsid w:val="00B37161"/>
    <w:rsid w:val="00B373F4"/>
    <w:rsid w:val="00B427F6"/>
    <w:rsid w:val="00B4282C"/>
    <w:rsid w:val="00B42E33"/>
    <w:rsid w:val="00B45347"/>
    <w:rsid w:val="00B45CC0"/>
    <w:rsid w:val="00B460D5"/>
    <w:rsid w:val="00B46622"/>
    <w:rsid w:val="00B46776"/>
    <w:rsid w:val="00B467F7"/>
    <w:rsid w:val="00B46F0B"/>
    <w:rsid w:val="00B47426"/>
    <w:rsid w:val="00B47733"/>
    <w:rsid w:val="00B477CE"/>
    <w:rsid w:val="00B47BE2"/>
    <w:rsid w:val="00B50463"/>
    <w:rsid w:val="00B5247C"/>
    <w:rsid w:val="00B52A3E"/>
    <w:rsid w:val="00B52FCE"/>
    <w:rsid w:val="00B5368E"/>
    <w:rsid w:val="00B53DC2"/>
    <w:rsid w:val="00B53F5A"/>
    <w:rsid w:val="00B5460A"/>
    <w:rsid w:val="00B5503D"/>
    <w:rsid w:val="00B557D9"/>
    <w:rsid w:val="00B56D6F"/>
    <w:rsid w:val="00B571BD"/>
    <w:rsid w:val="00B57942"/>
    <w:rsid w:val="00B60102"/>
    <w:rsid w:val="00B6234F"/>
    <w:rsid w:val="00B6319D"/>
    <w:rsid w:val="00B63771"/>
    <w:rsid w:val="00B64220"/>
    <w:rsid w:val="00B64DE5"/>
    <w:rsid w:val="00B65CE8"/>
    <w:rsid w:val="00B66130"/>
    <w:rsid w:val="00B66FD3"/>
    <w:rsid w:val="00B674A0"/>
    <w:rsid w:val="00B67566"/>
    <w:rsid w:val="00B70A98"/>
    <w:rsid w:val="00B70FBD"/>
    <w:rsid w:val="00B71351"/>
    <w:rsid w:val="00B73131"/>
    <w:rsid w:val="00B735FA"/>
    <w:rsid w:val="00B74926"/>
    <w:rsid w:val="00B74D55"/>
    <w:rsid w:val="00B751A1"/>
    <w:rsid w:val="00B7586C"/>
    <w:rsid w:val="00B75C00"/>
    <w:rsid w:val="00B75C1A"/>
    <w:rsid w:val="00B76496"/>
    <w:rsid w:val="00B7695B"/>
    <w:rsid w:val="00B776B6"/>
    <w:rsid w:val="00B80770"/>
    <w:rsid w:val="00B81FFA"/>
    <w:rsid w:val="00B82192"/>
    <w:rsid w:val="00B82A0C"/>
    <w:rsid w:val="00B82C48"/>
    <w:rsid w:val="00B83067"/>
    <w:rsid w:val="00B8355D"/>
    <w:rsid w:val="00B83688"/>
    <w:rsid w:val="00B8374B"/>
    <w:rsid w:val="00B8445C"/>
    <w:rsid w:val="00B845D5"/>
    <w:rsid w:val="00B8641F"/>
    <w:rsid w:val="00B86C99"/>
    <w:rsid w:val="00B878D5"/>
    <w:rsid w:val="00B90AC1"/>
    <w:rsid w:val="00B922B6"/>
    <w:rsid w:val="00B93996"/>
    <w:rsid w:val="00B93B20"/>
    <w:rsid w:val="00B9487F"/>
    <w:rsid w:val="00B95100"/>
    <w:rsid w:val="00B95B47"/>
    <w:rsid w:val="00B96274"/>
    <w:rsid w:val="00B97909"/>
    <w:rsid w:val="00BA00A0"/>
    <w:rsid w:val="00BA2484"/>
    <w:rsid w:val="00BA296E"/>
    <w:rsid w:val="00BA2BD9"/>
    <w:rsid w:val="00BA6E86"/>
    <w:rsid w:val="00BA7827"/>
    <w:rsid w:val="00BA798C"/>
    <w:rsid w:val="00BB0000"/>
    <w:rsid w:val="00BB0038"/>
    <w:rsid w:val="00BB08BC"/>
    <w:rsid w:val="00BB0B2F"/>
    <w:rsid w:val="00BB0C69"/>
    <w:rsid w:val="00BB2465"/>
    <w:rsid w:val="00BB27C8"/>
    <w:rsid w:val="00BB2A47"/>
    <w:rsid w:val="00BB4057"/>
    <w:rsid w:val="00BB4B6C"/>
    <w:rsid w:val="00BB5665"/>
    <w:rsid w:val="00BB5DF0"/>
    <w:rsid w:val="00BB627C"/>
    <w:rsid w:val="00BB7965"/>
    <w:rsid w:val="00BB7E24"/>
    <w:rsid w:val="00BC08BA"/>
    <w:rsid w:val="00BC13E7"/>
    <w:rsid w:val="00BC151D"/>
    <w:rsid w:val="00BC180C"/>
    <w:rsid w:val="00BC1ED1"/>
    <w:rsid w:val="00BC34A8"/>
    <w:rsid w:val="00BC41F5"/>
    <w:rsid w:val="00BC4AF7"/>
    <w:rsid w:val="00BC4B35"/>
    <w:rsid w:val="00BC5D9A"/>
    <w:rsid w:val="00BC655A"/>
    <w:rsid w:val="00BC65E4"/>
    <w:rsid w:val="00BC6E23"/>
    <w:rsid w:val="00BD0F75"/>
    <w:rsid w:val="00BD31B8"/>
    <w:rsid w:val="00BD336B"/>
    <w:rsid w:val="00BD3BE3"/>
    <w:rsid w:val="00BD4910"/>
    <w:rsid w:val="00BD5763"/>
    <w:rsid w:val="00BD5DF6"/>
    <w:rsid w:val="00BD618E"/>
    <w:rsid w:val="00BD6464"/>
    <w:rsid w:val="00BD668F"/>
    <w:rsid w:val="00BD6E8F"/>
    <w:rsid w:val="00BD7815"/>
    <w:rsid w:val="00BD7FC2"/>
    <w:rsid w:val="00BE10CD"/>
    <w:rsid w:val="00BE1649"/>
    <w:rsid w:val="00BE23A8"/>
    <w:rsid w:val="00BE26F8"/>
    <w:rsid w:val="00BE2B56"/>
    <w:rsid w:val="00BE31B9"/>
    <w:rsid w:val="00BE3FFA"/>
    <w:rsid w:val="00BE67A7"/>
    <w:rsid w:val="00BE6A58"/>
    <w:rsid w:val="00BE7435"/>
    <w:rsid w:val="00BF197F"/>
    <w:rsid w:val="00BF2494"/>
    <w:rsid w:val="00BF3AFC"/>
    <w:rsid w:val="00BF41EB"/>
    <w:rsid w:val="00BF505F"/>
    <w:rsid w:val="00BF5B96"/>
    <w:rsid w:val="00BF6A56"/>
    <w:rsid w:val="00BF6A8F"/>
    <w:rsid w:val="00BF6AA2"/>
    <w:rsid w:val="00BF7D38"/>
    <w:rsid w:val="00C01464"/>
    <w:rsid w:val="00C02C7B"/>
    <w:rsid w:val="00C02D13"/>
    <w:rsid w:val="00C0303A"/>
    <w:rsid w:val="00C035AD"/>
    <w:rsid w:val="00C0372B"/>
    <w:rsid w:val="00C041A9"/>
    <w:rsid w:val="00C04910"/>
    <w:rsid w:val="00C0549D"/>
    <w:rsid w:val="00C0584E"/>
    <w:rsid w:val="00C061DD"/>
    <w:rsid w:val="00C06304"/>
    <w:rsid w:val="00C06546"/>
    <w:rsid w:val="00C0735B"/>
    <w:rsid w:val="00C07CA0"/>
    <w:rsid w:val="00C10369"/>
    <w:rsid w:val="00C103BB"/>
    <w:rsid w:val="00C11525"/>
    <w:rsid w:val="00C115FC"/>
    <w:rsid w:val="00C11721"/>
    <w:rsid w:val="00C117F7"/>
    <w:rsid w:val="00C12DB8"/>
    <w:rsid w:val="00C12DC1"/>
    <w:rsid w:val="00C14246"/>
    <w:rsid w:val="00C14281"/>
    <w:rsid w:val="00C14EB7"/>
    <w:rsid w:val="00C1562F"/>
    <w:rsid w:val="00C1567B"/>
    <w:rsid w:val="00C15A62"/>
    <w:rsid w:val="00C15CDF"/>
    <w:rsid w:val="00C15DE2"/>
    <w:rsid w:val="00C16A9E"/>
    <w:rsid w:val="00C16BC9"/>
    <w:rsid w:val="00C16DD3"/>
    <w:rsid w:val="00C17A70"/>
    <w:rsid w:val="00C20913"/>
    <w:rsid w:val="00C20CCC"/>
    <w:rsid w:val="00C2180E"/>
    <w:rsid w:val="00C22787"/>
    <w:rsid w:val="00C22E73"/>
    <w:rsid w:val="00C23704"/>
    <w:rsid w:val="00C23CC9"/>
    <w:rsid w:val="00C25665"/>
    <w:rsid w:val="00C27BD5"/>
    <w:rsid w:val="00C30A41"/>
    <w:rsid w:val="00C31D28"/>
    <w:rsid w:val="00C33C3A"/>
    <w:rsid w:val="00C33E84"/>
    <w:rsid w:val="00C342E8"/>
    <w:rsid w:val="00C36DD7"/>
    <w:rsid w:val="00C36E4C"/>
    <w:rsid w:val="00C37369"/>
    <w:rsid w:val="00C376CA"/>
    <w:rsid w:val="00C379EE"/>
    <w:rsid w:val="00C37C2A"/>
    <w:rsid w:val="00C402E9"/>
    <w:rsid w:val="00C4078A"/>
    <w:rsid w:val="00C43261"/>
    <w:rsid w:val="00C438CA"/>
    <w:rsid w:val="00C44808"/>
    <w:rsid w:val="00C44AD0"/>
    <w:rsid w:val="00C44CF2"/>
    <w:rsid w:val="00C4507F"/>
    <w:rsid w:val="00C467E3"/>
    <w:rsid w:val="00C50C26"/>
    <w:rsid w:val="00C50E5A"/>
    <w:rsid w:val="00C51332"/>
    <w:rsid w:val="00C53745"/>
    <w:rsid w:val="00C560E7"/>
    <w:rsid w:val="00C561C2"/>
    <w:rsid w:val="00C56664"/>
    <w:rsid w:val="00C56C54"/>
    <w:rsid w:val="00C57659"/>
    <w:rsid w:val="00C57DCC"/>
    <w:rsid w:val="00C609EC"/>
    <w:rsid w:val="00C60ACC"/>
    <w:rsid w:val="00C60C4D"/>
    <w:rsid w:val="00C60D12"/>
    <w:rsid w:val="00C63F27"/>
    <w:rsid w:val="00C64396"/>
    <w:rsid w:val="00C647D2"/>
    <w:rsid w:val="00C64825"/>
    <w:rsid w:val="00C64868"/>
    <w:rsid w:val="00C6570B"/>
    <w:rsid w:val="00C659F9"/>
    <w:rsid w:val="00C65C6E"/>
    <w:rsid w:val="00C65D02"/>
    <w:rsid w:val="00C664C5"/>
    <w:rsid w:val="00C67684"/>
    <w:rsid w:val="00C67810"/>
    <w:rsid w:val="00C67D1A"/>
    <w:rsid w:val="00C70A5E"/>
    <w:rsid w:val="00C720A0"/>
    <w:rsid w:val="00C731A7"/>
    <w:rsid w:val="00C73A1E"/>
    <w:rsid w:val="00C74B04"/>
    <w:rsid w:val="00C74F8D"/>
    <w:rsid w:val="00C753FF"/>
    <w:rsid w:val="00C75A41"/>
    <w:rsid w:val="00C75DC5"/>
    <w:rsid w:val="00C75F20"/>
    <w:rsid w:val="00C762FC"/>
    <w:rsid w:val="00C777A5"/>
    <w:rsid w:val="00C810D2"/>
    <w:rsid w:val="00C81D91"/>
    <w:rsid w:val="00C8235B"/>
    <w:rsid w:val="00C83EF3"/>
    <w:rsid w:val="00C84BF1"/>
    <w:rsid w:val="00C8533F"/>
    <w:rsid w:val="00C86834"/>
    <w:rsid w:val="00C878B9"/>
    <w:rsid w:val="00C90CCB"/>
    <w:rsid w:val="00C90D78"/>
    <w:rsid w:val="00C90FE1"/>
    <w:rsid w:val="00C9201C"/>
    <w:rsid w:val="00C92D48"/>
    <w:rsid w:val="00C943BE"/>
    <w:rsid w:val="00C948A8"/>
    <w:rsid w:val="00C96231"/>
    <w:rsid w:val="00C96D32"/>
    <w:rsid w:val="00C97689"/>
    <w:rsid w:val="00C97BE3"/>
    <w:rsid w:val="00CA0796"/>
    <w:rsid w:val="00CA1957"/>
    <w:rsid w:val="00CA286E"/>
    <w:rsid w:val="00CA2B65"/>
    <w:rsid w:val="00CA4001"/>
    <w:rsid w:val="00CA4250"/>
    <w:rsid w:val="00CA458B"/>
    <w:rsid w:val="00CA638D"/>
    <w:rsid w:val="00CB0ABB"/>
    <w:rsid w:val="00CB1AD5"/>
    <w:rsid w:val="00CB2F8C"/>
    <w:rsid w:val="00CB5CA4"/>
    <w:rsid w:val="00CB6279"/>
    <w:rsid w:val="00CB6829"/>
    <w:rsid w:val="00CB767A"/>
    <w:rsid w:val="00CC0535"/>
    <w:rsid w:val="00CC0723"/>
    <w:rsid w:val="00CC0764"/>
    <w:rsid w:val="00CC0F17"/>
    <w:rsid w:val="00CC1E44"/>
    <w:rsid w:val="00CC27DC"/>
    <w:rsid w:val="00CC2C9E"/>
    <w:rsid w:val="00CC5D8D"/>
    <w:rsid w:val="00CD016B"/>
    <w:rsid w:val="00CD0572"/>
    <w:rsid w:val="00CD0700"/>
    <w:rsid w:val="00CD0E31"/>
    <w:rsid w:val="00CD40D4"/>
    <w:rsid w:val="00CD4851"/>
    <w:rsid w:val="00CD6307"/>
    <w:rsid w:val="00CD6BC3"/>
    <w:rsid w:val="00CD7F7B"/>
    <w:rsid w:val="00CE0037"/>
    <w:rsid w:val="00CE0A4C"/>
    <w:rsid w:val="00CE2709"/>
    <w:rsid w:val="00CE3468"/>
    <w:rsid w:val="00CE4186"/>
    <w:rsid w:val="00CE4401"/>
    <w:rsid w:val="00CE463A"/>
    <w:rsid w:val="00CE49F3"/>
    <w:rsid w:val="00CE5627"/>
    <w:rsid w:val="00CE6FBF"/>
    <w:rsid w:val="00CE7152"/>
    <w:rsid w:val="00CF00DE"/>
    <w:rsid w:val="00CF0A34"/>
    <w:rsid w:val="00CF0E24"/>
    <w:rsid w:val="00CF0F4B"/>
    <w:rsid w:val="00CF1018"/>
    <w:rsid w:val="00CF1BE7"/>
    <w:rsid w:val="00CF3F65"/>
    <w:rsid w:val="00CF43B3"/>
    <w:rsid w:val="00CF6CF7"/>
    <w:rsid w:val="00CF7347"/>
    <w:rsid w:val="00CF74C6"/>
    <w:rsid w:val="00CF7734"/>
    <w:rsid w:val="00CF7FC0"/>
    <w:rsid w:val="00D011B7"/>
    <w:rsid w:val="00D0132A"/>
    <w:rsid w:val="00D01ED3"/>
    <w:rsid w:val="00D02802"/>
    <w:rsid w:val="00D03696"/>
    <w:rsid w:val="00D05EA9"/>
    <w:rsid w:val="00D06389"/>
    <w:rsid w:val="00D06630"/>
    <w:rsid w:val="00D0691A"/>
    <w:rsid w:val="00D07FE2"/>
    <w:rsid w:val="00D12B8F"/>
    <w:rsid w:val="00D147B1"/>
    <w:rsid w:val="00D15CAC"/>
    <w:rsid w:val="00D1633D"/>
    <w:rsid w:val="00D1655C"/>
    <w:rsid w:val="00D16D52"/>
    <w:rsid w:val="00D16DCD"/>
    <w:rsid w:val="00D17958"/>
    <w:rsid w:val="00D21083"/>
    <w:rsid w:val="00D2146B"/>
    <w:rsid w:val="00D21C64"/>
    <w:rsid w:val="00D240FC"/>
    <w:rsid w:val="00D24B24"/>
    <w:rsid w:val="00D24C1F"/>
    <w:rsid w:val="00D24F40"/>
    <w:rsid w:val="00D25EF2"/>
    <w:rsid w:val="00D260A3"/>
    <w:rsid w:val="00D276C0"/>
    <w:rsid w:val="00D3155B"/>
    <w:rsid w:val="00D32410"/>
    <w:rsid w:val="00D34B8A"/>
    <w:rsid w:val="00D3530E"/>
    <w:rsid w:val="00D36673"/>
    <w:rsid w:val="00D37390"/>
    <w:rsid w:val="00D376AD"/>
    <w:rsid w:val="00D42380"/>
    <w:rsid w:val="00D42D08"/>
    <w:rsid w:val="00D44471"/>
    <w:rsid w:val="00D45296"/>
    <w:rsid w:val="00D458A8"/>
    <w:rsid w:val="00D45B3B"/>
    <w:rsid w:val="00D4647E"/>
    <w:rsid w:val="00D46D6E"/>
    <w:rsid w:val="00D46DF7"/>
    <w:rsid w:val="00D46E26"/>
    <w:rsid w:val="00D47043"/>
    <w:rsid w:val="00D47598"/>
    <w:rsid w:val="00D4763B"/>
    <w:rsid w:val="00D47806"/>
    <w:rsid w:val="00D50FD5"/>
    <w:rsid w:val="00D5281E"/>
    <w:rsid w:val="00D54217"/>
    <w:rsid w:val="00D54627"/>
    <w:rsid w:val="00D54A0F"/>
    <w:rsid w:val="00D55687"/>
    <w:rsid w:val="00D557BD"/>
    <w:rsid w:val="00D5757A"/>
    <w:rsid w:val="00D57715"/>
    <w:rsid w:val="00D60311"/>
    <w:rsid w:val="00D60DE1"/>
    <w:rsid w:val="00D6112B"/>
    <w:rsid w:val="00D6124B"/>
    <w:rsid w:val="00D62327"/>
    <w:rsid w:val="00D6341C"/>
    <w:rsid w:val="00D65231"/>
    <w:rsid w:val="00D65E41"/>
    <w:rsid w:val="00D6671E"/>
    <w:rsid w:val="00D66D83"/>
    <w:rsid w:val="00D701E1"/>
    <w:rsid w:val="00D70CC9"/>
    <w:rsid w:val="00D71F60"/>
    <w:rsid w:val="00D724BD"/>
    <w:rsid w:val="00D72E05"/>
    <w:rsid w:val="00D73D2D"/>
    <w:rsid w:val="00D7426F"/>
    <w:rsid w:val="00D744AC"/>
    <w:rsid w:val="00D75434"/>
    <w:rsid w:val="00D7601F"/>
    <w:rsid w:val="00D777CF"/>
    <w:rsid w:val="00D80625"/>
    <w:rsid w:val="00D809C5"/>
    <w:rsid w:val="00D80A9D"/>
    <w:rsid w:val="00D81298"/>
    <w:rsid w:val="00D816E4"/>
    <w:rsid w:val="00D820A6"/>
    <w:rsid w:val="00D83CD1"/>
    <w:rsid w:val="00D841AD"/>
    <w:rsid w:val="00D84D5A"/>
    <w:rsid w:val="00D90467"/>
    <w:rsid w:val="00D90BF8"/>
    <w:rsid w:val="00D91E0B"/>
    <w:rsid w:val="00D91FD7"/>
    <w:rsid w:val="00D9368E"/>
    <w:rsid w:val="00D9438E"/>
    <w:rsid w:val="00D97331"/>
    <w:rsid w:val="00D97844"/>
    <w:rsid w:val="00DA1799"/>
    <w:rsid w:val="00DA2BB3"/>
    <w:rsid w:val="00DA3E3F"/>
    <w:rsid w:val="00DA57E7"/>
    <w:rsid w:val="00DA6B93"/>
    <w:rsid w:val="00DA70A5"/>
    <w:rsid w:val="00DA71D0"/>
    <w:rsid w:val="00DA7905"/>
    <w:rsid w:val="00DB023F"/>
    <w:rsid w:val="00DB0F08"/>
    <w:rsid w:val="00DB1EB7"/>
    <w:rsid w:val="00DB31F1"/>
    <w:rsid w:val="00DB5303"/>
    <w:rsid w:val="00DB74FA"/>
    <w:rsid w:val="00DB765F"/>
    <w:rsid w:val="00DB7679"/>
    <w:rsid w:val="00DC2B2D"/>
    <w:rsid w:val="00DC31D1"/>
    <w:rsid w:val="00DC46E9"/>
    <w:rsid w:val="00DC493F"/>
    <w:rsid w:val="00DC4C71"/>
    <w:rsid w:val="00DC6679"/>
    <w:rsid w:val="00DC66DB"/>
    <w:rsid w:val="00DD0134"/>
    <w:rsid w:val="00DD1B62"/>
    <w:rsid w:val="00DD1E5E"/>
    <w:rsid w:val="00DD2E35"/>
    <w:rsid w:val="00DD307B"/>
    <w:rsid w:val="00DD4230"/>
    <w:rsid w:val="00DD4DD1"/>
    <w:rsid w:val="00DD65B3"/>
    <w:rsid w:val="00DE0B85"/>
    <w:rsid w:val="00DE10B5"/>
    <w:rsid w:val="00DE2256"/>
    <w:rsid w:val="00DE3466"/>
    <w:rsid w:val="00DE4DD0"/>
    <w:rsid w:val="00DE7310"/>
    <w:rsid w:val="00DE7B88"/>
    <w:rsid w:val="00DF1043"/>
    <w:rsid w:val="00DF12B3"/>
    <w:rsid w:val="00DF264F"/>
    <w:rsid w:val="00DF2E67"/>
    <w:rsid w:val="00DF37FD"/>
    <w:rsid w:val="00DF392A"/>
    <w:rsid w:val="00DF4553"/>
    <w:rsid w:val="00DF4BBB"/>
    <w:rsid w:val="00DF51A7"/>
    <w:rsid w:val="00DF6C93"/>
    <w:rsid w:val="00DF77BB"/>
    <w:rsid w:val="00DF7BB3"/>
    <w:rsid w:val="00E02402"/>
    <w:rsid w:val="00E02F1D"/>
    <w:rsid w:val="00E032AD"/>
    <w:rsid w:val="00E03BBA"/>
    <w:rsid w:val="00E03BCC"/>
    <w:rsid w:val="00E03BFE"/>
    <w:rsid w:val="00E03D76"/>
    <w:rsid w:val="00E0430F"/>
    <w:rsid w:val="00E0439D"/>
    <w:rsid w:val="00E04B60"/>
    <w:rsid w:val="00E06274"/>
    <w:rsid w:val="00E06CF0"/>
    <w:rsid w:val="00E06F06"/>
    <w:rsid w:val="00E1050A"/>
    <w:rsid w:val="00E114E9"/>
    <w:rsid w:val="00E12F7D"/>
    <w:rsid w:val="00E1324A"/>
    <w:rsid w:val="00E133A9"/>
    <w:rsid w:val="00E140BE"/>
    <w:rsid w:val="00E151FE"/>
    <w:rsid w:val="00E161F2"/>
    <w:rsid w:val="00E16D14"/>
    <w:rsid w:val="00E17B67"/>
    <w:rsid w:val="00E17C31"/>
    <w:rsid w:val="00E2043D"/>
    <w:rsid w:val="00E21767"/>
    <w:rsid w:val="00E21C34"/>
    <w:rsid w:val="00E22159"/>
    <w:rsid w:val="00E22734"/>
    <w:rsid w:val="00E229BA"/>
    <w:rsid w:val="00E22FF2"/>
    <w:rsid w:val="00E25996"/>
    <w:rsid w:val="00E25CED"/>
    <w:rsid w:val="00E26884"/>
    <w:rsid w:val="00E2734C"/>
    <w:rsid w:val="00E311F9"/>
    <w:rsid w:val="00E31F5B"/>
    <w:rsid w:val="00E32966"/>
    <w:rsid w:val="00E33F08"/>
    <w:rsid w:val="00E3460E"/>
    <w:rsid w:val="00E3466C"/>
    <w:rsid w:val="00E34CA2"/>
    <w:rsid w:val="00E35283"/>
    <w:rsid w:val="00E35766"/>
    <w:rsid w:val="00E36C5A"/>
    <w:rsid w:val="00E40F85"/>
    <w:rsid w:val="00E41128"/>
    <w:rsid w:val="00E4194B"/>
    <w:rsid w:val="00E42356"/>
    <w:rsid w:val="00E42BF3"/>
    <w:rsid w:val="00E43C7F"/>
    <w:rsid w:val="00E444EC"/>
    <w:rsid w:val="00E44FED"/>
    <w:rsid w:val="00E44FFD"/>
    <w:rsid w:val="00E4516E"/>
    <w:rsid w:val="00E453CE"/>
    <w:rsid w:val="00E4574F"/>
    <w:rsid w:val="00E4619F"/>
    <w:rsid w:val="00E46466"/>
    <w:rsid w:val="00E47038"/>
    <w:rsid w:val="00E476E4"/>
    <w:rsid w:val="00E50974"/>
    <w:rsid w:val="00E515B4"/>
    <w:rsid w:val="00E519A4"/>
    <w:rsid w:val="00E51E21"/>
    <w:rsid w:val="00E52145"/>
    <w:rsid w:val="00E52211"/>
    <w:rsid w:val="00E528E2"/>
    <w:rsid w:val="00E52CA4"/>
    <w:rsid w:val="00E52F9F"/>
    <w:rsid w:val="00E532F9"/>
    <w:rsid w:val="00E533A8"/>
    <w:rsid w:val="00E533D1"/>
    <w:rsid w:val="00E534C5"/>
    <w:rsid w:val="00E53D4C"/>
    <w:rsid w:val="00E56AF7"/>
    <w:rsid w:val="00E577CF"/>
    <w:rsid w:val="00E57B5A"/>
    <w:rsid w:val="00E57F52"/>
    <w:rsid w:val="00E61422"/>
    <w:rsid w:val="00E61955"/>
    <w:rsid w:val="00E6197B"/>
    <w:rsid w:val="00E62042"/>
    <w:rsid w:val="00E62624"/>
    <w:rsid w:val="00E631AE"/>
    <w:rsid w:val="00E64A53"/>
    <w:rsid w:val="00E667C6"/>
    <w:rsid w:val="00E67941"/>
    <w:rsid w:val="00E67ED9"/>
    <w:rsid w:val="00E706E1"/>
    <w:rsid w:val="00E72346"/>
    <w:rsid w:val="00E72580"/>
    <w:rsid w:val="00E725DA"/>
    <w:rsid w:val="00E726B2"/>
    <w:rsid w:val="00E726C1"/>
    <w:rsid w:val="00E72EAB"/>
    <w:rsid w:val="00E72EBF"/>
    <w:rsid w:val="00E736B9"/>
    <w:rsid w:val="00E74F19"/>
    <w:rsid w:val="00E75BA8"/>
    <w:rsid w:val="00E7610B"/>
    <w:rsid w:val="00E7619E"/>
    <w:rsid w:val="00E7654A"/>
    <w:rsid w:val="00E766E6"/>
    <w:rsid w:val="00E812C7"/>
    <w:rsid w:val="00E8206B"/>
    <w:rsid w:val="00E82D4A"/>
    <w:rsid w:val="00E84BE4"/>
    <w:rsid w:val="00E85CA3"/>
    <w:rsid w:val="00E86D94"/>
    <w:rsid w:val="00E872E1"/>
    <w:rsid w:val="00E8784D"/>
    <w:rsid w:val="00E90272"/>
    <w:rsid w:val="00E90D91"/>
    <w:rsid w:val="00E91090"/>
    <w:rsid w:val="00E92031"/>
    <w:rsid w:val="00E92B4E"/>
    <w:rsid w:val="00E93293"/>
    <w:rsid w:val="00E947FB"/>
    <w:rsid w:val="00E948DC"/>
    <w:rsid w:val="00E952DC"/>
    <w:rsid w:val="00E964CA"/>
    <w:rsid w:val="00E97E9A"/>
    <w:rsid w:val="00EA0429"/>
    <w:rsid w:val="00EA0602"/>
    <w:rsid w:val="00EA0CE5"/>
    <w:rsid w:val="00EA0D49"/>
    <w:rsid w:val="00EA107F"/>
    <w:rsid w:val="00EA1AFD"/>
    <w:rsid w:val="00EA22BA"/>
    <w:rsid w:val="00EA2794"/>
    <w:rsid w:val="00EA2BB2"/>
    <w:rsid w:val="00EA2EC7"/>
    <w:rsid w:val="00EA2F15"/>
    <w:rsid w:val="00EA31DF"/>
    <w:rsid w:val="00EA48F0"/>
    <w:rsid w:val="00EA4C36"/>
    <w:rsid w:val="00EA51D4"/>
    <w:rsid w:val="00EA56E2"/>
    <w:rsid w:val="00EA5925"/>
    <w:rsid w:val="00EA6490"/>
    <w:rsid w:val="00EA7DC2"/>
    <w:rsid w:val="00EB013A"/>
    <w:rsid w:val="00EB0466"/>
    <w:rsid w:val="00EB2424"/>
    <w:rsid w:val="00EB2B79"/>
    <w:rsid w:val="00EB3816"/>
    <w:rsid w:val="00EB48B5"/>
    <w:rsid w:val="00EB4CD5"/>
    <w:rsid w:val="00EB5229"/>
    <w:rsid w:val="00EB5550"/>
    <w:rsid w:val="00EB5B40"/>
    <w:rsid w:val="00EB6ECD"/>
    <w:rsid w:val="00EB749C"/>
    <w:rsid w:val="00EC0AE7"/>
    <w:rsid w:val="00EC0D0D"/>
    <w:rsid w:val="00EC151D"/>
    <w:rsid w:val="00EC1549"/>
    <w:rsid w:val="00EC2038"/>
    <w:rsid w:val="00EC2B87"/>
    <w:rsid w:val="00EC4D16"/>
    <w:rsid w:val="00EC5AD5"/>
    <w:rsid w:val="00EC60C8"/>
    <w:rsid w:val="00ED1EE0"/>
    <w:rsid w:val="00ED2F99"/>
    <w:rsid w:val="00ED391B"/>
    <w:rsid w:val="00ED3D68"/>
    <w:rsid w:val="00ED402B"/>
    <w:rsid w:val="00ED40CA"/>
    <w:rsid w:val="00ED5205"/>
    <w:rsid w:val="00ED5358"/>
    <w:rsid w:val="00ED5ACD"/>
    <w:rsid w:val="00ED6281"/>
    <w:rsid w:val="00ED6FB1"/>
    <w:rsid w:val="00EE0813"/>
    <w:rsid w:val="00EE21C1"/>
    <w:rsid w:val="00EE2690"/>
    <w:rsid w:val="00EE349D"/>
    <w:rsid w:val="00EE3DEA"/>
    <w:rsid w:val="00EE3F65"/>
    <w:rsid w:val="00EE3FAC"/>
    <w:rsid w:val="00EE459B"/>
    <w:rsid w:val="00EE5716"/>
    <w:rsid w:val="00EE59AC"/>
    <w:rsid w:val="00EF0169"/>
    <w:rsid w:val="00EF07EA"/>
    <w:rsid w:val="00EF19AC"/>
    <w:rsid w:val="00EF2D66"/>
    <w:rsid w:val="00EF2F38"/>
    <w:rsid w:val="00EF2FB1"/>
    <w:rsid w:val="00EF4F84"/>
    <w:rsid w:val="00EF5438"/>
    <w:rsid w:val="00EF68C1"/>
    <w:rsid w:val="00EF701E"/>
    <w:rsid w:val="00F007BC"/>
    <w:rsid w:val="00F01D1B"/>
    <w:rsid w:val="00F03A85"/>
    <w:rsid w:val="00F047B9"/>
    <w:rsid w:val="00F058D8"/>
    <w:rsid w:val="00F05BB8"/>
    <w:rsid w:val="00F06553"/>
    <w:rsid w:val="00F0682C"/>
    <w:rsid w:val="00F069AE"/>
    <w:rsid w:val="00F122B8"/>
    <w:rsid w:val="00F13A8D"/>
    <w:rsid w:val="00F13DBF"/>
    <w:rsid w:val="00F14D3F"/>
    <w:rsid w:val="00F14D43"/>
    <w:rsid w:val="00F16ADF"/>
    <w:rsid w:val="00F16CF3"/>
    <w:rsid w:val="00F17195"/>
    <w:rsid w:val="00F1746E"/>
    <w:rsid w:val="00F21CB9"/>
    <w:rsid w:val="00F2236A"/>
    <w:rsid w:val="00F230FF"/>
    <w:rsid w:val="00F2343D"/>
    <w:rsid w:val="00F23B57"/>
    <w:rsid w:val="00F23F4F"/>
    <w:rsid w:val="00F24910"/>
    <w:rsid w:val="00F255FE"/>
    <w:rsid w:val="00F25DEA"/>
    <w:rsid w:val="00F25DFC"/>
    <w:rsid w:val="00F26517"/>
    <w:rsid w:val="00F273B7"/>
    <w:rsid w:val="00F274C9"/>
    <w:rsid w:val="00F27D29"/>
    <w:rsid w:val="00F3064E"/>
    <w:rsid w:val="00F31A25"/>
    <w:rsid w:val="00F3304F"/>
    <w:rsid w:val="00F33943"/>
    <w:rsid w:val="00F33E28"/>
    <w:rsid w:val="00F3482F"/>
    <w:rsid w:val="00F350C2"/>
    <w:rsid w:val="00F3591D"/>
    <w:rsid w:val="00F411F0"/>
    <w:rsid w:val="00F41BC7"/>
    <w:rsid w:val="00F428A7"/>
    <w:rsid w:val="00F42976"/>
    <w:rsid w:val="00F429C7"/>
    <w:rsid w:val="00F43642"/>
    <w:rsid w:val="00F43E16"/>
    <w:rsid w:val="00F43E7F"/>
    <w:rsid w:val="00F46D0F"/>
    <w:rsid w:val="00F478CB"/>
    <w:rsid w:val="00F507FB"/>
    <w:rsid w:val="00F509F2"/>
    <w:rsid w:val="00F529AF"/>
    <w:rsid w:val="00F52BA2"/>
    <w:rsid w:val="00F52FDE"/>
    <w:rsid w:val="00F5380E"/>
    <w:rsid w:val="00F56FF8"/>
    <w:rsid w:val="00F62F4B"/>
    <w:rsid w:val="00F6309B"/>
    <w:rsid w:val="00F6349A"/>
    <w:rsid w:val="00F64463"/>
    <w:rsid w:val="00F6551F"/>
    <w:rsid w:val="00F660F6"/>
    <w:rsid w:val="00F66119"/>
    <w:rsid w:val="00F664A9"/>
    <w:rsid w:val="00F66AE2"/>
    <w:rsid w:val="00F67D82"/>
    <w:rsid w:val="00F67F4B"/>
    <w:rsid w:val="00F700C8"/>
    <w:rsid w:val="00F71049"/>
    <w:rsid w:val="00F729F2"/>
    <w:rsid w:val="00F72A1C"/>
    <w:rsid w:val="00F72B80"/>
    <w:rsid w:val="00F72D2E"/>
    <w:rsid w:val="00F73523"/>
    <w:rsid w:val="00F73851"/>
    <w:rsid w:val="00F73C55"/>
    <w:rsid w:val="00F74D9D"/>
    <w:rsid w:val="00F74DFC"/>
    <w:rsid w:val="00F766EC"/>
    <w:rsid w:val="00F77AFC"/>
    <w:rsid w:val="00F77CD2"/>
    <w:rsid w:val="00F77D8D"/>
    <w:rsid w:val="00F77FBD"/>
    <w:rsid w:val="00F80CF9"/>
    <w:rsid w:val="00F80D46"/>
    <w:rsid w:val="00F81C00"/>
    <w:rsid w:val="00F8246F"/>
    <w:rsid w:val="00F828D0"/>
    <w:rsid w:val="00F83AB7"/>
    <w:rsid w:val="00F83CE3"/>
    <w:rsid w:val="00F84771"/>
    <w:rsid w:val="00F850A8"/>
    <w:rsid w:val="00F867A5"/>
    <w:rsid w:val="00F86B64"/>
    <w:rsid w:val="00F86D24"/>
    <w:rsid w:val="00F8710E"/>
    <w:rsid w:val="00F90670"/>
    <w:rsid w:val="00F90BB6"/>
    <w:rsid w:val="00F90C44"/>
    <w:rsid w:val="00F91484"/>
    <w:rsid w:val="00F916B5"/>
    <w:rsid w:val="00F91A2E"/>
    <w:rsid w:val="00F9353A"/>
    <w:rsid w:val="00F93997"/>
    <w:rsid w:val="00F947B3"/>
    <w:rsid w:val="00F94B47"/>
    <w:rsid w:val="00F964FD"/>
    <w:rsid w:val="00F96CBC"/>
    <w:rsid w:val="00FA0FB4"/>
    <w:rsid w:val="00FA118E"/>
    <w:rsid w:val="00FA2846"/>
    <w:rsid w:val="00FA297D"/>
    <w:rsid w:val="00FA38F9"/>
    <w:rsid w:val="00FA44BA"/>
    <w:rsid w:val="00FA480F"/>
    <w:rsid w:val="00FA4F46"/>
    <w:rsid w:val="00FA523E"/>
    <w:rsid w:val="00FA5677"/>
    <w:rsid w:val="00FA5B30"/>
    <w:rsid w:val="00FA61F2"/>
    <w:rsid w:val="00FA7C0D"/>
    <w:rsid w:val="00FA7DB7"/>
    <w:rsid w:val="00FB0D5C"/>
    <w:rsid w:val="00FB33AD"/>
    <w:rsid w:val="00FB462B"/>
    <w:rsid w:val="00FB7B45"/>
    <w:rsid w:val="00FB7BA9"/>
    <w:rsid w:val="00FC0243"/>
    <w:rsid w:val="00FC027C"/>
    <w:rsid w:val="00FC0588"/>
    <w:rsid w:val="00FC13F5"/>
    <w:rsid w:val="00FC4406"/>
    <w:rsid w:val="00FC4C3B"/>
    <w:rsid w:val="00FC5FC9"/>
    <w:rsid w:val="00FC7F1B"/>
    <w:rsid w:val="00FD03D4"/>
    <w:rsid w:val="00FD197B"/>
    <w:rsid w:val="00FD30D7"/>
    <w:rsid w:val="00FD51DB"/>
    <w:rsid w:val="00FD525F"/>
    <w:rsid w:val="00FD5B14"/>
    <w:rsid w:val="00FD5D2A"/>
    <w:rsid w:val="00FD64B4"/>
    <w:rsid w:val="00FD6F2A"/>
    <w:rsid w:val="00FE0D5D"/>
    <w:rsid w:val="00FE13E3"/>
    <w:rsid w:val="00FE1480"/>
    <w:rsid w:val="00FE190A"/>
    <w:rsid w:val="00FE3DCB"/>
    <w:rsid w:val="00FE4619"/>
    <w:rsid w:val="00FE5A90"/>
    <w:rsid w:val="00FE5D95"/>
    <w:rsid w:val="00FE6610"/>
    <w:rsid w:val="00FE6BF2"/>
    <w:rsid w:val="00FE71A4"/>
    <w:rsid w:val="00FE774A"/>
    <w:rsid w:val="00FF0990"/>
    <w:rsid w:val="00FF1396"/>
    <w:rsid w:val="00FF271B"/>
    <w:rsid w:val="00FF3575"/>
    <w:rsid w:val="00FF5D9F"/>
    <w:rsid w:val="00FF60CF"/>
    <w:rsid w:val="00FF63D1"/>
    <w:rsid w:val="00FF68CA"/>
    <w:rsid w:val="00FF6C18"/>
    <w:rsid w:val="00FF72A8"/>
    <w:rsid w:val="00FF72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6B3C38"/>
  <w15:docId w15:val="{CAEC59B9-AE57-4177-BE9E-E6966E261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3571"/>
    <w:pPr>
      <w:spacing w:after="200" w:line="276" w:lineRule="auto"/>
    </w:pPr>
    <w:rPr>
      <w:lang w:val="ro-RO"/>
    </w:rPr>
  </w:style>
  <w:style w:type="paragraph" w:styleId="Heading1">
    <w:name w:val="heading 1"/>
    <w:basedOn w:val="Normal"/>
    <w:next w:val="Normal"/>
    <w:link w:val="Heading1Char"/>
    <w:uiPriority w:val="9"/>
    <w:qFormat/>
    <w:rsid w:val="00653571"/>
    <w:pPr>
      <w:keepNext/>
      <w:numPr>
        <w:numId w:val="21"/>
      </w:numPr>
      <w:spacing w:before="360" w:after="120" w:line="240" w:lineRule="auto"/>
      <w:jc w:val="both"/>
      <w:outlineLvl w:val="0"/>
    </w:pPr>
    <w:rPr>
      <w:rFonts w:ascii="Times New Roman" w:eastAsia="Calibri" w:hAnsi="Times New Roman" w:cs="Arial"/>
      <w:b/>
      <w:smallCaps/>
      <w:sz w:val="24"/>
      <w:lang w:val="en-US"/>
    </w:rPr>
  </w:style>
  <w:style w:type="paragraph" w:styleId="Heading2">
    <w:name w:val="heading 2"/>
    <w:basedOn w:val="Normal"/>
    <w:next w:val="Normal"/>
    <w:link w:val="Heading2Char"/>
    <w:uiPriority w:val="9"/>
    <w:unhideWhenUsed/>
    <w:qFormat/>
    <w:rsid w:val="00653571"/>
    <w:pPr>
      <w:keepNext/>
      <w:numPr>
        <w:ilvl w:val="1"/>
        <w:numId w:val="21"/>
      </w:numPr>
      <w:spacing w:before="120" w:after="120" w:line="240" w:lineRule="auto"/>
      <w:jc w:val="both"/>
      <w:outlineLvl w:val="1"/>
    </w:pPr>
    <w:rPr>
      <w:rFonts w:ascii="Times New Roman" w:eastAsia="Calibri" w:hAnsi="Times New Roman" w:cs="Arial"/>
      <w:b/>
      <w:sz w:val="24"/>
      <w:lang w:val="en-US"/>
    </w:rPr>
  </w:style>
  <w:style w:type="paragraph" w:styleId="Heading3">
    <w:name w:val="heading 3"/>
    <w:basedOn w:val="Normal"/>
    <w:next w:val="Normal"/>
    <w:link w:val="Heading3Char"/>
    <w:uiPriority w:val="9"/>
    <w:unhideWhenUsed/>
    <w:qFormat/>
    <w:rsid w:val="00653571"/>
    <w:pPr>
      <w:keepNext/>
      <w:numPr>
        <w:ilvl w:val="2"/>
        <w:numId w:val="21"/>
      </w:numPr>
      <w:spacing w:before="120" w:after="120" w:line="240" w:lineRule="auto"/>
      <w:jc w:val="both"/>
      <w:outlineLvl w:val="2"/>
    </w:pPr>
    <w:rPr>
      <w:rFonts w:ascii="Times New Roman" w:eastAsia="Calibri" w:hAnsi="Times New Roman" w:cs="Arial"/>
      <w:i/>
      <w:sz w:val="24"/>
      <w:lang w:val="en-US"/>
    </w:rPr>
  </w:style>
  <w:style w:type="paragraph" w:styleId="Heading4">
    <w:name w:val="heading 4"/>
    <w:basedOn w:val="Normal"/>
    <w:next w:val="Normal"/>
    <w:link w:val="Heading4Char"/>
    <w:uiPriority w:val="9"/>
    <w:unhideWhenUsed/>
    <w:qFormat/>
    <w:rsid w:val="00653571"/>
    <w:pPr>
      <w:keepNext/>
      <w:numPr>
        <w:ilvl w:val="3"/>
        <w:numId w:val="21"/>
      </w:numPr>
      <w:spacing w:before="120" w:after="120" w:line="240" w:lineRule="auto"/>
      <w:jc w:val="both"/>
      <w:outlineLvl w:val="3"/>
    </w:pPr>
    <w:rPr>
      <w:rFonts w:ascii="Times New Roman" w:eastAsia="Calibri" w:hAnsi="Times New Roman" w:cs="Arial"/>
      <w:sz w:val="24"/>
      <w:lang w:val="en-US"/>
    </w:rPr>
  </w:style>
  <w:style w:type="paragraph" w:styleId="Heading5">
    <w:name w:val="heading 5"/>
    <w:basedOn w:val="Normal"/>
    <w:next w:val="Normal"/>
    <w:link w:val="Heading5Char"/>
    <w:semiHidden/>
    <w:unhideWhenUsed/>
    <w:qFormat/>
    <w:rsid w:val="00653571"/>
    <w:pPr>
      <w:spacing w:before="240" w:after="60" w:line="240" w:lineRule="auto"/>
      <w:jc w:val="both"/>
      <w:outlineLvl w:val="4"/>
    </w:pPr>
    <w:rPr>
      <w:rFonts w:ascii="Arial" w:eastAsia="Calibri" w:hAnsi="Arial" w:cs="Arial"/>
      <w:lang w:val="en-US"/>
    </w:rPr>
  </w:style>
  <w:style w:type="paragraph" w:styleId="Heading6">
    <w:name w:val="heading 6"/>
    <w:basedOn w:val="Normal"/>
    <w:next w:val="Normal"/>
    <w:link w:val="Heading6Char"/>
    <w:semiHidden/>
    <w:unhideWhenUsed/>
    <w:qFormat/>
    <w:rsid w:val="00653571"/>
    <w:pPr>
      <w:spacing w:before="240" w:after="60" w:line="240" w:lineRule="auto"/>
      <w:jc w:val="both"/>
      <w:outlineLvl w:val="5"/>
    </w:pPr>
    <w:rPr>
      <w:rFonts w:ascii="Arial" w:eastAsia="Calibri" w:hAnsi="Arial" w:cs="Arial"/>
      <w:i/>
      <w:lang w:val="en-US"/>
    </w:rPr>
  </w:style>
  <w:style w:type="paragraph" w:styleId="Heading7">
    <w:name w:val="heading 7"/>
    <w:basedOn w:val="Normal"/>
    <w:next w:val="Normal"/>
    <w:link w:val="Heading7Char"/>
    <w:semiHidden/>
    <w:unhideWhenUsed/>
    <w:qFormat/>
    <w:rsid w:val="00653571"/>
    <w:pPr>
      <w:spacing w:before="240" w:after="60" w:line="240" w:lineRule="auto"/>
      <w:jc w:val="both"/>
      <w:outlineLvl w:val="6"/>
    </w:pPr>
    <w:rPr>
      <w:rFonts w:ascii="Arial" w:eastAsia="Calibri" w:hAnsi="Arial" w:cs="Arial"/>
      <w:sz w:val="20"/>
      <w:lang w:val="en-US"/>
    </w:rPr>
  </w:style>
  <w:style w:type="paragraph" w:styleId="Heading8">
    <w:name w:val="heading 8"/>
    <w:basedOn w:val="Normal"/>
    <w:next w:val="Normal"/>
    <w:link w:val="Heading8Char"/>
    <w:semiHidden/>
    <w:unhideWhenUsed/>
    <w:qFormat/>
    <w:rsid w:val="00653571"/>
    <w:pPr>
      <w:spacing w:before="240" w:after="60" w:line="240" w:lineRule="auto"/>
      <w:jc w:val="both"/>
      <w:outlineLvl w:val="7"/>
    </w:pPr>
    <w:rPr>
      <w:rFonts w:ascii="Arial" w:eastAsia="Calibri" w:hAnsi="Arial" w:cs="Arial"/>
      <w:i/>
      <w:sz w:val="20"/>
      <w:lang w:val="en-US"/>
    </w:rPr>
  </w:style>
  <w:style w:type="paragraph" w:styleId="Heading9">
    <w:name w:val="heading 9"/>
    <w:basedOn w:val="Normal"/>
    <w:next w:val="Normal"/>
    <w:link w:val="Heading9Char"/>
    <w:semiHidden/>
    <w:unhideWhenUsed/>
    <w:qFormat/>
    <w:rsid w:val="00653571"/>
    <w:pPr>
      <w:spacing w:before="240" w:after="60" w:line="240" w:lineRule="auto"/>
      <w:jc w:val="both"/>
      <w:outlineLvl w:val="8"/>
    </w:pPr>
    <w:rPr>
      <w:rFonts w:ascii="Arial" w:eastAsia="Calibri" w:hAnsi="Arial" w:cs="Arial"/>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3571"/>
    <w:rPr>
      <w:rFonts w:ascii="Times New Roman" w:eastAsia="Calibri" w:hAnsi="Times New Roman" w:cs="Arial"/>
      <w:b/>
      <w:smallCaps/>
      <w:sz w:val="24"/>
    </w:rPr>
  </w:style>
  <w:style w:type="character" w:customStyle="1" w:styleId="Heading2Char">
    <w:name w:val="Heading 2 Char"/>
    <w:basedOn w:val="DefaultParagraphFont"/>
    <w:link w:val="Heading2"/>
    <w:uiPriority w:val="9"/>
    <w:rsid w:val="00653571"/>
    <w:rPr>
      <w:rFonts w:ascii="Times New Roman" w:eastAsia="Calibri" w:hAnsi="Times New Roman" w:cs="Arial"/>
      <w:b/>
      <w:sz w:val="24"/>
    </w:rPr>
  </w:style>
  <w:style w:type="character" w:customStyle="1" w:styleId="Heading3Char">
    <w:name w:val="Heading 3 Char"/>
    <w:basedOn w:val="DefaultParagraphFont"/>
    <w:link w:val="Heading3"/>
    <w:uiPriority w:val="9"/>
    <w:rsid w:val="00653571"/>
    <w:rPr>
      <w:rFonts w:ascii="Times New Roman" w:eastAsia="Calibri" w:hAnsi="Times New Roman" w:cs="Arial"/>
      <w:i/>
      <w:sz w:val="24"/>
    </w:rPr>
  </w:style>
  <w:style w:type="character" w:customStyle="1" w:styleId="Heading4Char">
    <w:name w:val="Heading 4 Char"/>
    <w:basedOn w:val="DefaultParagraphFont"/>
    <w:link w:val="Heading4"/>
    <w:uiPriority w:val="9"/>
    <w:rsid w:val="00653571"/>
    <w:rPr>
      <w:rFonts w:ascii="Times New Roman" w:eastAsia="Calibri" w:hAnsi="Times New Roman" w:cs="Arial"/>
      <w:sz w:val="24"/>
    </w:rPr>
  </w:style>
  <w:style w:type="character" w:customStyle="1" w:styleId="Heading5Char">
    <w:name w:val="Heading 5 Char"/>
    <w:basedOn w:val="DefaultParagraphFont"/>
    <w:link w:val="Heading5"/>
    <w:semiHidden/>
    <w:rsid w:val="00653571"/>
    <w:rPr>
      <w:rFonts w:ascii="Arial" w:eastAsia="Calibri" w:hAnsi="Arial" w:cs="Arial"/>
    </w:rPr>
  </w:style>
  <w:style w:type="character" w:customStyle="1" w:styleId="Heading6Char">
    <w:name w:val="Heading 6 Char"/>
    <w:basedOn w:val="DefaultParagraphFont"/>
    <w:link w:val="Heading6"/>
    <w:semiHidden/>
    <w:rsid w:val="00653571"/>
    <w:rPr>
      <w:rFonts w:ascii="Arial" w:eastAsia="Calibri" w:hAnsi="Arial" w:cs="Arial"/>
      <w:i/>
    </w:rPr>
  </w:style>
  <w:style w:type="character" w:customStyle="1" w:styleId="Heading7Char">
    <w:name w:val="Heading 7 Char"/>
    <w:basedOn w:val="DefaultParagraphFont"/>
    <w:link w:val="Heading7"/>
    <w:semiHidden/>
    <w:rsid w:val="00653571"/>
    <w:rPr>
      <w:rFonts w:ascii="Arial" w:eastAsia="Calibri" w:hAnsi="Arial" w:cs="Arial"/>
      <w:sz w:val="20"/>
    </w:rPr>
  </w:style>
  <w:style w:type="character" w:customStyle="1" w:styleId="Heading8Char">
    <w:name w:val="Heading 8 Char"/>
    <w:basedOn w:val="DefaultParagraphFont"/>
    <w:link w:val="Heading8"/>
    <w:semiHidden/>
    <w:rsid w:val="00653571"/>
    <w:rPr>
      <w:rFonts w:ascii="Arial" w:eastAsia="Calibri" w:hAnsi="Arial" w:cs="Arial"/>
      <w:i/>
      <w:sz w:val="20"/>
    </w:rPr>
  </w:style>
  <w:style w:type="character" w:customStyle="1" w:styleId="Heading9Char">
    <w:name w:val="Heading 9 Char"/>
    <w:basedOn w:val="DefaultParagraphFont"/>
    <w:link w:val="Heading9"/>
    <w:semiHidden/>
    <w:rsid w:val="00653571"/>
    <w:rPr>
      <w:rFonts w:ascii="Arial" w:eastAsia="Calibri" w:hAnsi="Arial" w:cs="Arial"/>
      <w:i/>
      <w:sz w:val="18"/>
    </w:rPr>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ußnote,fn"/>
    <w:basedOn w:val="Normal"/>
    <w:link w:val="FootnoteTextChar"/>
    <w:uiPriority w:val="99"/>
    <w:unhideWhenUsed/>
    <w:qFormat/>
    <w:rsid w:val="00653571"/>
    <w:pPr>
      <w:spacing w:after="0" w:line="240" w:lineRule="auto"/>
    </w:pPr>
    <w:rPr>
      <w:rFonts w:ascii="Times New Roman" w:hAnsi="Times New Roman"/>
      <w:sz w:val="20"/>
      <w:szCs w:val="20"/>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uiPriority w:val="99"/>
    <w:qFormat/>
    <w:rsid w:val="00653571"/>
    <w:rPr>
      <w:rFonts w:ascii="Times New Roman" w:hAnsi="Times New Roman"/>
      <w:sz w:val="20"/>
      <w:szCs w:val="20"/>
      <w:lang w:val="ro-RO"/>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BVI fnr"/>
    <w:basedOn w:val="DefaultParagraphFont"/>
    <w:link w:val="ftrefCaracterCaracterCaracter"/>
    <w:uiPriority w:val="99"/>
    <w:unhideWhenUsed/>
    <w:qFormat/>
    <w:rsid w:val="00653571"/>
    <w:rPr>
      <w:b/>
      <w:vertAlign w:val="superscript"/>
    </w:rPr>
  </w:style>
  <w:style w:type="table" w:customStyle="1" w:styleId="TableGrid1">
    <w:name w:val="Table Grid1"/>
    <w:basedOn w:val="TableNormal"/>
    <w:next w:val="TableGrid"/>
    <w:uiPriority w:val="59"/>
    <w:unhideWhenUsed/>
    <w:rsid w:val="0065357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653571"/>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53571"/>
    <w:pPr>
      <w:tabs>
        <w:tab w:val="center" w:pos="4536"/>
        <w:tab w:val="right" w:pos="9072"/>
      </w:tabs>
      <w:spacing w:after="0" w:line="240" w:lineRule="auto"/>
    </w:pPr>
  </w:style>
  <w:style w:type="character" w:customStyle="1" w:styleId="HeaderChar">
    <w:name w:val="Header Char"/>
    <w:basedOn w:val="DefaultParagraphFont"/>
    <w:link w:val="Header"/>
    <w:uiPriority w:val="99"/>
    <w:rsid w:val="00653571"/>
    <w:rPr>
      <w:lang w:val="ro-RO"/>
    </w:rPr>
  </w:style>
  <w:style w:type="paragraph" w:customStyle="1" w:styleId="FooterCouncil">
    <w:name w:val="Footer Council"/>
    <w:basedOn w:val="Normal"/>
    <w:link w:val="FooterCouncilChar"/>
    <w:rsid w:val="00653571"/>
    <w:pPr>
      <w:spacing w:after="0" w:line="240" w:lineRule="auto"/>
    </w:pPr>
    <w:rPr>
      <w:rFonts w:ascii="Times New Roman" w:hAnsi="Times New Roman" w:cs="Times New Roman"/>
      <w:sz w:val="2"/>
      <w:lang w:val="en-GB"/>
    </w:rPr>
  </w:style>
  <w:style w:type="character" w:customStyle="1" w:styleId="FooterCouncilChar">
    <w:name w:val="Footer Council Char"/>
    <w:link w:val="FooterCouncil"/>
    <w:locked/>
    <w:rsid w:val="00653571"/>
    <w:rPr>
      <w:rFonts w:ascii="Times New Roman" w:hAnsi="Times New Roman" w:cs="Times New Roman"/>
      <w:sz w:val="2"/>
      <w:lang w:val="en-GB"/>
    </w:rPr>
  </w:style>
  <w:style w:type="paragraph" w:customStyle="1" w:styleId="FooterText">
    <w:name w:val="Footer Text"/>
    <w:basedOn w:val="Normal"/>
    <w:rsid w:val="00653571"/>
    <w:pPr>
      <w:spacing w:after="0" w:line="240" w:lineRule="auto"/>
    </w:pPr>
    <w:rPr>
      <w:rFonts w:ascii="Times New Roman" w:eastAsia="Times New Roman" w:hAnsi="Times New Roman" w:cs="Times New Roman"/>
      <w:sz w:val="24"/>
      <w:szCs w:val="24"/>
      <w:lang w:val="en-GB"/>
    </w:rPr>
  </w:style>
  <w:style w:type="numbering" w:customStyle="1" w:styleId="NoList1">
    <w:name w:val="No List1"/>
    <w:next w:val="NoList"/>
    <w:uiPriority w:val="99"/>
    <w:semiHidden/>
    <w:unhideWhenUsed/>
    <w:rsid w:val="00653571"/>
  </w:style>
  <w:style w:type="paragraph" w:styleId="Footer">
    <w:name w:val="footer"/>
    <w:basedOn w:val="Normal"/>
    <w:link w:val="FooterChar"/>
    <w:uiPriority w:val="99"/>
    <w:unhideWhenUsed/>
    <w:rsid w:val="00653571"/>
    <w:pPr>
      <w:tabs>
        <w:tab w:val="center" w:pos="4819"/>
        <w:tab w:val="center" w:pos="7370"/>
        <w:tab w:val="right" w:pos="9638"/>
      </w:tabs>
      <w:spacing w:after="0" w:line="240" w:lineRule="auto"/>
    </w:pPr>
    <w:rPr>
      <w:rFonts w:ascii="Times New Roman" w:hAnsi="Times New Roman" w:cs="Times New Roman"/>
      <w:sz w:val="24"/>
      <w:lang w:val="en-GB"/>
    </w:rPr>
  </w:style>
  <w:style w:type="character" w:customStyle="1" w:styleId="FooterChar">
    <w:name w:val="Footer Char"/>
    <w:basedOn w:val="DefaultParagraphFont"/>
    <w:link w:val="Footer"/>
    <w:uiPriority w:val="99"/>
    <w:rsid w:val="00653571"/>
    <w:rPr>
      <w:rFonts w:ascii="Times New Roman" w:hAnsi="Times New Roman" w:cs="Times New Roman"/>
      <w:sz w:val="24"/>
      <w:lang w:val="en-GB"/>
    </w:rPr>
  </w:style>
  <w:style w:type="paragraph" w:customStyle="1" w:styleId="NormalCentered">
    <w:name w:val="Normal Centered"/>
    <w:basedOn w:val="Normal"/>
    <w:rsid w:val="00653571"/>
    <w:pPr>
      <w:spacing w:before="200" w:after="120" w:line="360" w:lineRule="auto"/>
      <w:jc w:val="center"/>
    </w:pPr>
    <w:rPr>
      <w:rFonts w:ascii="Times New Roman" w:hAnsi="Times New Roman" w:cs="Times New Roman"/>
      <w:sz w:val="24"/>
      <w:lang w:val="en-GB"/>
    </w:rPr>
  </w:style>
  <w:style w:type="paragraph" w:customStyle="1" w:styleId="NormalRight">
    <w:name w:val="Normal Right"/>
    <w:basedOn w:val="Normal"/>
    <w:rsid w:val="00653571"/>
    <w:pPr>
      <w:spacing w:before="200" w:after="120" w:line="360" w:lineRule="auto"/>
      <w:jc w:val="right"/>
    </w:pPr>
    <w:rPr>
      <w:rFonts w:ascii="Times New Roman" w:hAnsi="Times New Roman" w:cs="Times New Roman"/>
      <w:sz w:val="24"/>
      <w:lang w:val="en-GB"/>
    </w:rPr>
  </w:style>
  <w:style w:type="paragraph" w:customStyle="1" w:styleId="NormalJustified">
    <w:name w:val="Normal Justified"/>
    <w:basedOn w:val="Normal"/>
    <w:rsid w:val="00653571"/>
    <w:pPr>
      <w:spacing w:before="200" w:after="120" w:line="360" w:lineRule="auto"/>
      <w:jc w:val="both"/>
    </w:pPr>
    <w:rPr>
      <w:rFonts w:ascii="Times New Roman" w:hAnsi="Times New Roman" w:cs="Times New Roman"/>
      <w:sz w:val="24"/>
      <w:lang w:val="en-GB"/>
    </w:rPr>
  </w:style>
  <w:style w:type="paragraph" w:customStyle="1" w:styleId="HeaderLandscape">
    <w:name w:val="HeaderLandscape"/>
    <w:basedOn w:val="Normal"/>
    <w:rsid w:val="00653571"/>
    <w:pPr>
      <w:tabs>
        <w:tab w:val="right" w:pos="14570"/>
      </w:tabs>
      <w:spacing w:before="120" w:after="120" w:line="360" w:lineRule="auto"/>
    </w:pPr>
    <w:rPr>
      <w:rFonts w:ascii="Times New Roman" w:hAnsi="Times New Roman" w:cs="Times New Roman"/>
      <w:sz w:val="24"/>
      <w:lang w:val="en-GB"/>
    </w:rPr>
  </w:style>
  <w:style w:type="paragraph" w:customStyle="1" w:styleId="FooterLandscape">
    <w:name w:val="FooterLandscape"/>
    <w:basedOn w:val="Normal"/>
    <w:rsid w:val="00653571"/>
    <w:pPr>
      <w:tabs>
        <w:tab w:val="center" w:pos="7285"/>
        <w:tab w:val="center" w:pos="10930"/>
        <w:tab w:val="right" w:pos="14570"/>
      </w:tabs>
      <w:spacing w:after="0" w:line="240" w:lineRule="auto"/>
    </w:pPr>
    <w:rPr>
      <w:rFonts w:ascii="Times New Roman" w:hAnsi="Times New Roman" w:cs="Times New Roman"/>
      <w:sz w:val="24"/>
      <w:lang w:val="en-GB"/>
    </w:rPr>
  </w:style>
  <w:style w:type="paragraph" w:customStyle="1" w:styleId="HeaderCouncil">
    <w:name w:val="Header Council"/>
    <w:basedOn w:val="Normal"/>
    <w:link w:val="HeaderCouncilChar"/>
    <w:rsid w:val="00653571"/>
    <w:pPr>
      <w:spacing w:after="0" w:line="240" w:lineRule="auto"/>
    </w:pPr>
    <w:rPr>
      <w:rFonts w:ascii="Times New Roman" w:hAnsi="Times New Roman" w:cs="Times New Roman"/>
      <w:sz w:val="2"/>
      <w:lang w:val="en-GB"/>
    </w:rPr>
  </w:style>
  <w:style w:type="character" w:customStyle="1" w:styleId="HeaderCouncilChar">
    <w:name w:val="Header Council Char"/>
    <w:link w:val="HeaderCouncil"/>
    <w:locked/>
    <w:rsid w:val="00653571"/>
    <w:rPr>
      <w:rFonts w:ascii="Times New Roman" w:hAnsi="Times New Roman" w:cs="Times New Roman"/>
      <w:sz w:val="2"/>
      <w:lang w:val="en-GB"/>
    </w:rPr>
  </w:style>
  <w:style w:type="paragraph" w:customStyle="1" w:styleId="TechnicalBlock">
    <w:name w:val="Technical Block"/>
    <w:basedOn w:val="Normal"/>
    <w:next w:val="Normal"/>
    <w:link w:val="TechnicalBlockChar"/>
    <w:rsid w:val="00653571"/>
    <w:pPr>
      <w:spacing w:after="240" w:line="240" w:lineRule="auto"/>
      <w:jc w:val="center"/>
    </w:pPr>
    <w:rPr>
      <w:rFonts w:ascii="Times New Roman" w:hAnsi="Times New Roman" w:cs="Times New Roman"/>
      <w:sz w:val="24"/>
      <w:lang w:val="en-GB"/>
    </w:rPr>
  </w:style>
  <w:style w:type="character" w:customStyle="1" w:styleId="TechnicalBlockChar">
    <w:name w:val="Technical Block Char"/>
    <w:basedOn w:val="DefaultParagraphFont"/>
    <w:link w:val="TechnicalBlock"/>
    <w:rsid w:val="00653571"/>
    <w:rPr>
      <w:rFonts w:ascii="Times New Roman" w:hAnsi="Times New Roman" w:cs="Times New Roman"/>
      <w:sz w:val="24"/>
      <w:lang w:val="en-GB"/>
    </w:rPr>
  </w:style>
  <w:style w:type="paragraph" w:customStyle="1" w:styleId="FinalLine">
    <w:name w:val="Final Line"/>
    <w:basedOn w:val="Normal"/>
    <w:next w:val="Normal"/>
    <w:rsid w:val="00653571"/>
    <w:pPr>
      <w:pBdr>
        <w:bottom w:val="single" w:sz="4" w:space="0" w:color="000000"/>
      </w:pBdr>
      <w:spacing w:before="360" w:after="120" w:line="360" w:lineRule="auto"/>
      <w:ind w:left="3400" w:right="3400"/>
      <w:jc w:val="center"/>
    </w:pPr>
    <w:rPr>
      <w:rFonts w:ascii="Times New Roman" w:hAnsi="Times New Roman" w:cs="Times New Roman"/>
      <w:b/>
      <w:sz w:val="24"/>
      <w:lang w:val="en-GB"/>
    </w:rPr>
  </w:style>
  <w:style w:type="paragraph" w:customStyle="1" w:styleId="FinalLineLandscape">
    <w:name w:val="Final Line (Landscape)"/>
    <w:basedOn w:val="Normal"/>
    <w:next w:val="Normal"/>
    <w:rsid w:val="00653571"/>
    <w:pPr>
      <w:pBdr>
        <w:bottom w:val="single" w:sz="4" w:space="0" w:color="000000"/>
      </w:pBdr>
      <w:spacing w:before="360" w:after="120" w:line="360" w:lineRule="auto"/>
      <w:ind w:left="5868" w:right="5868"/>
      <w:jc w:val="center"/>
    </w:pPr>
    <w:rPr>
      <w:rFonts w:ascii="Times New Roman" w:hAnsi="Times New Roman" w:cs="Times New Roman"/>
      <w:b/>
      <w:sz w:val="24"/>
      <w:lang w:val="en-GB"/>
    </w:rPr>
  </w:style>
  <w:style w:type="paragraph" w:customStyle="1" w:styleId="Text1">
    <w:name w:val="Text 1"/>
    <w:basedOn w:val="Normal"/>
    <w:link w:val="Text1Char"/>
    <w:rsid w:val="00653571"/>
    <w:pPr>
      <w:spacing w:before="120" w:after="120" w:line="360" w:lineRule="auto"/>
      <w:ind w:left="567"/>
    </w:pPr>
    <w:rPr>
      <w:rFonts w:ascii="Times New Roman" w:hAnsi="Times New Roman" w:cs="Times New Roman"/>
      <w:sz w:val="24"/>
      <w:lang w:val="en-GB"/>
    </w:rPr>
  </w:style>
  <w:style w:type="character" w:customStyle="1" w:styleId="Text1Char">
    <w:name w:val="Text 1 Char"/>
    <w:link w:val="Text1"/>
    <w:locked/>
    <w:rsid w:val="00653571"/>
    <w:rPr>
      <w:rFonts w:ascii="Times New Roman" w:hAnsi="Times New Roman" w:cs="Times New Roman"/>
      <w:sz w:val="24"/>
      <w:lang w:val="en-GB"/>
    </w:rPr>
  </w:style>
  <w:style w:type="paragraph" w:customStyle="1" w:styleId="Text2">
    <w:name w:val="Text 2"/>
    <w:basedOn w:val="Normal"/>
    <w:rsid w:val="00653571"/>
    <w:pPr>
      <w:spacing w:before="120" w:after="120" w:line="360" w:lineRule="auto"/>
      <w:ind w:left="1134"/>
    </w:pPr>
    <w:rPr>
      <w:rFonts w:ascii="Times New Roman" w:hAnsi="Times New Roman" w:cs="Times New Roman"/>
      <w:sz w:val="24"/>
      <w:lang w:val="en-GB"/>
    </w:rPr>
  </w:style>
  <w:style w:type="paragraph" w:customStyle="1" w:styleId="Text3">
    <w:name w:val="Text 3"/>
    <w:basedOn w:val="Normal"/>
    <w:rsid w:val="00653571"/>
    <w:pPr>
      <w:spacing w:before="120" w:after="120" w:line="360" w:lineRule="auto"/>
      <w:ind w:left="1701"/>
    </w:pPr>
    <w:rPr>
      <w:rFonts w:ascii="Times New Roman" w:hAnsi="Times New Roman" w:cs="Times New Roman"/>
      <w:sz w:val="24"/>
      <w:lang w:val="en-GB"/>
    </w:rPr>
  </w:style>
  <w:style w:type="paragraph" w:customStyle="1" w:styleId="Text4">
    <w:name w:val="Text 4"/>
    <w:basedOn w:val="Normal"/>
    <w:rsid w:val="00653571"/>
    <w:pPr>
      <w:spacing w:before="120" w:after="120" w:line="360" w:lineRule="auto"/>
      <w:ind w:left="2268"/>
    </w:pPr>
    <w:rPr>
      <w:rFonts w:ascii="Times New Roman" w:hAnsi="Times New Roman" w:cs="Times New Roman"/>
      <w:sz w:val="24"/>
      <w:lang w:val="en-GB"/>
    </w:rPr>
  </w:style>
  <w:style w:type="paragraph" w:customStyle="1" w:styleId="Text5">
    <w:name w:val="Text 5"/>
    <w:basedOn w:val="Normal"/>
    <w:rsid w:val="00653571"/>
    <w:pPr>
      <w:spacing w:before="120" w:after="120" w:line="360" w:lineRule="auto"/>
      <w:ind w:left="2835"/>
    </w:pPr>
    <w:rPr>
      <w:rFonts w:ascii="Times New Roman" w:hAnsi="Times New Roman" w:cs="Times New Roman"/>
      <w:sz w:val="24"/>
      <w:lang w:val="en-GB"/>
    </w:rPr>
  </w:style>
  <w:style w:type="paragraph" w:customStyle="1" w:styleId="Text6">
    <w:name w:val="Text 6"/>
    <w:basedOn w:val="Normal"/>
    <w:rsid w:val="00653571"/>
    <w:pPr>
      <w:spacing w:before="120" w:after="120" w:line="360" w:lineRule="auto"/>
      <w:ind w:left="3402"/>
    </w:pPr>
    <w:rPr>
      <w:rFonts w:ascii="Times New Roman" w:hAnsi="Times New Roman" w:cs="Times New Roman"/>
      <w:sz w:val="24"/>
      <w:lang w:val="en-GB"/>
    </w:rPr>
  </w:style>
  <w:style w:type="paragraph" w:customStyle="1" w:styleId="PointManual">
    <w:name w:val="Point Manual"/>
    <w:basedOn w:val="Normal"/>
    <w:rsid w:val="00653571"/>
    <w:pPr>
      <w:spacing w:before="120" w:after="120" w:line="360" w:lineRule="auto"/>
      <w:ind w:left="567" w:hanging="567"/>
    </w:pPr>
    <w:rPr>
      <w:rFonts w:ascii="Times New Roman" w:hAnsi="Times New Roman" w:cs="Times New Roman"/>
      <w:sz w:val="24"/>
      <w:lang w:val="en-GB"/>
    </w:rPr>
  </w:style>
  <w:style w:type="paragraph" w:customStyle="1" w:styleId="PointManual1">
    <w:name w:val="Point Manual (1)"/>
    <w:basedOn w:val="Normal"/>
    <w:rsid w:val="00653571"/>
    <w:pPr>
      <w:spacing w:before="120" w:after="120" w:line="360" w:lineRule="auto"/>
      <w:ind w:left="1134" w:hanging="567"/>
    </w:pPr>
    <w:rPr>
      <w:rFonts w:ascii="Times New Roman" w:hAnsi="Times New Roman" w:cs="Times New Roman"/>
      <w:sz w:val="24"/>
      <w:lang w:val="en-GB"/>
    </w:rPr>
  </w:style>
  <w:style w:type="paragraph" w:customStyle="1" w:styleId="PointManual2">
    <w:name w:val="Point Manual (2)"/>
    <w:basedOn w:val="Normal"/>
    <w:rsid w:val="00653571"/>
    <w:pPr>
      <w:spacing w:before="120" w:after="120" w:line="360" w:lineRule="auto"/>
      <w:ind w:left="1701" w:hanging="567"/>
    </w:pPr>
    <w:rPr>
      <w:rFonts w:ascii="Times New Roman" w:hAnsi="Times New Roman" w:cs="Times New Roman"/>
      <w:sz w:val="24"/>
      <w:lang w:val="en-GB"/>
    </w:rPr>
  </w:style>
  <w:style w:type="paragraph" w:customStyle="1" w:styleId="PointManual3">
    <w:name w:val="Point Manual (3)"/>
    <w:basedOn w:val="Normal"/>
    <w:rsid w:val="00653571"/>
    <w:pPr>
      <w:spacing w:before="120" w:after="120" w:line="360" w:lineRule="auto"/>
      <w:ind w:left="2268" w:hanging="567"/>
    </w:pPr>
    <w:rPr>
      <w:rFonts w:ascii="Times New Roman" w:hAnsi="Times New Roman" w:cs="Times New Roman"/>
      <w:sz w:val="24"/>
      <w:lang w:val="en-GB"/>
    </w:rPr>
  </w:style>
  <w:style w:type="paragraph" w:customStyle="1" w:styleId="PointManual4">
    <w:name w:val="Point Manual (4)"/>
    <w:basedOn w:val="Normal"/>
    <w:rsid w:val="00653571"/>
    <w:pPr>
      <w:spacing w:before="120" w:after="120" w:line="360" w:lineRule="auto"/>
      <w:ind w:left="2835" w:hanging="567"/>
    </w:pPr>
    <w:rPr>
      <w:rFonts w:ascii="Times New Roman" w:hAnsi="Times New Roman" w:cs="Times New Roman"/>
      <w:sz w:val="24"/>
      <w:lang w:val="en-GB"/>
    </w:rPr>
  </w:style>
  <w:style w:type="paragraph" w:customStyle="1" w:styleId="PointDoubleManual">
    <w:name w:val="Point Double Manual"/>
    <w:basedOn w:val="Normal"/>
    <w:rsid w:val="00653571"/>
    <w:pPr>
      <w:tabs>
        <w:tab w:val="left" w:pos="567"/>
      </w:tabs>
      <w:spacing w:before="120" w:after="120" w:line="360" w:lineRule="auto"/>
      <w:ind w:left="1134" w:hanging="1134"/>
    </w:pPr>
    <w:rPr>
      <w:rFonts w:ascii="Times New Roman" w:hAnsi="Times New Roman" w:cs="Times New Roman"/>
      <w:sz w:val="24"/>
      <w:lang w:val="en-GB"/>
    </w:rPr>
  </w:style>
  <w:style w:type="paragraph" w:customStyle="1" w:styleId="PointDoubleManual1">
    <w:name w:val="Point Double Manual (1)"/>
    <w:basedOn w:val="Normal"/>
    <w:rsid w:val="00653571"/>
    <w:pPr>
      <w:tabs>
        <w:tab w:val="left" w:pos="1134"/>
      </w:tabs>
      <w:spacing w:before="120" w:after="120" w:line="360" w:lineRule="auto"/>
      <w:ind w:left="1701" w:hanging="1134"/>
    </w:pPr>
    <w:rPr>
      <w:rFonts w:ascii="Times New Roman" w:hAnsi="Times New Roman" w:cs="Times New Roman"/>
      <w:sz w:val="24"/>
      <w:lang w:val="en-GB"/>
    </w:rPr>
  </w:style>
  <w:style w:type="paragraph" w:customStyle="1" w:styleId="PointDoubleManual2">
    <w:name w:val="Point Double Manual (2)"/>
    <w:basedOn w:val="Normal"/>
    <w:rsid w:val="00653571"/>
    <w:pPr>
      <w:tabs>
        <w:tab w:val="left" w:pos="1701"/>
      </w:tabs>
      <w:spacing w:before="120" w:after="120" w:line="360" w:lineRule="auto"/>
      <w:ind w:left="2268" w:hanging="1134"/>
    </w:pPr>
    <w:rPr>
      <w:rFonts w:ascii="Times New Roman" w:hAnsi="Times New Roman" w:cs="Times New Roman"/>
      <w:sz w:val="24"/>
      <w:lang w:val="en-GB"/>
    </w:rPr>
  </w:style>
  <w:style w:type="paragraph" w:customStyle="1" w:styleId="PointDoubleManual3">
    <w:name w:val="Point Double Manual (3)"/>
    <w:basedOn w:val="Normal"/>
    <w:rsid w:val="00653571"/>
    <w:pPr>
      <w:tabs>
        <w:tab w:val="left" w:pos="2268"/>
      </w:tabs>
      <w:spacing w:before="120" w:after="120" w:line="360" w:lineRule="auto"/>
      <w:ind w:left="2835" w:hanging="1134"/>
    </w:pPr>
    <w:rPr>
      <w:rFonts w:ascii="Times New Roman" w:hAnsi="Times New Roman" w:cs="Times New Roman"/>
      <w:sz w:val="24"/>
      <w:lang w:val="en-GB"/>
    </w:rPr>
  </w:style>
  <w:style w:type="paragraph" w:customStyle="1" w:styleId="PointDoubleManual4">
    <w:name w:val="Point Double Manual (4)"/>
    <w:basedOn w:val="Normal"/>
    <w:rsid w:val="00653571"/>
    <w:pPr>
      <w:tabs>
        <w:tab w:val="left" w:pos="2835"/>
      </w:tabs>
      <w:spacing w:before="120" w:after="120" w:line="360" w:lineRule="auto"/>
      <w:ind w:left="3402" w:hanging="1134"/>
    </w:pPr>
    <w:rPr>
      <w:rFonts w:ascii="Times New Roman" w:hAnsi="Times New Roman" w:cs="Times New Roman"/>
      <w:sz w:val="24"/>
      <w:lang w:val="en-GB"/>
    </w:rPr>
  </w:style>
  <w:style w:type="paragraph" w:customStyle="1" w:styleId="Pointabc">
    <w:name w:val="Point abc"/>
    <w:basedOn w:val="Normal"/>
    <w:rsid w:val="00653571"/>
    <w:pPr>
      <w:numPr>
        <w:ilvl w:val="6"/>
        <w:numId w:val="16"/>
      </w:numPr>
      <w:tabs>
        <w:tab w:val="clear" w:pos="2268"/>
        <w:tab w:val="num" w:pos="567"/>
      </w:tabs>
      <w:spacing w:before="120" w:after="120" w:line="360" w:lineRule="auto"/>
      <w:ind w:left="567"/>
    </w:pPr>
    <w:rPr>
      <w:rFonts w:ascii="Times New Roman" w:hAnsi="Times New Roman" w:cs="Times New Roman"/>
      <w:sz w:val="24"/>
      <w:lang w:val="en-GB"/>
    </w:rPr>
  </w:style>
  <w:style w:type="paragraph" w:customStyle="1" w:styleId="Pointabc1">
    <w:name w:val="Point abc (1)"/>
    <w:basedOn w:val="Normal"/>
    <w:rsid w:val="00653571"/>
    <w:pPr>
      <w:numPr>
        <w:ilvl w:val="3"/>
        <w:numId w:val="16"/>
      </w:numPr>
      <w:spacing w:before="120" w:after="120" w:line="360" w:lineRule="auto"/>
    </w:pPr>
    <w:rPr>
      <w:rFonts w:ascii="Times New Roman" w:hAnsi="Times New Roman" w:cs="Times New Roman"/>
      <w:sz w:val="24"/>
      <w:lang w:val="en-GB"/>
    </w:rPr>
  </w:style>
  <w:style w:type="paragraph" w:customStyle="1" w:styleId="Pointabc2">
    <w:name w:val="Point abc (2)"/>
    <w:basedOn w:val="Normal"/>
    <w:rsid w:val="00653571"/>
    <w:pPr>
      <w:numPr>
        <w:ilvl w:val="5"/>
        <w:numId w:val="16"/>
      </w:numPr>
      <w:spacing w:before="120" w:after="120" w:line="360" w:lineRule="auto"/>
    </w:pPr>
    <w:rPr>
      <w:rFonts w:ascii="Times New Roman" w:hAnsi="Times New Roman" w:cs="Times New Roman"/>
      <w:sz w:val="24"/>
      <w:lang w:val="en-GB"/>
    </w:rPr>
  </w:style>
  <w:style w:type="paragraph" w:customStyle="1" w:styleId="Pointabc3">
    <w:name w:val="Point abc (3)"/>
    <w:basedOn w:val="Normal"/>
    <w:rsid w:val="00653571"/>
    <w:pPr>
      <w:numPr>
        <w:ilvl w:val="7"/>
        <w:numId w:val="16"/>
      </w:numPr>
      <w:spacing w:before="120" w:after="120" w:line="360" w:lineRule="auto"/>
    </w:pPr>
    <w:rPr>
      <w:rFonts w:ascii="Times New Roman" w:hAnsi="Times New Roman" w:cs="Times New Roman"/>
      <w:sz w:val="24"/>
      <w:lang w:val="en-GB"/>
    </w:rPr>
  </w:style>
  <w:style w:type="paragraph" w:customStyle="1" w:styleId="Pointabc4">
    <w:name w:val="Point abc (4)"/>
    <w:basedOn w:val="Normal"/>
    <w:rsid w:val="00653571"/>
    <w:pPr>
      <w:numPr>
        <w:ilvl w:val="8"/>
        <w:numId w:val="16"/>
      </w:numPr>
      <w:spacing w:before="120" w:after="120" w:line="360" w:lineRule="auto"/>
    </w:pPr>
    <w:rPr>
      <w:rFonts w:ascii="Times New Roman" w:hAnsi="Times New Roman" w:cs="Times New Roman"/>
      <w:sz w:val="24"/>
      <w:lang w:val="en-GB"/>
    </w:rPr>
  </w:style>
  <w:style w:type="paragraph" w:customStyle="1" w:styleId="Point123">
    <w:name w:val="Point 123"/>
    <w:basedOn w:val="Normal"/>
    <w:rsid w:val="00653571"/>
    <w:pPr>
      <w:numPr>
        <w:numId w:val="16"/>
      </w:numPr>
      <w:spacing w:before="120" w:after="120" w:line="360" w:lineRule="auto"/>
    </w:pPr>
    <w:rPr>
      <w:rFonts w:ascii="Times New Roman" w:hAnsi="Times New Roman" w:cs="Times New Roman"/>
      <w:sz w:val="24"/>
      <w:lang w:val="en-GB"/>
    </w:rPr>
  </w:style>
  <w:style w:type="paragraph" w:customStyle="1" w:styleId="Point1231">
    <w:name w:val="Point 123 (1)"/>
    <w:basedOn w:val="Normal"/>
    <w:rsid w:val="00653571"/>
    <w:pPr>
      <w:numPr>
        <w:ilvl w:val="2"/>
        <w:numId w:val="16"/>
      </w:numPr>
      <w:spacing w:before="120" w:after="120" w:line="360" w:lineRule="auto"/>
    </w:pPr>
    <w:rPr>
      <w:rFonts w:ascii="Times New Roman" w:hAnsi="Times New Roman" w:cs="Times New Roman"/>
      <w:sz w:val="24"/>
      <w:lang w:val="en-GB"/>
    </w:rPr>
  </w:style>
  <w:style w:type="paragraph" w:customStyle="1" w:styleId="Point1232">
    <w:name w:val="Point 123 (2)"/>
    <w:basedOn w:val="Normal"/>
    <w:rsid w:val="00653571"/>
    <w:pPr>
      <w:numPr>
        <w:ilvl w:val="4"/>
        <w:numId w:val="16"/>
      </w:numPr>
      <w:spacing w:before="120" w:after="120" w:line="360" w:lineRule="auto"/>
    </w:pPr>
    <w:rPr>
      <w:rFonts w:ascii="Times New Roman" w:hAnsi="Times New Roman" w:cs="Times New Roman"/>
      <w:sz w:val="24"/>
      <w:lang w:val="en-GB"/>
    </w:rPr>
  </w:style>
  <w:style w:type="paragraph" w:customStyle="1" w:styleId="Point1233">
    <w:name w:val="Point 123 (3)"/>
    <w:basedOn w:val="Normal"/>
    <w:rsid w:val="00653571"/>
    <w:pPr>
      <w:tabs>
        <w:tab w:val="num" w:pos="2268"/>
      </w:tabs>
      <w:spacing w:before="120" w:after="120" w:line="360" w:lineRule="auto"/>
      <w:ind w:left="2268" w:hanging="567"/>
    </w:pPr>
    <w:rPr>
      <w:rFonts w:ascii="Times New Roman" w:hAnsi="Times New Roman" w:cs="Times New Roman"/>
      <w:sz w:val="24"/>
      <w:lang w:val="en-GB"/>
    </w:rPr>
  </w:style>
  <w:style w:type="paragraph" w:customStyle="1" w:styleId="Pointivx">
    <w:name w:val="Point ivx"/>
    <w:basedOn w:val="Normal"/>
    <w:rsid w:val="00653571"/>
    <w:pPr>
      <w:numPr>
        <w:numId w:val="17"/>
      </w:numPr>
      <w:spacing w:before="120" w:after="120" w:line="360" w:lineRule="auto"/>
    </w:pPr>
    <w:rPr>
      <w:rFonts w:ascii="Times New Roman" w:hAnsi="Times New Roman" w:cs="Times New Roman"/>
      <w:sz w:val="24"/>
      <w:lang w:val="en-GB"/>
    </w:rPr>
  </w:style>
  <w:style w:type="paragraph" w:customStyle="1" w:styleId="Pointivx1">
    <w:name w:val="Point ivx (1)"/>
    <w:basedOn w:val="Normal"/>
    <w:rsid w:val="00653571"/>
    <w:pPr>
      <w:numPr>
        <w:ilvl w:val="1"/>
        <w:numId w:val="17"/>
      </w:numPr>
      <w:spacing w:before="120" w:after="120" w:line="360" w:lineRule="auto"/>
    </w:pPr>
    <w:rPr>
      <w:rFonts w:ascii="Times New Roman" w:hAnsi="Times New Roman" w:cs="Times New Roman"/>
      <w:sz w:val="24"/>
      <w:lang w:val="en-GB"/>
    </w:rPr>
  </w:style>
  <w:style w:type="paragraph" w:customStyle="1" w:styleId="Pointivx2">
    <w:name w:val="Point ivx (2)"/>
    <w:basedOn w:val="Normal"/>
    <w:rsid w:val="00653571"/>
    <w:pPr>
      <w:numPr>
        <w:ilvl w:val="2"/>
        <w:numId w:val="17"/>
      </w:numPr>
      <w:spacing w:before="120" w:after="120" w:line="360" w:lineRule="auto"/>
    </w:pPr>
    <w:rPr>
      <w:rFonts w:ascii="Times New Roman" w:hAnsi="Times New Roman" w:cs="Times New Roman"/>
      <w:sz w:val="24"/>
      <w:lang w:val="en-GB"/>
    </w:rPr>
  </w:style>
  <w:style w:type="paragraph" w:customStyle="1" w:styleId="Pointivx3">
    <w:name w:val="Point ivx (3)"/>
    <w:basedOn w:val="Normal"/>
    <w:rsid w:val="00653571"/>
    <w:pPr>
      <w:numPr>
        <w:ilvl w:val="3"/>
        <w:numId w:val="17"/>
      </w:numPr>
      <w:spacing w:before="120" w:after="120" w:line="360" w:lineRule="auto"/>
    </w:pPr>
    <w:rPr>
      <w:rFonts w:ascii="Times New Roman" w:hAnsi="Times New Roman" w:cs="Times New Roman"/>
      <w:sz w:val="24"/>
      <w:lang w:val="en-GB"/>
    </w:rPr>
  </w:style>
  <w:style w:type="paragraph" w:customStyle="1" w:styleId="Pointivx4">
    <w:name w:val="Point ivx (4)"/>
    <w:basedOn w:val="Normal"/>
    <w:rsid w:val="00653571"/>
    <w:pPr>
      <w:numPr>
        <w:ilvl w:val="4"/>
        <w:numId w:val="17"/>
      </w:numPr>
      <w:spacing w:before="120" w:after="120" w:line="360" w:lineRule="auto"/>
    </w:pPr>
    <w:rPr>
      <w:rFonts w:ascii="Times New Roman" w:hAnsi="Times New Roman" w:cs="Times New Roman"/>
      <w:sz w:val="24"/>
      <w:lang w:val="en-GB"/>
    </w:rPr>
  </w:style>
  <w:style w:type="paragraph" w:customStyle="1" w:styleId="Bullet">
    <w:name w:val="Bullet"/>
    <w:basedOn w:val="Normal"/>
    <w:link w:val="BulletChar"/>
    <w:qFormat/>
    <w:rsid w:val="00653571"/>
    <w:pPr>
      <w:numPr>
        <w:numId w:val="11"/>
      </w:numPr>
      <w:spacing w:before="120" w:after="120" w:line="360" w:lineRule="auto"/>
    </w:pPr>
    <w:rPr>
      <w:rFonts w:ascii="Times New Roman" w:hAnsi="Times New Roman" w:cs="Times New Roman"/>
      <w:sz w:val="24"/>
      <w:lang w:val="en-GB"/>
    </w:rPr>
  </w:style>
  <w:style w:type="paragraph" w:customStyle="1" w:styleId="Bullet1">
    <w:name w:val="Bullet 1"/>
    <w:basedOn w:val="Normal"/>
    <w:rsid w:val="00653571"/>
    <w:pPr>
      <w:numPr>
        <w:numId w:val="12"/>
      </w:numPr>
      <w:spacing w:before="120" w:after="120" w:line="360" w:lineRule="auto"/>
    </w:pPr>
    <w:rPr>
      <w:rFonts w:ascii="Times New Roman" w:hAnsi="Times New Roman" w:cs="Times New Roman"/>
      <w:sz w:val="24"/>
      <w:lang w:val="en-GB"/>
    </w:rPr>
  </w:style>
  <w:style w:type="paragraph" w:customStyle="1" w:styleId="Bullet2">
    <w:name w:val="Bullet 2"/>
    <w:basedOn w:val="Normal"/>
    <w:rsid w:val="00653571"/>
    <w:pPr>
      <w:numPr>
        <w:numId w:val="13"/>
      </w:numPr>
      <w:spacing w:before="120" w:after="120" w:line="360" w:lineRule="auto"/>
    </w:pPr>
    <w:rPr>
      <w:rFonts w:ascii="Times New Roman" w:hAnsi="Times New Roman" w:cs="Times New Roman"/>
      <w:sz w:val="24"/>
      <w:lang w:val="en-GB"/>
    </w:rPr>
  </w:style>
  <w:style w:type="paragraph" w:customStyle="1" w:styleId="Bullet3">
    <w:name w:val="Bullet 3"/>
    <w:basedOn w:val="Normal"/>
    <w:rsid w:val="00653571"/>
    <w:pPr>
      <w:numPr>
        <w:numId w:val="14"/>
      </w:numPr>
      <w:spacing w:before="120" w:after="120" w:line="360" w:lineRule="auto"/>
    </w:pPr>
    <w:rPr>
      <w:rFonts w:ascii="Times New Roman" w:hAnsi="Times New Roman" w:cs="Times New Roman"/>
      <w:sz w:val="24"/>
      <w:lang w:val="en-GB"/>
    </w:rPr>
  </w:style>
  <w:style w:type="paragraph" w:customStyle="1" w:styleId="Bullet4">
    <w:name w:val="Bullet 4"/>
    <w:basedOn w:val="Normal"/>
    <w:rsid w:val="00653571"/>
    <w:pPr>
      <w:numPr>
        <w:numId w:val="15"/>
      </w:numPr>
      <w:spacing w:before="120" w:after="120" w:line="360" w:lineRule="auto"/>
    </w:pPr>
    <w:rPr>
      <w:rFonts w:ascii="Times New Roman" w:hAnsi="Times New Roman" w:cs="Times New Roman"/>
      <w:sz w:val="24"/>
      <w:lang w:val="en-GB"/>
    </w:rPr>
  </w:style>
  <w:style w:type="paragraph" w:customStyle="1" w:styleId="Dash">
    <w:name w:val="Dash"/>
    <w:basedOn w:val="Normal"/>
    <w:rsid w:val="00653571"/>
    <w:pPr>
      <w:numPr>
        <w:numId w:val="1"/>
      </w:numPr>
      <w:spacing w:before="120" w:after="120" w:line="360" w:lineRule="auto"/>
    </w:pPr>
    <w:rPr>
      <w:rFonts w:ascii="Times New Roman" w:hAnsi="Times New Roman" w:cs="Times New Roman"/>
      <w:sz w:val="24"/>
      <w:lang w:val="en-GB"/>
    </w:rPr>
  </w:style>
  <w:style w:type="paragraph" w:customStyle="1" w:styleId="Dash1">
    <w:name w:val="Dash 1"/>
    <w:basedOn w:val="Normal"/>
    <w:rsid w:val="00653571"/>
    <w:pPr>
      <w:numPr>
        <w:numId w:val="2"/>
      </w:numPr>
      <w:spacing w:before="120" w:after="120" w:line="360" w:lineRule="auto"/>
    </w:pPr>
    <w:rPr>
      <w:rFonts w:ascii="Times New Roman" w:hAnsi="Times New Roman" w:cs="Times New Roman"/>
      <w:sz w:val="24"/>
      <w:lang w:val="en-GB"/>
    </w:rPr>
  </w:style>
  <w:style w:type="paragraph" w:customStyle="1" w:styleId="Dash2">
    <w:name w:val="Dash 2"/>
    <w:basedOn w:val="Normal"/>
    <w:rsid w:val="00653571"/>
    <w:pPr>
      <w:numPr>
        <w:numId w:val="3"/>
      </w:numPr>
      <w:spacing w:before="120" w:after="120" w:line="360" w:lineRule="auto"/>
    </w:pPr>
    <w:rPr>
      <w:rFonts w:ascii="Times New Roman" w:hAnsi="Times New Roman" w:cs="Times New Roman"/>
      <w:sz w:val="24"/>
      <w:lang w:val="en-GB"/>
    </w:rPr>
  </w:style>
  <w:style w:type="paragraph" w:customStyle="1" w:styleId="Dash3">
    <w:name w:val="Dash 3"/>
    <w:basedOn w:val="Normal"/>
    <w:rsid w:val="00653571"/>
    <w:pPr>
      <w:numPr>
        <w:numId w:val="4"/>
      </w:numPr>
      <w:spacing w:before="120" w:after="120" w:line="360" w:lineRule="auto"/>
    </w:pPr>
    <w:rPr>
      <w:rFonts w:ascii="Times New Roman" w:hAnsi="Times New Roman" w:cs="Times New Roman"/>
      <w:sz w:val="24"/>
      <w:lang w:val="en-GB"/>
    </w:rPr>
  </w:style>
  <w:style w:type="paragraph" w:customStyle="1" w:styleId="Dash4">
    <w:name w:val="Dash 4"/>
    <w:basedOn w:val="Normal"/>
    <w:rsid w:val="00653571"/>
    <w:pPr>
      <w:numPr>
        <w:numId w:val="5"/>
      </w:numPr>
      <w:spacing w:before="120" w:after="120" w:line="360" w:lineRule="auto"/>
    </w:pPr>
    <w:rPr>
      <w:rFonts w:ascii="Times New Roman" w:hAnsi="Times New Roman" w:cs="Times New Roman"/>
      <w:sz w:val="24"/>
      <w:lang w:val="en-GB"/>
    </w:rPr>
  </w:style>
  <w:style w:type="paragraph" w:customStyle="1" w:styleId="DashEqual">
    <w:name w:val="Dash Equal"/>
    <w:basedOn w:val="Dash"/>
    <w:rsid w:val="00653571"/>
    <w:pPr>
      <w:numPr>
        <w:numId w:val="6"/>
      </w:numPr>
    </w:pPr>
  </w:style>
  <w:style w:type="paragraph" w:customStyle="1" w:styleId="DashEqual1">
    <w:name w:val="Dash Equal 1"/>
    <w:basedOn w:val="Dash1"/>
    <w:rsid w:val="00653571"/>
    <w:pPr>
      <w:numPr>
        <w:numId w:val="7"/>
      </w:numPr>
    </w:pPr>
  </w:style>
  <w:style w:type="paragraph" w:customStyle="1" w:styleId="DashEqual2">
    <w:name w:val="Dash Equal 2"/>
    <w:basedOn w:val="Dash2"/>
    <w:rsid w:val="00653571"/>
    <w:pPr>
      <w:numPr>
        <w:numId w:val="8"/>
      </w:numPr>
    </w:pPr>
  </w:style>
  <w:style w:type="paragraph" w:customStyle="1" w:styleId="DashEqual3">
    <w:name w:val="Dash Equal 3"/>
    <w:basedOn w:val="Dash3"/>
    <w:rsid w:val="00653571"/>
    <w:pPr>
      <w:numPr>
        <w:numId w:val="9"/>
      </w:numPr>
    </w:pPr>
  </w:style>
  <w:style w:type="paragraph" w:customStyle="1" w:styleId="DashEqual4">
    <w:name w:val="Dash Equal 4"/>
    <w:basedOn w:val="Dash4"/>
    <w:rsid w:val="00653571"/>
    <w:pPr>
      <w:numPr>
        <w:numId w:val="10"/>
      </w:numPr>
    </w:pPr>
  </w:style>
  <w:style w:type="character" w:customStyle="1" w:styleId="Marker">
    <w:name w:val="Marker"/>
    <w:basedOn w:val="DefaultParagraphFont"/>
    <w:rsid w:val="00653571"/>
    <w:rPr>
      <w:color w:val="0000FF"/>
      <w:shd w:val="clear" w:color="auto" w:fill="auto"/>
    </w:rPr>
  </w:style>
  <w:style w:type="character" w:customStyle="1" w:styleId="Marker1">
    <w:name w:val="Marker1"/>
    <w:basedOn w:val="DefaultParagraphFont"/>
    <w:rsid w:val="00653571"/>
    <w:rPr>
      <w:color w:val="008000"/>
      <w:shd w:val="clear" w:color="auto" w:fill="auto"/>
    </w:rPr>
  </w:style>
  <w:style w:type="paragraph" w:customStyle="1" w:styleId="HeadingLeft">
    <w:name w:val="Heading Left"/>
    <w:basedOn w:val="Normal"/>
    <w:next w:val="Normal"/>
    <w:rsid w:val="00653571"/>
    <w:pPr>
      <w:spacing w:before="360" w:after="120" w:line="360" w:lineRule="auto"/>
      <w:outlineLvl w:val="0"/>
    </w:pPr>
    <w:rPr>
      <w:rFonts w:ascii="Times New Roman" w:hAnsi="Times New Roman" w:cs="Times New Roman"/>
      <w:b/>
      <w:caps/>
      <w:sz w:val="24"/>
      <w:u w:val="single"/>
      <w:lang w:val="en-GB"/>
    </w:rPr>
  </w:style>
  <w:style w:type="paragraph" w:customStyle="1" w:styleId="HeadingIVX">
    <w:name w:val="Heading IVX"/>
    <w:basedOn w:val="HeadingLeft"/>
    <w:next w:val="Normal"/>
    <w:rsid w:val="00653571"/>
    <w:pPr>
      <w:numPr>
        <w:numId w:val="20"/>
      </w:numPr>
    </w:pPr>
  </w:style>
  <w:style w:type="paragraph" w:customStyle="1" w:styleId="Heading123">
    <w:name w:val="Heading 123"/>
    <w:basedOn w:val="HeadingLeft"/>
    <w:next w:val="Normal"/>
    <w:rsid w:val="00653571"/>
    <w:pPr>
      <w:numPr>
        <w:numId w:val="19"/>
      </w:numPr>
    </w:pPr>
  </w:style>
  <w:style w:type="paragraph" w:customStyle="1" w:styleId="HeadingABC">
    <w:name w:val="Heading ABC"/>
    <w:basedOn w:val="HeadingLeft"/>
    <w:next w:val="Normal"/>
    <w:rsid w:val="00653571"/>
    <w:pPr>
      <w:numPr>
        <w:numId w:val="18"/>
      </w:numPr>
    </w:pPr>
  </w:style>
  <w:style w:type="paragraph" w:customStyle="1" w:styleId="HeadingCentered">
    <w:name w:val="Heading Centered"/>
    <w:basedOn w:val="HeadingLeft"/>
    <w:next w:val="Normal"/>
    <w:rsid w:val="00653571"/>
    <w:pPr>
      <w:jc w:val="center"/>
    </w:pPr>
  </w:style>
  <w:style w:type="paragraph" w:customStyle="1" w:styleId="Jardin">
    <w:name w:val="Jardin"/>
    <w:basedOn w:val="Normal"/>
    <w:rsid w:val="00653571"/>
    <w:pPr>
      <w:spacing w:before="200" w:after="0" w:line="240" w:lineRule="auto"/>
      <w:jc w:val="center"/>
    </w:pPr>
    <w:rPr>
      <w:rFonts w:ascii="Times New Roman" w:hAnsi="Times New Roman" w:cs="Times New Roman"/>
      <w:sz w:val="24"/>
      <w:lang w:val="en-GB"/>
    </w:rPr>
  </w:style>
  <w:style w:type="paragraph" w:customStyle="1" w:styleId="Amendment">
    <w:name w:val="Amendment"/>
    <w:basedOn w:val="Normal"/>
    <w:next w:val="Normal"/>
    <w:rsid w:val="00653571"/>
    <w:pPr>
      <w:spacing w:before="120" w:after="120" w:line="360" w:lineRule="auto"/>
    </w:pPr>
    <w:rPr>
      <w:rFonts w:ascii="Times New Roman" w:hAnsi="Times New Roman" w:cs="Times New Roman"/>
      <w:i/>
      <w:sz w:val="24"/>
      <w:u w:val="single"/>
      <w:lang w:val="en-GB"/>
    </w:rPr>
  </w:style>
  <w:style w:type="paragraph" w:customStyle="1" w:styleId="AmendmentList">
    <w:name w:val="Amendment List"/>
    <w:basedOn w:val="Normal"/>
    <w:rsid w:val="00653571"/>
    <w:pPr>
      <w:spacing w:before="120" w:after="120" w:line="360" w:lineRule="auto"/>
      <w:ind w:left="2268" w:hanging="2268"/>
    </w:pPr>
    <w:rPr>
      <w:rFonts w:ascii="Times New Roman" w:hAnsi="Times New Roman" w:cs="Times New Roman"/>
      <w:sz w:val="24"/>
      <w:lang w:val="en-GB"/>
    </w:rPr>
  </w:style>
  <w:style w:type="paragraph" w:customStyle="1" w:styleId="ReplyRE">
    <w:name w:val="Reply RE"/>
    <w:basedOn w:val="Normal"/>
    <w:next w:val="Normal"/>
    <w:rsid w:val="00653571"/>
    <w:pPr>
      <w:spacing w:before="120" w:after="480" w:line="240" w:lineRule="auto"/>
      <w:contextualSpacing/>
    </w:pPr>
    <w:rPr>
      <w:rFonts w:ascii="Times New Roman" w:hAnsi="Times New Roman" w:cs="Times New Roman"/>
      <w:sz w:val="24"/>
      <w:lang w:val="en-GB"/>
    </w:rPr>
  </w:style>
  <w:style w:type="paragraph" w:customStyle="1" w:styleId="ReplyBold">
    <w:name w:val="Reply Bold"/>
    <w:basedOn w:val="ReplyRE"/>
    <w:next w:val="Normal"/>
    <w:rsid w:val="00653571"/>
    <w:rPr>
      <w:b/>
    </w:rPr>
  </w:style>
  <w:style w:type="paragraph" w:customStyle="1" w:styleId="Annex">
    <w:name w:val="Annex"/>
    <w:basedOn w:val="Normal"/>
    <w:next w:val="Normal"/>
    <w:rsid w:val="00653571"/>
    <w:pPr>
      <w:spacing w:before="120" w:after="120" w:line="360" w:lineRule="auto"/>
      <w:jc w:val="right"/>
    </w:pPr>
    <w:rPr>
      <w:rFonts w:ascii="Times New Roman" w:hAnsi="Times New Roman" w:cs="Times New Roman"/>
      <w:b/>
      <w:sz w:val="24"/>
      <w:u w:val="single"/>
      <w:lang w:val="en-GB"/>
    </w:rPr>
  </w:style>
  <w:style w:type="paragraph" w:customStyle="1" w:styleId="Sign">
    <w:name w:val="Sign"/>
    <w:basedOn w:val="Normal"/>
    <w:rsid w:val="00653571"/>
    <w:pPr>
      <w:tabs>
        <w:tab w:val="center" w:pos="7087"/>
      </w:tabs>
      <w:spacing w:before="120" w:after="120" w:line="360" w:lineRule="auto"/>
      <w:contextualSpacing/>
    </w:pPr>
    <w:rPr>
      <w:rFonts w:ascii="Times New Roman" w:hAnsi="Times New Roman" w:cs="Times New Roman"/>
      <w:sz w:val="24"/>
      <w:lang w:val="en-GB"/>
    </w:rPr>
  </w:style>
  <w:style w:type="paragraph" w:customStyle="1" w:styleId="NotDeclassified">
    <w:name w:val="Not Declassified"/>
    <w:basedOn w:val="Normal"/>
    <w:next w:val="Normal"/>
    <w:rsid w:val="00653571"/>
    <w:pPr>
      <w:spacing w:before="120" w:after="120" w:line="360" w:lineRule="auto"/>
    </w:pPr>
    <w:rPr>
      <w:rFonts w:ascii="Times New Roman" w:hAnsi="Times New Roman" w:cs="Times New Roman"/>
      <w:b/>
      <w:sz w:val="24"/>
      <w:shd w:val="clear" w:color="auto" w:fill="CCCCCC"/>
      <w:lang w:val="en-GB"/>
    </w:rPr>
  </w:style>
  <w:style w:type="character" w:customStyle="1" w:styleId="NotDeclassifiedCharacter">
    <w:name w:val="Not Declassified Character"/>
    <w:basedOn w:val="DefaultParagraphFont"/>
    <w:rsid w:val="00653571"/>
    <w:rPr>
      <w:rFonts w:ascii="Times New Roman" w:hAnsi="Times New Roman" w:cs="Times New Roman"/>
      <w:b/>
      <w:sz w:val="24"/>
      <w:shd w:val="clear" w:color="auto" w:fill="CCCCCC"/>
    </w:rPr>
  </w:style>
  <w:style w:type="paragraph" w:customStyle="1" w:styleId="NormalCompact">
    <w:name w:val="Normal Compact"/>
    <w:basedOn w:val="Normal"/>
    <w:next w:val="Normal"/>
    <w:rsid w:val="00653571"/>
    <w:pPr>
      <w:spacing w:before="120" w:after="120" w:line="240" w:lineRule="auto"/>
    </w:pPr>
    <w:rPr>
      <w:rFonts w:ascii="Times New Roman" w:hAnsi="Times New Roman" w:cs="Times New Roman"/>
      <w:sz w:val="24"/>
      <w:lang w:val="en-GB"/>
    </w:rPr>
  </w:style>
  <w:style w:type="paragraph" w:styleId="EndnoteText">
    <w:name w:val="endnote text"/>
    <w:basedOn w:val="Normal"/>
    <w:link w:val="EndnoteTextChar"/>
    <w:semiHidden/>
    <w:unhideWhenUsed/>
    <w:rsid w:val="00653571"/>
    <w:pPr>
      <w:spacing w:after="0" w:line="240" w:lineRule="auto"/>
    </w:pPr>
    <w:rPr>
      <w:rFonts w:ascii="Times New Roman" w:hAnsi="Times New Roman" w:cs="Times New Roman"/>
      <w:sz w:val="20"/>
      <w:szCs w:val="20"/>
      <w:lang w:val="en-GB"/>
    </w:rPr>
  </w:style>
  <w:style w:type="character" w:customStyle="1" w:styleId="EndnoteTextChar">
    <w:name w:val="Endnote Text Char"/>
    <w:basedOn w:val="DefaultParagraphFont"/>
    <w:link w:val="EndnoteText"/>
    <w:semiHidden/>
    <w:rsid w:val="00653571"/>
    <w:rPr>
      <w:rFonts w:ascii="Times New Roman" w:hAnsi="Times New Roman" w:cs="Times New Roman"/>
      <w:sz w:val="20"/>
      <w:szCs w:val="20"/>
      <w:lang w:val="en-GB"/>
    </w:rPr>
  </w:style>
  <w:style w:type="character" w:styleId="EndnoteReference">
    <w:name w:val="endnote reference"/>
    <w:basedOn w:val="DefaultParagraphFont"/>
    <w:semiHidden/>
    <w:unhideWhenUsed/>
    <w:rsid w:val="00653571"/>
    <w:rPr>
      <w:vertAlign w:val="superscript"/>
    </w:rPr>
  </w:style>
  <w:style w:type="paragraph" w:customStyle="1" w:styleId="HeaderCouncilLarge">
    <w:name w:val="Header Council Large"/>
    <w:basedOn w:val="Normal"/>
    <w:link w:val="HeaderCouncilLargeChar"/>
    <w:rsid w:val="00653571"/>
    <w:pPr>
      <w:spacing w:after="440" w:line="360" w:lineRule="auto"/>
      <w:ind w:left="-1134" w:right="-1134"/>
    </w:pPr>
    <w:rPr>
      <w:rFonts w:ascii="Times New Roman" w:hAnsi="Times New Roman" w:cs="Times New Roman"/>
      <w:sz w:val="2"/>
      <w:lang w:val="en-GB"/>
    </w:rPr>
  </w:style>
  <w:style w:type="character" w:customStyle="1" w:styleId="HeaderCouncilLargeChar">
    <w:name w:val="Header Council Large Char"/>
    <w:basedOn w:val="TechnicalBlockChar"/>
    <w:link w:val="HeaderCouncilLarge"/>
    <w:rsid w:val="00653571"/>
    <w:rPr>
      <w:rFonts w:ascii="Times New Roman" w:hAnsi="Times New Roman" w:cs="Times New Roman"/>
      <w:sz w:val="2"/>
      <w:lang w:val="en-GB"/>
    </w:rPr>
  </w:style>
  <w:style w:type="character" w:styleId="PlaceholderText">
    <w:name w:val="Placeholder Text"/>
    <w:basedOn w:val="DefaultParagraphFont"/>
    <w:uiPriority w:val="99"/>
    <w:semiHidden/>
    <w:rsid w:val="00653571"/>
    <w:rPr>
      <w:color w:val="808080"/>
    </w:rPr>
  </w:style>
  <w:style w:type="paragraph" w:customStyle="1" w:styleId="Par-numberI0">
    <w:name w:val="Par-number I."/>
    <w:basedOn w:val="Normal"/>
    <w:next w:val="Normal"/>
    <w:rsid w:val="00653571"/>
    <w:pPr>
      <w:widowControl w:val="0"/>
      <w:tabs>
        <w:tab w:val="num" w:pos="1701"/>
      </w:tabs>
      <w:spacing w:after="0" w:line="360" w:lineRule="auto"/>
      <w:ind w:left="1701" w:hanging="567"/>
    </w:pPr>
    <w:rPr>
      <w:rFonts w:ascii="Times New Roman" w:eastAsia="Times New Roman" w:hAnsi="Times New Roman" w:cs="Times New Roman"/>
      <w:sz w:val="24"/>
      <w:szCs w:val="20"/>
      <w:lang w:val="en-GB" w:eastAsia="fr-BE"/>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653571"/>
    <w:pPr>
      <w:spacing w:before="120" w:after="120" w:line="360" w:lineRule="auto"/>
      <w:ind w:left="720"/>
      <w:contextualSpacing/>
    </w:pPr>
    <w:rPr>
      <w:rFonts w:ascii="Times New Roman" w:hAnsi="Times New Roman" w:cs="Times New Roman"/>
      <w:sz w:val="24"/>
      <w:lang w:val="en-GB"/>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653571"/>
    <w:rPr>
      <w:rFonts w:ascii="Times New Roman" w:hAnsi="Times New Roman" w:cs="Times New Roman"/>
      <w:sz w:val="24"/>
      <w:lang w:val="en-GB"/>
    </w:rPr>
  </w:style>
  <w:style w:type="character" w:styleId="Hyperlink">
    <w:name w:val="Hyperlink"/>
    <w:unhideWhenUsed/>
    <w:rsid w:val="00653571"/>
    <w:rPr>
      <w:color w:val="0000FF"/>
      <w:u w:val="single"/>
    </w:rPr>
  </w:style>
  <w:style w:type="character" w:styleId="Strong">
    <w:name w:val="Strong"/>
    <w:uiPriority w:val="22"/>
    <w:qFormat/>
    <w:rsid w:val="00653571"/>
    <w:rPr>
      <w:rFonts w:ascii="Times New Roman" w:hAnsi="Times New Roman" w:cs="Times New Roman" w:hint="default"/>
      <w:b/>
      <w:bCs/>
    </w:rPr>
  </w:style>
  <w:style w:type="paragraph" w:customStyle="1" w:styleId="msonormal0">
    <w:name w:val="msonormal"/>
    <w:basedOn w:val="Normal"/>
    <w:rsid w:val="00653571"/>
    <w:pPr>
      <w:suppressAutoHyphens/>
      <w:spacing w:before="100" w:after="100" w:line="240" w:lineRule="auto"/>
    </w:pPr>
    <w:rPr>
      <w:rFonts w:ascii="Times New Roman" w:eastAsia="Times New Roman" w:hAnsi="Times New Roman" w:cs="Times New Roman"/>
      <w:sz w:val="24"/>
      <w:szCs w:val="24"/>
      <w:lang w:val="en-GB" w:eastAsia="ar-SA"/>
    </w:rPr>
  </w:style>
  <w:style w:type="paragraph" w:styleId="TOC6">
    <w:name w:val="toc 6"/>
    <w:basedOn w:val="Normal"/>
    <w:next w:val="Normal"/>
    <w:autoRedefine/>
    <w:uiPriority w:val="39"/>
    <w:semiHidden/>
    <w:unhideWhenUsed/>
    <w:rsid w:val="00653571"/>
    <w:pPr>
      <w:tabs>
        <w:tab w:val="left" w:pos="3402"/>
        <w:tab w:val="right" w:leader="dot" w:pos="9639"/>
      </w:tabs>
      <w:spacing w:after="0" w:line="360" w:lineRule="auto"/>
      <w:ind w:left="3402" w:right="567" w:hanging="567"/>
    </w:pPr>
    <w:rPr>
      <w:rFonts w:ascii="Times New Roman" w:eastAsia="Calibri" w:hAnsi="Times New Roman" w:cs="Arial"/>
      <w:sz w:val="24"/>
      <w:lang w:val="en-US"/>
    </w:rPr>
  </w:style>
  <w:style w:type="paragraph" w:styleId="NormalIndent">
    <w:name w:val="Normal Indent"/>
    <w:basedOn w:val="Normal"/>
    <w:semiHidden/>
    <w:unhideWhenUsed/>
    <w:rsid w:val="00653571"/>
    <w:pPr>
      <w:spacing w:after="240" w:line="240" w:lineRule="auto"/>
      <w:ind w:left="720"/>
      <w:jc w:val="both"/>
    </w:pPr>
    <w:rPr>
      <w:rFonts w:ascii="Times New Roman" w:eastAsia="Times New Roman" w:hAnsi="Times New Roman" w:cs="Times New Roman"/>
      <w:sz w:val="24"/>
      <w:lang w:val="en-GB" w:eastAsia="en-GB"/>
    </w:rPr>
  </w:style>
  <w:style w:type="paragraph" w:styleId="CommentText">
    <w:name w:val="annotation text"/>
    <w:basedOn w:val="Normal"/>
    <w:link w:val="CommentTextChar"/>
    <w:uiPriority w:val="99"/>
    <w:unhideWhenUsed/>
    <w:qFormat/>
    <w:rsid w:val="00653571"/>
    <w:pPr>
      <w:spacing w:after="0" w:line="360" w:lineRule="auto"/>
    </w:pPr>
    <w:rPr>
      <w:rFonts w:ascii="Times New Roman" w:eastAsia="Calibri" w:hAnsi="Times New Roman" w:cs="Arial"/>
      <w:sz w:val="20"/>
      <w:szCs w:val="20"/>
      <w:lang w:val="en-US"/>
    </w:rPr>
  </w:style>
  <w:style w:type="character" w:customStyle="1" w:styleId="CommentTextChar">
    <w:name w:val="Comment Text Char"/>
    <w:basedOn w:val="DefaultParagraphFont"/>
    <w:link w:val="CommentText"/>
    <w:uiPriority w:val="99"/>
    <w:qFormat/>
    <w:rsid w:val="00653571"/>
    <w:rPr>
      <w:rFonts w:ascii="Times New Roman" w:eastAsia="Calibri" w:hAnsi="Times New Roman" w:cs="Arial"/>
      <w:sz w:val="20"/>
      <w:szCs w:val="20"/>
    </w:rPr>
  </w:style>
  <w:style w:type="character" w:customStyle="1" w:styleId="MacroTextChar">
    <w:name w:val="Macro Text Char"/>
    <w:basedOn w:val="DefaultParagraphFont"/>
    <w:link w:val="MacroText"/>
    <w:semiHidden/>
    <w:rsid w:val="00653571"/>
    <w:rPr>
      <w:rFonts w:ascii="Courier New" w:eastAsia="Times New Roman" w:hAnsi="Courier New" w:cs="Times New Roman"/>
      <w:lang w:val="en-GB"/>
    </w:rPr>
  </w:style>
  <w:style w:type="paragraph" w:styleId="MacroText">
    <w:name w:val="macro"/>
    <w:link w:val="MacroTextChar"/>
    <w:semiHidden/>
    <w:unhideWhenUsed/>
    <w:rsid w:val="00653571"/>
    <w:pPr>
      <w:tabs>
        <w:tab w:val="left" w:pos="480"/>
        <w:tab w:val="left" w:pos="960"/>
        <w:tab w:val="left" w:pos="1440"/>
        <w:tab w:val="left" w:pos="1920"/>
        <w:tab w:val="left" w:pos="2400"/>
        <w:tab w:val="left" w:pos="2880"/>
        <w:tab w:val="left" w:pos="3360"/>
        <w:tab w:val="left" w:pos="3840"/>
        <w:tab w:val="left" w:pos="4320"/>
      </w:tabs>
      <w:spacing w:after="240" w:line="276" w:lineRule="auto"/>
      <w:jc w:val="both"/>
    </w:pPr>
    <w:rPr>
      <w:rFonts w:ascii="Courier New" w:eastAsia="Times New Roman" w:hAnsi="Courier New" w:cs="Times New Roman"/>
      <w:lang w:val="en-GB"/>
    </w:rPr>
  </w:style>
  <w:style w:type="character" w:customStyle="1" w:styleId="MacroTextChar1">
    <w:name w:val="Macro Text Char1"/>
    <w:basedOn w:val="DefaultParagraphFont"/>
    <w:uiPriority w:val="99"/>
    <w:semiHidden/>
    <w:rsid w:val="00653571"/>
    <w:rPr>
      <w:rFonts w:ascii="Consolas" w:hAnsi="Consolas"/>
      <w:sz w:val="20"/>
      <w:szCs w:val="20"/>
      <w:lang w:val="ro-RO"/>
    </w:rPr>
  </w:style>
  <w:style w:type="paragraph" w:styleId="ListBullet">
    <w:name w:val="List Bullet"/>
    <w:basedOn w:val="Normal"/>
    <w:semiHidden/>
    <w:unhideWhenUsed/>
    <w:rsid w:val="00653571"/>
    <w:pPr>
      <w:numPr>
        <w:numId w:val="22"/>
      </w:numPr>
      <w:spacing w:after="0" w:line="360" w:lineRule="auto"/>
      <w:contextualSpacing/>
    </w:pPr>
    <w:rPr>
      <w:rFonts w:ascii="Times New Roman" w:eastAsia="Calibri" w:hAnsi="Times New Roman" w:cs="Arial"/>
      <w:sz w:val="24"/>
      <w:lang w:val="en-US"/>
    </w:rPr>
  </w:style>
  <w:style w:type="paragraph" w:styleId="ListNumber">
    <w:name w:val="List Number"/>
    <w:basedOn w:val="Normal"/>
    <w:semiHidden/>
    <w:unhideWhenUsed/>
    <w:rsid w:val="00653571"/>
    <w:pPr>
      <w:numPr>
        <w:numId w:val="23"/>
      </w:numPr>
      <w:spacing w:after="240" w:line="240" w:lineRule="auto"/>
      <w:jc w:val="both"/>
    </w:pPr>
    <w:rPr>
      <w:rFonts w:ascii="Times New Roman" w:eastAsia="Times New Roman" w:hAnsi="Times New Roman" w:cs="Times New Roman"/>
      <w:sz w:val="24"/>
      <w:lang w:val="en-GB" w:eastAsia="en-GB"/>
    </w:rPr>
  </w:style>
  <w:style w:type="paragraph" w:styleId="List2">
    <w:name w:val="List 2"/>
    <w:basedOn w:val="Normal"/>
    <w:semiHidden/>
    <w:unhideWhenUsed/>
    <w:rsid w:val="00653571"/>
    <w:pPr>
      <w:spacing w:after="240" w:line="240" w:lineRule="auto"/>
      <w:ind w:left="566" w:hanging="283"/>
      <w:jc w:val="both"/>
    </w:pPr>
    <w:rPr>
      <w:rFonts w:ascii="Times New Roman" w:eastAsia="Times New Roman" w:hAnsi="Times New Roman" w:cs="Times New Roman"/>
      <w:sz w:val="24"/>
      <w:lang w:val="en-GB" w:eastAsia="en-GB"/>
    </w:rPr>
  </w:style>
  <w:style w:type="paragraph" w:styleId="ListBullet2">
    <w:name w:val="List Bullet 2"/>
    <w:basedOn w:val="Normal"/>
    <w:semiHidden/>
    <w:unhideWhenUsed/>
    <w:rsid w:val="00653571"/>
    <w:pPr>
      <w:numPr>
        <w:numId w:val="24"/>
      </w:numPr>
      <w:spacing w:before="120" w:after="120" w:line="240" w:lineRule="auto"/>
      <w:contextualSpacing/>
      <w:jc w:val="both"/>
    </w:pPr>
    <w:rPr>
      <w:rFonts w:ascii="Times New Roman" w:eastAsia="Calibri" w:hAnsi="Times New Roman" w:cs="Times New Roman"/>
      <w:sz w:val="24"/>
      <w:lang w:val="en-GB" w:eastAsia="en-GB"/>
    </w:rPr>
  </w:style>
  <w:style w:type="paragraph" w:styleId="ListBullet3">
    <w:name w:val="List Bullet 3"/>
    <w:basedOn w:val="Normal"/>
    <w:semiHidden/>
    <w:unhideWhenUsed/>
    <w:rsid w:val="00653571"/>
    <w:pPr>
      <w:numPr>
        <w:numId w:val="25"/>
      </w:numPr>
      <w:spacing w:before="120" w:after="120" w:line="240" w:lineRule="auto"/>
      <w:contextualSpacing/>
      <w:jc w:val="both"/>
    </w:pPr>
    <w:rPr>
      <w:rFonts w:ascii="Times New Roman" w:eastAsia="Calibri" w:hAnsi="Times New Roman" w:cs="Times New Roman"/>
      <w:sz w:val="24"/>
      <w:lang w:val="en-GB" w:eastAsia="en-GB"/>
    </w:rPr>
  </w:style>
  <w:style w:type="paragraph" w:styleId="ListBullet4">
    <w:name w:val="List Bullet 4"/>
    <w:basedOn w:val="Normal"/>
    <w:semiHidden/>
    <w:unhideWhenUsed/>
    <w:rsid w:val="00653571"/>
    <w:pPr>
      <w:numPr>
        <w:numId w:val="26"/>
      </w:numPr>
      <w:spacing w:before="120" w:after="120" w:line="240" w:lineRule="auto"/>
      <w:contextualSpacing/>
      <w:jc w:val="both"/>
    </w:pPr>
    <w:rPr>
      <w:rFonts w:ascii="Times New Roman" w:eastAsia="Calibri" w:hAnsi="Times New Roman" w:cs="Times New Roman"/>
      <w:sz w:val="24"/>
      <w:lang w:val="en-GB" w:eastAsia="en-GB"/>
    </w:rPr>
  </w:style>
  <w:style w:type="paragraph" w:styleId="ListBullet5">
    <w:name w:val="List Bullet 5"/>
    <w:basedOn w:val="Normal"/>
    <w:autoRedefine/>
    <w:semiHidden/>
    <w:unhideWhenUsed/>
    <w:rsid w:val="00653571"/>
    <w:pPr>
      <w:numPr>
        <w:numId w:val="27"/>
      </w:numPr>
      <w:spacing w:after="240" w:line="240" w:lineRule="auto"/>
      <w:jc w:val="both"/>
    </w:pPr>
    <w:rPr>
      <w:rFonts w:ascii="Times New Roman" w:eastAsia="Times New Roman" w:hAnsi="Times New Roman" w:cs="Times New Roman"/>
      <w:sz w:val="24"/>
      <w:lang w:val="en-GB" w:eastAsia="en-GB"/>
    </w:rPr>
  </w:style>
  <w:style w:type="paragraph" w:styleId="ListNumber5">
    <w:name w:val="List Number 5"/>
    <w:basedOn w:val="Normal"/>
    <w:semiHidden/>
    <w:unhideWhenUsed/>
    <w:rsid w:val="00653571"/>
    <w:pPr>
      <w:numPr>
        <w:numId w:val="28"/>
      </w:numPr>
      <w:spacing w:after="240" w:line="240" w:lineRule="auto"/>
      <w:jc w:val="both"/>
    </w:pPr>
    <w:rPr>
      <w:rFonts w:ascii="Times New Roman" w:eastAsia="Times New Roman" w:hAnsi="Times New Roman" w:cs="Times New Roman"/>
      <w:sz w:val="24"/>
      <w:lang w:val="en-GB" w:eastAsia="en-GB"/>
    </w:rPr>
  </w:style>
  <w:style w:type="paragraph" w:styleId="Title">
    <w:name w:val="Title"/>
    <w:basedOn w:val="Normal"/>
    <w:link w:val="TitleChar"/>
    <w:qFormat/>
    <w:rsid w:val="00653571"/>
    <w:pPr>
      <w:spacing w:before="240" w:after="60" w:line="240" w:lineRule="auto"/>
      <w:jc w:val="center"/>
      <w:outlineLvl w:val="0"/>
    </w:pPr>
    <w:rPr>
      <w:rFonts w:ascii="Arial" w:eastAsia="Times New Roman" w:hAnsi="Arial" w:cs="Times New Roman"/>
      <w:b/>
      <w:kern w:val="28"/>
      <w:sz w:val="32"/>
      <w:lang w:val="en-GB" w:eastAsia="en-GB"/>
    </w:rPr>
  </w:style>
  <w:style w:type="character" w:customStyle="1" w:styleId="TitleChar">
    <w:name w:val="Title Char"/>
    <w:basedOn w:val="DefaultParagraphFont"/>
    <w:link w:val="Title"/>
    <w:rsid w:val="00653571"/>
    <w:rPr>
      <w:rFonts w:ascii="Arial" w:eastAsia="Times New Roman" w:hAnsi="Arial" w:cs="Times New Roman"/>
      <w:b/>
      <w:kern w:val="28"/>
      <w:sz w:val="32"/>
      <w:lang w:val="en-GB" w:eastAsia="en-GB"/>
    </w:rPr>
  </w:style>
  <w:style w:type="character" w:customStyle="1" w:styleId="SignatureChar">
    <w:name w:val="Signature Char"/>
    <w:basedOn w:val="DefaultParagraphFont"/>
    <w:link w:val="Signature"/>
    <w:uiPriority w:val="99"/>
    <w:semiHidden/>
    <w:rsid w:val="00653571"/>
    <w:rPr>
      <w:rFonts w:ascii="Times New Roman" w:eastAsia="Times New Roman" w:hAnsi="Times New Roman" w:cs="Times New Roman"/>
      <w:sz w:val="24"/>
      <w:lang w:val="en-GB" w:eastAsia="en-GB"/>
    </w:rPr>
  </w:style>
  <w:style w:type="paragraph" w:styleId="Signature">
    <w:name w:val="Signature"/>
    <w:basedOn w:val="Normal"/>
    <w:next w:val="Contact"/>
    <w:link w:val="SignatureChar"/>
    <w:uiPriority w:val="99"/>
    <w:semiHidden/>
    <w:unhideWhenUsed/>
    <w:rsid w:val="00653571"/>
    <w:pPr>
      <w:tabs>
        <w:tab w:val="left" w:pos="5103"/>
      </w:tabs>
      <w:spacing w:before="1200" w:after="0" w:line="240" w:lineRule="auto"/>
      <w:ind w:left="5103"/>
      <w:jc w:val="center"/>
    </w:pPr>
    <w:rPr>
      <w:rFonts w:ascii="Times New Roman" w:eastAsia="Times New Roman" w:hAnsi="Times New Roman" w:cs="Times New Roman"/>
      <w:sz w:val="24"/>
      <w:lang w:val="en-GB" w:eastAsia="en-GB"/>
    </w:rPr>
  </w:style>
  <w:style w:type="character" w:customStyle="1" w:styleId="SignatureChar1">
    <w:name w:val="Signature Char1"/>
    <w:basedOn w:val="DefaultParagraphFont"/>
    <w:uiPriority w:val="99"/>
    <w:semiHidden/>
    <w:rsid w:val="00653571"/>
    <w:rPr>
      <w:lang w:val="ro-RO"/>
    </w:rPr>
  </w:style>
  <w:style w:type="paragraph" w:customStyle="1" w:styleId="Contact">
    <w:name w:val="Contact"/>
    <w:basedOn w:val="Normal"/>
    <w:next w:val="Enclosures"/>
    <w:rsid w:val="00653571"/>
    <w:pPr>
      <w:spacing w:before="480" w:after="0" w:line="240" w:lineRule="auto"/>
      <w:ind w:left="567" w:hanging="567"/>
    </w:pPr>
    <w:rPr>
      <w:rFonts w:ascii="Times New Roman" w:eastAsia="Times New Roman" w:hAnsi="Times New Roman" w:cs="Times New Roman"/>
      <w:sz w:val="24"/>
      <w:lang w:val="en-GB" w:eastAsia="en-GB"/>
    </w:rPr>
  </w:style>
  <w:style w:type="paragraph" w:customStyle="1" w:styleId="Enclosures">
    <w:name w:val="Enclosures"/>
    <w:basedOn w:val="Normal"/>
    <w:next w:val="Participants"/>
    <w:rsid w:val="00653571"/>
    <w:pPr>
      <w:keepNext/>
      <w:keepLines/>
      <w:tabs>
        <w:tab w:val="left" w:pos="5670"/>
      </w:tabs>
      <w:spacing w:before="480" w:after="0" w:line="240" w:lineRule="auto"/>
      <w:ind w:left="1985" w:hanging="1985"/>
    </w:pPr>
    <w:rPr>
      <w:rFonts w:ascii="Times New Roman" w:eastAsia="Times New Roman" w:hAnsi="Times New Roman" w:cs="Times New Roman"/>
      <w:sz w:val="24"/>
      <w:lang w:val="en-GB" w:eastAsia="en-GB"/>
    </w:rPr>
  </w:style>
  <w:style w:type="paragraph" w:customStyle="1" w:styleId="Participants">
    <w:name w:val="Participants"/>
    <w:basedOn w:val="Normal"/>
    <w:next w:val="Copies"/>
    <w:rsid w:val="00653571"/>
    <w:pPr>
      <w:tabs>
        <w:tab w:val="left" w:pos="2552"/>
        <w:tab w:val="left" w:pos="2835"/>
        <w:tab w:val="left" w:pos="5670"/>
        <w:tab w:val="left" w:pos="6379"/>
        <w:tab w:val="left" w:pos="6804"/>
      </w:tabs>
      <w:spacing w:before="480" w:after="0" w:line="240" w:lineRule="auto"/>
      <w:ind w:left="1985" w:hanging="1985"/>
    </w:pPr>
    <w:rPr>
      <w:rFonts w:ascii="Times New Roman" w:eastAsia="Times New Roman" w:hAnsi="Times New Roman" w:cs="Times New Roman"/>
      <w:sz w:val="24"/>
      <w:lang w:val="en-GB" w:eastAsia="en-GB"/>
    </w:rPr>
  </w:style>
  <w:style w:type="paragraph" w:customStyle="1" w:styleId="Copies">
    <w:name w:val="Copies"/>
    <w:basedOn w:val="Normal"/>
    <w:next w:val="Normal"/>
    <w:rsid w:val="00653571"/>
    <w:pPr>
      <w:tabs>
        <w:tab w:val="left" w:pos="2552"/>
        <w:tab w:val="left" w:pos="2835"/>
        <w:tab w:val="left" w:pos="5670"/>
        <w:tab w:val="left" w:pos="6379"/>
        <w:tab w:val="left" w:pos="6804"/>
      </w:tabs>
      <w:spacing w:before="480" w:after="0" w:line="240" w:lineRule="auto"/>
      <w:ind w:left="1985" w:hanging="1985"/>
    </w:pPr>
    <w:rPr>
      <w:rFonts w:ascii="Times New Roman" w:eastAsia="Times New Roman" w:hAnsi="Times New Roman" w:cs="Times New Roman"/>
      <w:sz w:val="24"/>
      <w:lang w:val="en-GB" w:eastAsia="en-GB"/>
    </w:rPr>
  </w:style>
  <w:style w:type="character" w:customStyle="1" w:styleId="ClosingChar">
    <w:name w:val="Closing Char"/>
    <w:basedOn w:val="DefaultParagraphFont"/>
    <w:link w:val="Closing"/>
    <w:semiHidden/>
    <w:rsid w:val="00653571"/>
    <w:rPr>
      <w:rFonts w:ascii="Times New Roman" w:eastAsia="Times New Roman" w:hAnsi="Times New Roman" w:cs="Times New Roman"/>
      <w:sz w:val="24"/>
      <w:lang w:val="en-GB" w:eastAsia="en-GB"/>
    </w:rPr>
  </w:style>
  <w:style w:type="paragraph" w:styleId="Closing">
    <w:name w:val="Closing"/>
    <w:basedOn w:val="Normal"/>
    <w:next w:val="Signature"/>
    <w:link w:val="ClosingChar"/>
    <w:semiHidden/>
    <w:unhideWhenUsed/>
    <w:rsid w:val="00653571"/>
    <w:pPr>
      <w:tabs>
        <w:tab w:val="left" w:pos="5103"/>
      </w:tabs>
      <w:spacing w:before="240" w:after="240" w:line="240" w:lineRule="auto"/>
      <w:ind w:left="5103"/>
    </w:pPr>
    <w:rPr>
      <w:rFonts w:ascii="Times New Roman" w:eastAsia="Times New Roman" w:hAnsi="Times New Roman" w:cs="Times New Roman"/>
      <w:sz w:val="24"/>
      <w:lang w:val="en-GB" w:eastAsia="en-GB"/>
    </w:rPr>
  </w:style>
  <w:style w:type="character" w:customStyle="1" w:styleId="ClosingChar1">
    <w:name w:val="Closing Char1"/>
    <w:basedOn w:val="DefaultParagraphFont"/>
    <w:uiPriority w:val="99"/>
    <w:semiHidden/>
    <w:rsid w:val="00653571"/>
    <w:rPr>
      <w:lang w:val="ro-RO"/>
    </w:rPr>
  </w:style>
  <w:style w:type="character" w:customStyle="1" w:styleId="BodyTextChar">
    <w:name w:val="Body Text Char"/>
    <w:aliases w:val="Document Char1,Doc Char1,Body Text2 Char1,doc Char1,Standard paragraph Char1,BodyText Char1,(Norm) Char1,Body Text 12 Char1,bt Char1,gl Char1,uvlaka 2 Char1,heading3 Char1,Body Text - Level 2 Char1,1body Char1,BodText Char1,Body Txt Char1"/>
    <w:basedOn w:val="DefaultParagraphFont"/>
    <w:link w:val="BodyText"/>
    <w:semiHidden/>
    <w:locked/>
    <w:rsid w:val="00653571"/>
    <w:rPr>
      <w:rFonts w:ascii="Times New Roman" w:eastAsia="Times New Roman" w:hAnsi="Times New Roman" w:cs="Times New Roman"/>
      <w:sz w:val="24"/>
      <w:lang w:val="en-GB" w:eastAsia="en-GB"/>
    </w:rPr>
  </w:style>
  <w:style w:type="paragraph" w:styleId="BodyText">
    <w:name w:val="Body Text"/>
    <w:aliases w:val="Document,Doc,Body Text2,doc,Standard paragraph,BodyText,(Norm),Body Text 12,bt,gl,uvlaka 2,heading3,Body Text - Level 2,1body,BodText,body text,Body Txt,Body Text-10,Body Text Char2,Text Char1,Τίτλος Μελέτης,- TF,b.,b"/>
    <w:basedOn w:val="Normal"/>
    <w:link w:val="BodyTextChar"/>
    <w:semiHidden/>
    <w:unhideWhenUsed/>
    <w:qFormat/>
    <w:rsid w:val="00653571"/>
    <w:pPr>
      <w:spacing w:after="120" w:line="240" w:lineRule="auto"/>
      <w:jc w:val="both"/>
    </w:pPr>
    <w:rPr>
      <w:rFonts w:ascii="Times New Roman" w:eastAsia="Times New Roman" w:hAnsi="Times New Roman" w:cs="Times New Roman"/>
      <w:sz w:val="24"/>
      <w:lang w:val="en-GB" w:eastAsia="en-GB"/>
    </w:rPr>
  </w:style>
  <w:style w:type="character" w:customStyle="1" w:styleId="BodyTextChar1">
    <w:name w:val="Body Text Char1"/>
    <w:aliases w:val="Document Char,Doc Char,Body Text2 Char,doc Char,Standard paragraph Char,BodyText Char,(Norm) Char,Body Text 12 Char,bt Char,gl Char,uvlaka 2 Char,heading3 Char,Body Text - Level 2 Char,1body Char,BodText Char,body text Char,Body Txt Char"/>
    <w:basedOn w:val="DefaultParagraphFont"/>
    <w:semiHidden/>
    <w:rsid w:val="00653571"/>
    <w:rPr>
      <w:lang w:val="ro-RO"/>
    </w:rPr>
  </w:style>
  <w:style w:type="character" w:customStyle="1" w:styleId="BodyTextIndentChar">
    <w:name w:val="Body Text Indent Char"/>
    <w:basedOn w:val="DefaultParagraphFont"/>
    <w:link w:val="BodyTextIndent"/>
    <w:semiHidden/>
    <w:rsid w:val="00653571"/>
    <w:rPr>
      <w:rFonts w:ascii="Times New Roman" w:eastAsia="Times New Roman" w:hAnsi="Times New Roman" w:cs="Times New Roman"/>
      <w:sz w:val="24"/>
      <w:lang w:val="en-GB" w:eastAsia="en-GB"/>
    </w:rPr>
  </w:style>
  <w:style w:type="paragraph" w:styleId="BodyTextIndent">
    <w:name w:val="Body Text Indent"/>
    <w:basedOn w:val="Normal"/>
    <w:link w:val="BodyTextIndentChar"/>
    <w:semiHidden/>
    <w:unhideWhenUsed/>
    <w:rsid w:val="00653571"/>
    <w:pPr>
      <w:spacing w:after="120" w:line="240" w:lineRule="auto"/>
      <w:ind w:left="283"/>
      <w:jc w:val="both"/>
    </w:pPr>
    <w:rPr>
      <w:rFonts w:ascii="Times New Roman" w:eastAsia="Times New Roman" w:hAnsi="Times New Roman" w:cs="Times New Roman"/>
      <w:sz w:val="24"/>
      <w:lang w:val="en-GB" w:eastAsia="en-GB"/>
    </w:rPr>
  </w:style>
  <w:style w:type="character" w:customStyle="1" w:styleId="BodyTextIndentChar1">
    <w:name w:val="Body Text Indent Char1"/>
    <w:basedOn w:val="DefaultParagraphFont"/>
    <w:uiPriority w:val="99"/>
    <w:semiHidden/>
    <w:rsid w:val="00653571"/>
    <w:rPr>
      <w:lang w:val="ro-RO"/>
    </w:rPr>
  </w:style>
  <w:style w:type="character" w:customStyle="1" w:styleId="MessageHeaderChar">
    <w:name w:val="Message Header Char"/>
    <w:basedOn w:val="DefaultParagraphFont"/>
    <w:link w:val="MessageHeader"/>
    <w:semiHidden/>
    <w:rsid w:val="00653571"/>
    <w:rPr>
      <w:rFonts w:ascii="Arial" w:eastAsia="Times New Roman" w:hAnsi="Arial" w:cs="Times New Roman"/>
      <w:sz w:val="24"/>
      <w:shd w:val="pct20" w:color="auto" w:fill="auto"/>
      <w:lang w:val="en-GB" w:eastAsia="en-GB"/>
    </w:rPr>
  </w:style>
  <w:style w:type="paragraph" w:styleId="MessageHeader">
    <w:name w:val="Message Header"/>
    <w:basedOn w:val="Normal"/>
    <w:link w:val="MessageHeaderChar"/>
    <w:semiHidden/>
    <w:unhideWhenUsed/>
    <w:rsid w:val="00653571"/>
    <w:pPr>
      <w:pBdr>
        <w:top w:val="single" w:sz="6" w:space="1" w:color="auto"/>
        <w:left w:val="single" w:sz="6" w:space="1" w:color="auto"/>
        <w:bottom w:val="single" w:sz="6" w:space="1" w:color="auto"/>
        <w:right w:val="single" w:sz="6" w:space="1" w:color="auto"/>
      </w:pBdr>
      <w:shd w:val="pct20" w:color="auto" w:fill="auto"/>
      <w:spacing w:after="240" w:line="240" w:lineRule="auto"/>
      <w:ind w:left="1134" w:hanging="1134"/>
      <w:jc w:val="both"/>
    </w:pPr>
    <w:rPr>
      <w:rFonts w:ascii="Arial" w:eastAsia="Times New Roman" w:hAnsi="Arial" w:cs="Times New Roman"/>
      <w:sz w:val="24"/>
      <w:lang w:val="en-GB" w:eastAsia="en-GB"/>
    </w:rPr>
  </w:style>
  <w:style w:type="character" w:customStyle="1" w:styleId="MessageHeaderChar1">
    <w:name w:val="Message Header Char1"/>
    <w:basedOn w:val="DefaultParagraphFont"/>
    <w:uiPriority w:val="99"/>
    <w:semiHidden/>
    <w:rsid w:val="00653571"/>
    <w:rPr>
      <w:rFonts w:asciiTheme="majorHAnsi" w:eastAsiaTheme="majorEastAsia" w:hAnsiTheme="majorHAnsi" w:cstheme="majorBidi"/>
      <w:sz w:val="24"/>
      <w:szCs w:val="24"/>
      <w:shd w:val="pct20" w:color="auto" w:fill="auto"/>
      <w:lang w:val="ro-RO"/>
    </w:rPr>
  </w:style>
  <w:style w:type="paragraph" w:styleId="Subtitle">
    <w:name w:val="Subtitle"/>
    <w:basedOn w:val="Normal"/>
    <w:link w:val="SubtitleChar"/>
    <w:qFormat/>
    <w:rsid w:val="00653571"/>
    <w:pPr>
      <w:spacing w:after="60" w:line="240" w:lineRule="auto"/>
      <w:jc w:val="center"/>
      <w:outlineLvl w:val="1"/>
    </w:pPr>
    <w:rPr>
      <w:rFonts w:ascii="Arial" w:eastAsia="Times New Roman" w:hAnsi="Arial" w:cs="Times New Roman"/>
      <w:sz w:val="24"/>
      <w:lang w:val="en-GB" w:eastAsia="en-GB"/>
    </w:rPr>
  </w:style>
  <w:style w:type="character" w:customStyle="1" w:styleId="SubtitleChar">
    <w:name w:val="Subtitle Char"/>
    <w:basedOn w:val="DefaultParagraphFont"/>
    <w:link w:val="Subtitle"/>
    <w:rsid w:val="00653571"/>
    <w:rPr>
      <w:rFonts w:ascii="Arial" w:eastAsia="Times New Roman" w:hAnsi="Arial" w:cs="Times New Roman"/>
      <w:sz w:val="24"/>
      <w:lang w:val="en-GB" w:eastAsia="en-GB"/>
    </w:rPr>
  </w:style>
  <w:style w:type="character" w:customStyle="1" w:styleId="SalutationChar">
    <w:name w:val="Salutation Char"/>
    <w:basedOn w:val="DefaultParagraphFont"/>
    <w:link w:val="Salutation"/>
    <w:semiHidden/>
    <w:rsid w:val="00653571"/>
    <w:rPr>
      <w:rFonts w:ascii="Times New Roman" w:eastAsia="Times New Roman" w:hAnsi="Times New Roman" w:cs="Times New Roman"/>
      <w:sz w:val="24"/>
      <w:lang w:val="en-GB" w:eastAsia="en-GB"/>
    </w:rPr>
  </w:style>
  <w:style w:type="paragraph" w:styleId="Salutation">
    <w:name w:val="Salutation"/>
    <w:basedOn w:val="Normal"/>
    <w:next w:val="Normal"/>
    <w:link w:val="SalutationChar"/>
    <w:semiHidden/>
    <w:unhideWhenUsed/>
    <w:rsid w:val="00653571"/>
    <w:pPr>
      <w:spacing w:after="240" w:line="240" w:lineRule="auto"/>
      <w:jc w:val="both"/>
    </w:pPr>
    <w:rPr>
      <w:rFonts w:ascii="Times New Roman" w:eastAsia="Times New Roman" w:hAnsi="Times New Roman" w:cs="Times New Roman"/>
      <w:sz w:val="24"/>
      <w:lang w:val="en-GB" w:eastAsia="en-GB"/>
    </w:rPr>
  </w:style>
  <w:style w:type="character" w:customStyle="1" w:styleId="SalutationChar1">
    <w:name w:val="Salutation Char1"/>
    <w:basedOn w:val="DefaultParagraphFont"/>
    <w:uiPriority w:val="99"/>
    <w:semiHidden/>
    <w:rsid w:val="00653571"/>
    <w:rPr>
      <w:lang w:val="ro-RO"/>
    </w:rPr>
  </w:style>
  <w:style w:type="paragraph" w:customStyle="1" w:styleId="References">
    <w:name w:val="References"/>
    <w:basedOn w:val="Normal"/>
    <w:next w:val="AddressTR"/>
    <w:rsid w:val="00653571"/>
    <w:pPr>
      <w:spacing w:after="240" w:line="240" w:lineRule="auto"/>
      <w:ind w:left="5103"/>
    </w:pPr>
    <w:rPr>
      <w:rFonts w:ascii="Times New Roman" w:eastAsia="Times New Roman" w:hAnsi="Times New Roman" w:cs="Times New Roman"/>
      <w:sz w:val="20"/>
      <w:lang w:val="en-GB" w:eastAsia="en-GB"/>
    </w:rPr>
  </w:style>
  <w:style w:type="paragraph" w:customStyle="1" w:styleId="AddressTR">
    <w:name w:val="AddressTR"/>
    <w:basedOn w:val="Normal"/>
    <w:next w:val="Normal"/>
    <w:rsid w:val="00653571"/>
    <w:pPr>
      <w:spacing w:after="720" w:line="240" w:lineRule="auto"/>
      <w:ind w:left="5103"/>
    </w:pPr>
    <w:rPr>
      <w:rFonts w:ascii="Times New Roman" w:eastAsia="Times New Roman" w:hAnsi="Times New Roman" w:cs="Times New Roman"/>
      <w:sz w:val="24"/>
      <w:lang w:val="en-GB" w:eastAsia="en-GB"/>
    </w:rPr>
  </w:style>
  <w:style w:type="character" w:customStyle="1" w:styleId="DateChar">
    <w:name w:val="Date Char"/>
    <w:basedOn w:val="DefaultParagraphFont"/>
    <w:link w:val="Date"/>
    <w:semiHidden/>
    <w:rsid w:val="00653571"/>
    <w:rPr>
      <w:rFonts w:ascii="Times New Roman" w:eastAsia="Times New Roman" w:hAnsi="Times New Roman" w:cs="Times New Roman"/>
      <w:sz w:val="24"/>
      <w:lang w:val="en-GB" w:eastAsia="en-GB"/>
    </w:rPr>
  </w:style>
  <w:style w:type="paragraph" w:styleId="Date">
    <w:name w:val="Date"/>
    <w:basedOn w:val="Normal"/>
    <w:next w:val="References"/>
    <w:link w:val="DateChar"/>
    <w:semiHidden/>
    <w:unhideWhenUsed/>
    <w:rsid w:val="00653571"/>
    <w:pPr>
      <w:spacing w:after="0" w:line="240" w:lineRule="auto"/>
      <w:ind w:left="5103" w:right="-567"/>
    </w:pPr>
    <w:rPr>
      <w:rFonts w:ascii="Times New Roman" w:eastAsia="Times New Roman" w:hAnsi="Times New Roman" w:cs="Times New Roman"/>
      <w:sz w:val="24"/>
      <w:lang w:val="en-GB" w:eastAsia="en-GB"/>
    </w:rPr>
  </w:style>
  <w:style w:type="character" w:customStyle="1" w:styleId="DateChar1">
    <w:name w:val="Date Char1"/>
    <w:basedOn w:val="DefaultParagraphFont"/>
    <w:uiPriority w:val="99"/>
    <w:semiHidden/>
    <w:rsid w:val="00653571"/>
    <w:rPr>
      <w:lang w:val="ro-RO"/>
    </w:rPr>
  </w:style>
  <w:style w:type="paragraph" w:styleId="BodyTextFirstIndent">
    <w:name w:val="Body Text First Indent"/>
    <w:basedOn w:val="BodyText"/>
    <w:link w:val="BodyTextFirstIndentChar"/>
    <w:semiHidden/>
    <w:unhideWhenUsed/>
    <w:rsid w:val="00653571"/>
    <w:pPr>
      <w:ind w:firstLine="210"/>
    </w:pPr>
  </w:style>
  <w:style w:type="character" w:customStyle="1" w:styleId="BodyTextFirstIndentChar">
    <w:name w:val="Body Text First Indent Char"/>
    <w:basedOn w:val="BodyTextChar1"/>
    <w:link w:val="BodyTextFirstIndent"/>
    <w:semiHidden/>
    <w:rsid w:val="00653571"/>
    <w:rPr>
      <w:rFonts w:ascii="Times New Roman" w:eastAsia="Times New Roman" w:hAnsi="Times New Roman" w:cs="Times New Roman"/>
      <w:sz w:val="24"/>
      <w:lang w:val="en-GB" w:eastAsia="en-GB"/>
    </w:rPr>
  </w:style>
  <w:style w:type="character" w:customStyle="1" w:styleId="BodyTextFirstIndent2Char">
    <w:name w:val="Body Text First Indent 2 Char"/>
    <w:basedOn w:val="BodyTextIndentChar"/>
    <w:link w:val="BodyTextFirstIndent2"/>
    <w:semiHidden/>
    <w:rsid w:val="00653571"/>
    <w:rPr>
      <w:rFonts w:ascii="Times New Roman" w:eastAsia="Times New Roman" w:hAnsi="Times New Roman" w:cs="Times New Roman"/>
      <w:sz w:val="24"/>
      <w:lang w:val="en-GB" w:eastAsia="en-GB"/>
    </w:rPr>
  </w:style>
  <w:style w:type="paragraph" w:styleId="BodyTextFirstIndent2">
    <w:name w:val="Body Text First Indent 2"/>
    <w:basedOn w:val="BodyTextIndent"/>
    <w:link w:val="BodyTextFirstIndent2Char"/>
    <w:semiHidden/>
    <w:unhideWhenUsed/>
    <w:rsid w:val="00653571"/>
    <w:pPr>
      <w:ind w:firstLine="210"/>
    </w:pPr>
  </w:style>
  <w:style w:type="character" w:customStyle="1" w:styleId="BodyTextFirstIndent2Char1">
    <w:name w:val="Body Text First Indent 2 Char1"/>
    <w:basedOn w:val="BodyTextIndentChar1"/>
    <w:uiPriority w:val="99"/>
    <w:semiHidden/>
    <w:rsid w:val="00653571"/>
    <w:rPr>
      <w:lang w:val="ro-RO"/>
    </w:rPr>
  </w:style>
  <w:style w:type="character" w:customStyle="1" w:styleId="NoteHeadingChar">
    <w:name w:val="Note Heading Char"/>
    <w:basedOn w:val="DefaultParagraphFont"/>
    <w:link w:val="NoteHeading"/>
    <w:semiHidden/>
    <w:rsid w:val="00653571"/>
    <w:rPr>
      <w:rFonts w:ascii="Times New Roman" w:eastAsia="Times New Roman" w:hAnsi="Times New Roman" w:cs="Times New Roman"/>
      <w:sz w:val="24"/>
      <w:lang w:val="en-GB" w:eastAsia="en-GB"/>
    </w:rPr>
  </w:style>
  <w:style w:type="paragraph" w:styleId="NoteHeading">
    <w:name w:val="Note Heading"/>
    <w:basedOn w:val="Normal"/>
    <w:next w:val="Normal"/>
    <w:link w:val="NoteHeadingChar"/>
    <w:semiHidden/>
    <w:unhideWhenUsed/>
    <w:rsid w:val="00653571"/>
    <w:pPr>
      <w:spacing w:after="240" w:line="240" w:lineRule="auto"/>
      <w:jc w:val="both"/>
    </w:pPr>
    <w:rPr>
      <w:rFonts w:ascii="Times New Roman" w:eastAsia="Times New Roman" w:hAnsi="Times New Roman" w:cs="Times New Roman"/>
      <w:sz w:val="24"/>
      <w:lang w:val="en-GB" w:eastAsia="en-GB"/>
    </w:rPr>
  </w:style>
  <w:style w:type="character" w:customStyle="1" w:styleId="NoteHeadingChar1">
    <w:name w:val="Note Heading Char1"/>
    <w:basedOn w:val="DefaultParagraphFont"/>
    <w:uiPriority w:val="99"/>
    <w:semiHidden/>
    <w:rsid w:val="00653571"/>
    <w:rPr>
      <w:lang w:val="ro-RO"/>
    </w:rPr>
  </w:style>
  <w:style w:type="character" w:customStyle="1" w:styleId="BodyText2Char">
    <w:name w:val="Body Text 2 Char"/>
    <w:basedOn w:val="DefaultParagraphFont"/>
    <w:link w:val="BodyText2"/>
    <w:semiHidden/>
    <w:rsid w:val="00653571"/>
    <w:rPr>
      <w:rFonts w:ascii="Times New Roman" w:eastAsia="Times New Roman" w:hAnsi="Times New Roman" w:cs="Times New Roman"/>
      <w:sz w:val="24"/>
      <w:lang w:val="en-GB" w:eastAsia="en-GB"/>
    </w:rPr>
  </w:style>
  <w:style w:type="paragraph" w:styleId="BodyText2">
    <w:name w:val="Body Text 2"/>
    <w:basedOn w:val="Normal"/>
    <w:link w:val="BodyText2Char"/>
    <w:semiHidden/>
    <w:unhideWhenUsed/>
    <w:rsid w:val="00653571"/>
    <w:pPr>
      <w:spacing w:after="120" w:line="480" w:lineRule="auto"/>
      <w:jc w:val="both"/>
    </w:pPr>
    <w:rPr>
      <w:rFonts w:ascii="Times New Roman" w:eastAsia="Times New Roman" w:hAnsi="Times New Roman" w:cs="Times New Roman"/>
      <w:sz w:val="24"/>
      <w:lang w:val="en-GB" w:eastAsia="en-GB"/>
    </w:rPr>
  </w:style>
  <w:style w:type="character" w:customStyle="1" w:styleId="BodyText2Char1">
    <w:name w:val="Body Text 2 Char1"/>
    <w:basedOn w:val="DefaultParagraphFont"/>
    <w:uiPriority w:val="99"/>
    <w:semiHidden/>
    <w:rsid w:val="00653571"/>
    <w:rPr>
      <w:lang w:val="ro-RO"/>
    </w:rPr>
  </w:style>
  <w:style w:type="character" w:customStyle="1" w:styleId="BodyText3Char">
    <w:name w:val="Body Text 3 Char"/>
    <w:basedOn w:val="DefaultParagraphFont"/>
    <w:link w:val="BodyText3"/>
    <w:semiHidden/>
    <w:rsid w:val="00653571"/>
    <w:rPr>
      <w:rFonts w:ascii="Times New Roman" w:eastAsia="Times New Roman" w:hAnsi="Times New Roman" w:cs="Times New Roman"/>
      <w:sz w:val="16"/>
      <w:lang w:val="en-GB" w:eastAsia="en-GB"/>
    </w:rPr>
  </w:style>
  <w:style w:type="paragraph" w:styleId="BodyText3">
    <w:name w:val="Body Text 3"/>
    <w:basedOn w:val="Normal"/>
    <w:link w:val="BodyText3Char"/>
    <w:semiHidden/>
    <w:unhideWhenUsed/>
    <w:rsid w:val="00653571"/>
    <w:pPr>
      <w:spacing w:after="120" w:line="240" w:lineRule="auto"/>
      <w:jc w:val="both"/>
    </w:pPr>
    <w:rPr>
      <w:rFonts w:ascii="Times New Roman" w:eastAsia="Times New Roman" w:hAnsi="Times New Roman" w:cs="Times New Roman"/>
      <w:sz w:val="16"/>
      <w:lang w:val="en-GB" w:eastAsia="en-GB"/>
    </w:rPr>
  </w:style>
  <w:style w:type="character" w:customStyle="1" w:styleId="BodyText3Char1">
    <w:name w:val="Body Text 3 Char1"/>
    <w:basedOn w:val="DefaultParagraphFont"/>
    <w:uiPriority w:val="99"/>
    <w:semiHidden/>
    <w:rsid w:val="00653571"/>
    <w:rPr>
      <w:sz w:val="16"/>
      <w:szCs w:val="16"/>
      <w:lang w:val="ro-RO"/>
    </w:rPr>
  </w:style>
  <w:style w:type="character" w:customStyle="1" w:styleId="BodyTextIndent2Char">
    <w:name w:val="Body Text Indent 2 Char"/>
    <w:basedOn w:val="DefaultParagraphFont"/>
    <w:link w:val="BodyTextIndent2"/>
    <w:semiHidden/>
    <w:rsid w:val="00653571"/>
    <w:rPr>
      <w:rFonts w:ascii="Times New Roman" w:eastAsia="Times New Roman" w:hAnsi="Times New Roman" w:cs="Times New Roman"/>
      <w:sz w:val="24"/>
      <w:lang w:val="en-GB" w:eastAsia="en-GB"/>
    </w:rPr>
  </w:style>
  <w:style w:type="paragraph" w:styleId="BodyTextIndent2">
    <w:name w:val="Body Text Indent 2"/>
    <w:basedOn w:val="Normal"/>
    <w:link w:val="BodyTextIndent2Char"/>
    <w:semiHidden/>
    <w:unhideWhenUsed/>
    <w:rsid w:val="00653571"/>
    <w:pPr>
      <w:spacing w:after="120" w:line="480" w:lineRule="auto"/>
      <w:ind w:left="283"/>
      <w:jc w:val="both"/>
    </w:pPr>
    <w:rPr>
      <w:rFonts w:ascii="Times New Roman" w:eastAsia="Times New Roman" w:hAnsi="Times New Roman" w:cs="Times New Roman"/>
      <w:sz w:val="24"/>
      <w:lang w:val="en-GB" w:eastAsia="en-GB"/>
    </w:rPr>
  </w:style>
  <w:style w:type="character" w:customStyle="1" w:styleId="BodyTextIndent2Char1">
    <w:name w:val="Body Text Indent 2 Char1"/>
    <w:basedOn w:val="DefaultParagraphFont"/>
    <w:uiPriority w:val="99"/>
    <w:semiHidden/>
    <w:rsid w:val="00653571"/>
    <w:rPr>
      <w:lang w:val="ro-RO"/>
    </w:rPr>
  </w:style>
  <w:style w:type="character" w:customStyle="1" w:styleId="BodyTextIndent3Char">
    <w:name w:val="Body Text Indent 3 Char"/>
    <w:basedOn w:val="DefaultParagraphFont"/>
    <w:link w:val="BodyTextIndent3"/>
    <w:semiHidden/>
    <w:rsid w:val="00653571"/>
    <w:rPr>
      <w:rFonts w:ascii="Times New Roman" w:eastAsia="Times New Roman" w:hAnsi="Times New Roman" w:cs="Times New Roman"/>
      <w:sz w:val="16"/>
      <w:lang w:val="en-GB" w:eastAsia="en-GB"/>
    </w:rPr>
  </w:style>
  <w:style w:type="paragraph" w:styleId="BodyTextIndent3">
    <w:name w:val="Body Text Indent 3"/>
    <w:basedOn w:val="Normal"/>
    <w:link w:val="BodyTextIndent3Char"/>
    <w:semiHidden/>
    <w:unhideWhenUsed/>
    <w:rsid w:val="00653571"/>
    <w:pPr>
      <w:spacing w:after="120" w:line="240" w:lineRule="auto"/>
      <w:ind w:left="283"/>
      <w:jc w:val="both"/>
    </w:pPr>
    <w:rPr>
      <w:rFonts w:ascii="Times New Roman" w:eastAsia="Times New Roman" w:hAnsi="Times New Roman" w:cs="Times New Roman"/>
      <w:sz w:val="16"/>
      <w:lang w:val="en-GB" w:eastAsia="en-GB"/>
    </w:rPr>
  </w:style>
  <w:style w:type="character" w:customStyle="1" w:styleId="BodyTextIndent3Char1">
    <w:name w:val="Body Text Indent 3 Char1"/>
    <w:basedOn w:val="DefaultParagraphFont"/>
    <w:uiPriority w:val="99"/>
    <w:semiHidden/>
    <w:rsid w:val="00653571"/>
    <w:rPr>
      <w:sz w:val="16"/>
      <w:szCs w:val="16"/>
      <w:lang w:val="ro-RO"/>
    </w:rPr>
  </w:style>
  <w:style w:type="character" w:customStyle="1" w:styleId="DocumentMapChar">
    <w:name w:val="Document Map Char"/>
    <w:basedOn w:val="DefaultParagraphFont"/>
    <w:link w:val="DocumentMap"/>
    <w:semiHidden/>
    <w:rsid w:val="00653571"/>
    <w:rPr>
      <w:rFonts w:ascii="Tahoma" w:eastAsia="Times New Roman" w:hAnsi="Tahoma" w:cs="Times New Roman"/>
      <w:sz w:val="24"/>
      <w:shd w:val="clear" w:color="auto" w:fill="000080"/>
      <w:lang w:val="en-GB" w:eastAsia="en-GB"/>
    </w:rPr>
  </w:style>
  <w:style w:type="paragraph" w:styleId="DocumentMap">
    <w:name w:val="Document Map"/>
    <w:basedOn w:val="Normal"/>
    <w:link w:val="DocumentMapChar"/>
    <w:semiHidden/>
    <w:unhideWhenUsed/>
    <w:rsid w:val="00653571"/>
    <w:pPr>
      <w:shd w:val="clear" w:color="auto" w:fill="000080"/>
      <w:spacing w:after="240" w:line="240" w:lineRule="auto"/>
      <w:jc w:val="both"/>
    </w:pPr>
    <w:rPr>
      <w:rFonts w:ascii="Tahoma" w:eastAsia="Times New Roman" w:hAnsi="Tahoma" w:cs="Times New Roman"/>
      <w:sz w:val="24"/>
      <w:lang w:val="en-GB" w:eastAsia="en-GB"/>
    </w:rPr>
  </w:style>
  <w:style w:type="character" w:customStyle="1" w:styleId="DocumentMapChar1">
    <w:name w:val="Document Map Char1"/>
    <w:basedOn w:val="DefaultParagraphFont"/>
    <w:uiPriority w:val="99"/>
    <w:semiHidden/>
    <w:rsid w:val="00653571"/>
    <w:rPr>
      <w:rFonts w:ascii="Segoe UI" w:hAnsi="Segoe UI" w:cs="Segoe UI"/>
      <w:sz w:val="16"/>
      <w:szCs w:val="16"/>
      <w:lang w:val="ro-RO"/>
    </w:rPr>
  </w:style>
  <w:style w:type="character" w:customStyle="1" w:styleId="PlainTextChar">
    <w:name w:val="Plain Text Char"/>
    <w:basedOn w:val="DefaultParagraphFont"/>
    <w:link w:val="PlainText"/>
    <w:semiHidden/>
    <w:rsid w:val="00653571"/>
    <w:rPr>
      <w:rFonts w:ascii="Courier New" w:eastAsia="Times New Roman" w:hAnsi="Courier New" w:cs="Times New Roman"/>
      <w:sz w:val="20"/>
      <w:lang w:val="en-GB" w:eastAsia="en-GB"/>
    </w:rPr>
  </w:style>
  <w:style w:type="paragraph" w:styleId="PlainText">
    <w:name w:val="Plain Text"/>
    <w:basedOn w:val="Normal"/>
    <w:link w:val="PlainTextChar"/>
    <w:semiHidden/>
    <w:unhideWhenUsed/>
    <w:rsid w:val="00653571"/>
    <w:pPr>
      <w:spacing w:after="240" w:line="240" w:lineRule="auto"/>
      <w:jc w:val="both"/>
    </w:pPr>
    <w:rPr>
      <w:rFonts w:ascii="Courier New" w:eastAsia="Times New Roman" w:hAnsi="Courier New" w:cs="Times New Roman"/>
      <w:sz w:val="20"/>
      <w:lang w:val="en-GB" w:eastAsia="en-GB"/>
    </w:rPr>
  </w:style>
  <w:style w:type="character" w:customStyle="1" w:styleId="PlainTextChar1">
    <w:name w:val="Plain Text Char1"/>
    <w:basedOn w:val="DefaultParagraphFont"/>
    <w:uiPriority w:val="99"/>
    <w:semiHidden/>
    <w:rsid w:val="00653571"/>
    <w:rPr>
      <w:rFonts w:ascii="Consolas" w:hAnsi="Consolas"/>
      <w:sz w:val="21"/>
      <w:szCs w:val="21"/>
      <w:lang w:val="ro-RO"/>
    </w:rPr>
  </w:style>
  <w:style w:type="character" w:customStyle="1" w:styleId="CommentSubjectChar">
    <w:name w:val="Comment Subject Char"/>
    <w:basedOn w:val="CommentTextChar"/>
    <w:link w:val="CommentSubject"/>
    <w:semiHidden/>
    <w:rsid w:val="00653571"/>
    <w:rPr>
      <w:rFonts w:ascii="Times New Roman" w:eastAsia="Calibri" w:hAnsi="Times New Roman" w:cs="Arial"/>
      <w:b/>
      <w:bCs/>
      <w:sz w:val="20"/>
      <w:szCs w:val="20"/>
    </w:rPr>
  </w:style>
  <w:style w:type="paragraph" w:styleId="CommentSubject">
    <w:name w:val="annotation subject"/>
    <w:basedOn w:val="CommentText"/>
    <w:next w:val="CommentText"/>
    <w:link w:val="CommentSubjectChar"/>
    <w:semiHidden/>
    <w:unhideWhenUsed/>
    <w:rsid w:val="00653571"/>
    <w:rPr>
      <w:b/>
      <w:bCs/>
    </w:rPr>
  </w:style>
  <w:style w:type="character" w:customStyle="1" w:styleId="CommentSubjectChar1">
    <w:name w:val="Comment Subject Char1"/>
    <w:basedOn w:val="CommentTextChar"/>
    <w:uiPriority w:val="99"/>
    <w:semiHidden/>
    <w:rsid w:val="00653571"/>
    <w:rPr>
      <w:rFonts w:ascii="Times New Roman" w:eastAsia="Calibri" w:hAnsi="Times New Roman" w:cs="Arial"/>
      <w:b/>
      <w:bCs/>
      <w:sz w:val="20"/>
      <w:szCs w:val="20"/>
    </w:rPr>
  </w:style>
  <w:style w:type="character" w:customStyle="1" w:styleId="BalloonTextChar">
    <w:name w:val="Balloon Text Char"/>
    <w:basedOn w:val="DefaultParagraphFont"/>
    <w:link w:val="BalloonText"/>
    <w:semiHidden/>
    <w:rsid w:val="00653571"/>
    <w:rPr>
      <w:rFonts w:ascii="Tahoma" w:eastAsia="Calibri" w:hAnsi="Tahoma" w:cs="Tahoma"/>
      <w:sz w:val="16"/>
      <w:szCs w:val="16"/>
    </w:rPr>
  </w:style>
  <w:style w:type="paragraph" w:styleId="BalloonText">
    <w:name w:val="Balloon Text"/>
    <w:basedOn w:val="Normal"/>
    <w:link w:val="BalloonTextChar"/>
    <w:semiHidden/>
    <w:unhideWhenUsed/>
    <w:rsid w:val="00653571"/>
    <w:pPr>
      <w:spacing w:after="0" w:line="360" w:lineRule="auto"/>
    </w:pPr>
    <w:rPr>
      <w:rFonts w:ascii="Tahoma" w:eastAsia="Calibri" w:hAnsi="Tahoma" w:cs="Tahoma"/>
      <w:sz w:val="16"/>
      <w:szCs w:val="16"/>
      <w:lang w:val="en-US"/>
    </w:rPr>
  </w:style>
  <w:style w:type="character" w:customStyle="1" w:styleId="BalloonTextChar1">
    <w:name w:val="Balloon Text Char1"/>
    <w:basedOn w:val="DefaultParagraphFont"/>
    <w:uiPriority w:val="99"/>
    <w:semiHidden/>
    <w:rsid w:val="00653571"/>
    <w:rPr>
      <w:rFonts w:ascii="Segoe UI" w:hAnsi="Segoe UI" w:cs="Segoe UI"/>
      <w:sz w:val="18"/>
      <w:szCs w:val="18"/>
      <w:lang w:val="ro-RO"/>
    </w:rPr>
  </w:style>
  <w:style w:type="paragraph" w:styleId="NoSpacing">
    <w:name w:val="No Spacing"/>
    <w:uiPriority w:val="1"/>
    <w:qFormat/>
    <w:rsid w:val="00653571"/>
    <w:pPr>
      <w:spacing w:after="0" w:line="240" w:lineRule="auto"/>
    </w:pPr>
    <w:rPr>
      <w:lang w:val="en-GB"/>
    </w:rPr>
  </w:style>
  <w:style w:type="paragraph" w:styleId="Quote">
    <w:name w:val="Quote"/>
    <w:basedOn w:val="Normal"/>
    <w:next w:val="Normal"/>
    <w:link w:val="QuoteChar"/>
    <w:uiPriority w:val="29"/>
    <w:qFormat/>
    <w:rsid w:val="00653571"/>
    <w:pPr>
      <w:spacing w:after="240" w:line="240" w:lineRule="auto"/>
      <w:jc w:val="both"/>
    </w:pPr>
    <w:rPr>
      <w:rFonts w:ascii="Times New Roman" w:eastAsia="Times New Roman" w:hAnsi="Times New Roman" w:cs="Times New Roman"/>
      <w:i/>
      <w:iCs/>
      <w:color w:val="000000"/>
      <w:sz w:val="24"/>
      <w:szCs w:val="20"/>
      <w:lang w:val="en-GB" w:eastAsia="en-GB"/>
    </w:rPr>
  </w:style>
  <w:style w:type="character" w:customStyle="1" w:styleId="QuoteChar">
    <w:name w:val="Quote Char"/>
    <w:basedOn w:val="DefaultParagraphFont"/>
    <w:link w:val="Quote"/>
    <w:uiPriority w:val="29"/>
    <w:rsid w:val="00653571"/>
    <w:rPr>
      <w:rFonts w:ascii="Times New Roman" w:eastAsia="Times New Roman" w:hAnsi="Times New Roman" w:cs="Times New Roman"/>
      <w:i/>
      <w:iCs/>
      <w:color w:val="000000"/>
      <w:sz w:val="24"/>
      <w:szCs w:val="20"/>
      <w:lang w:val="en-GB" w:eastAsia="en-GB"/>
    </w:rPr>
  </w:style>
  <w:style w:type="paragraph" w:customStyle="1" w:styleId="EntInstit">
    <w:name w:val="EntInstit"/>
    <w:basedOn w:val="Normal"/>
    <w:rsid w:val="00653571"/>
    <w:pPr>
      <w:spacing w:after="0" w:line="240" w:lineRule="auto"/>
      <w:jc w:val="right"/>
    </w:pPr>
    <w:rPr>
      <w:rFonts w:ascii="Times New Roman" w:eastAsia="Calibri" w:hAnsi="Times New Roman" w:cs="Arial"/>
      <w:b/>
      <w:sz w:val="24"/>
      <w:lang w:val="en-US"/>
    </w:rPr>
  </w:style>
  <w:style w:type="paragraph" w:customStyle="1" w:styleId="EntRefer">
    <w:name w:val="EntRefer"/>
    <w:basedOn w:val="Normal"/>
    <w:rsid w:val="00653571"/>
    <w:pPr>
      <w:spacing w:after="0" w:line="240" w:lineRule="auto"/>
    </w:pPr>
    <w:rPr>
      <w:rFonts w:ascii="Times New Roman" w:eastAsia="Calibri" w:hAnsi="Times New Roman" w:cs="Arial"/>
      <w:b/>
      <w:sz w:val="24"/>
      <w:lang w:val="en-US"/>
    </w:rPr>
  </w:style>
  <w:style w:type="paragraph" w:customStyle="1" w:styleId="Par-number10">
    <w:name w:val="Par-number 1)"/>
    <w:basedOn w:val="Normal"/>
    <w:next w:val="Normal"/>
    <w:rsid w:val="00653571"/>
    <w:pPr>
      <w:numPr>
        <w:numId w:val="29"/>
      </w:numPr>
      <w:spacing w:after="0" w:line="360" w:lineRule="auto"/>
    </w:pPr>
    <w:rPr>
      <w:rFonts w:ascii="Times New Roman" w:eastAsia="Calibri" w:hAnsi="Times New Roman" w:cs="Arial"/>
      <w:sz w:val="24"/>
      <w:lang w:val="en-US"/>
    </w:rPr>
  </w:style>
  <w:style w:type="paragraph" w:customStyle="1" w:styleId="EntEmet">
    <w:name w:val="EntEmet"/>
    <w:basedOn w:val="Normal"/>
    <w:rsid w:val="00653571"/>
    <w:pPr>
      <w:tabs>
        <w:tab w:val="left" w:pos="284"/>
        <w:tab w:val="left" w:pos="567"/>
        <w:tab w:val="left" w:pos="851"/>
        <w:tab w:val="left" w:pos="1134"/>
        <w:tab w:val="left" w:pos="1418"/>
      </w:tabs>
      <w:spacing w:before="40" w:after="0" w:line="240" w:lineRule="auto"/>
    </w:pPr>
    <w:rPr>
      <w:rFonts w:ascii="Times New Roman" w:eastAsia="Calibri" w:hAnsi="Times New Roman" w:cs="Arial"/>
      <w:sz w:val="24"/>
      <w:lang w:val="en-US"/>
    </w:rPr>
  </w:style>
  <w:style w:type="paragraph" w:customStyle="1" w:styleId="Par-bullet">
    <w:name w:val="Par-bullet"/>
    <w:basedOn w:val="Normal"/>
    <w:next w:val="Normal"/>
    <w:rsid w:val="00653571"/>
    <w:pPr>
      <w:numPr>
        <w:numId w:val="30"/>
      </w:numPr>
      <w:spacing w:after="0" w:line="360" w:lineRule="auto"/>
    </w:pPr>
    <w:rPr>
      <w:rFonts w:ascii="Times New Roman" w:eastAsia="Calibri" w:hAnsi="Times New Roman" w:cs="Arial"/>
      <w:sz w:val="24"/>
      <w:lang w:val="en-US"/>
    </w:rPr>
  </w:style>
  <w:style w:type="paragraph" w:customStyle="1" w:styleId="Par-equal">
    <w:name w:val="Par-equal"/>
    <w:basedOn w:val="Normal"/>
    <w:next w:val="Normal"/>
    <w:rsid w:val="00653571"/>
    <w:pPr>
      <w:numPr>
        <w:numId w:val="31"/>
      </w:numPr>
      <w:spacing w:after="0" w:line="360" w:lineRule="auto"/>
    </w:pPr>
    <w:rPr>
      <w:rFonts w:ascii="Times New Roman" w:eastAsia="Calibri" w:hAnsi="Times New Roman" w:cs="Arial"/>
      <w:sz w:val="24"/>
      <w:lang w:val="en-US"/>
    </w:rPr>
  </w:style>
  <w:style w:type="paragraph" w:customStyle="1" w:styleId="Par-number1">
    <w:name w:val="Par-number (1)"/>
    <w:basedOn w:val="Normal"/>
    <w:next w:val="Normal"/>
    <w:rsid w:val="00653571"/>
    <w:pPr>
      <w:numPr>
        <w:numId w:val="32"/>
      </w:numPr>
      <w:spacing w:after="0" w:line="360" w:lineRule="auto"/>
    </w:pPr>
    <w:rPr>
      <w:rFonts w:ascii="Times New Roman" w:eastAsia="Calibri" w:hAnsi="Times New Roman" w:cs="Arial"/>
      <w:sz w:val="24"/>
      <w:lang w:val="en-US"/>
    </w:rPr>
  </w:style>
  <w:style w:type="paragraph" w:customStyle="1" w:styleId="Par-number11">
    <w:name w:val="Par-number 1."/>
    <w:basedOn w:val="Normal"/>
    <w:next w:val="Normal"/>
    <w:rsid w:val="00653571"/>
    <w:pPr>
      <w:numPr>
        <w:numId w:val="33"/>
      </w:numPr>
      <w:spacing w:after="0" w:line="360" w:lineRule="auto"/>
    </w:pPr>
    <w:rPr>
      <w:rFonts w:ascii="Times New Roman" w:eastAsia="Calibri" w:hAnsi="Times New Roman" w:cs="Arial"/>
      <w:sz w:val="24"/>
      <w:lang w:val="en-US"/>
    </w:rPr>
  </w:style>
  <w:style w:type="paragraph" w:customStyle="1" w:styleId="Par-dash">
    <w:name w:val="Par-dash"/>
    <w:basedOn w:val="Normal"/>
    <w:next w:val="Normal"/>
    <w:rsid w:val="00653571"/>
    <w:pPr>
      <w:numPr>
        <w:numId w:val="34"/>
      </w:numPr>
      <w:spacing w:after="0" w:line="360" w:lineRule="auto"/>
    </w:pPr>
    <w:rPr>
      <w:rFonts w:ascii="Times New Roman" w:eastAsia="Calibri" w:hAnsi="Times New Roman" w:cs="Arial"/>
      <w:sz w:val="24"/>
      <w:lang w:val="en-US"/>
    </w:rPr>
  </w:style>
  <w:style w:type="paragraph" w:customStyle="1" w:styleId="EntLogo">
    <w:name w:val="EntLogo"/>
    <w:basedOn w:val="Normal"/>
    <w:next w:val="EntInstit"/>
    <w:rsid w:val="00653571"/>
    <w:pPr>
      <w:spacing w:after="0" w:line="360" w:lineRule="auto"/>
    </w:pPr>
    <w:rPr>
      <w:rFonts w:ascii="Times New Roman" w:eastAsia="Calibri" w:hAnsi="Times New Roman" w:cs="Arial"/>
      <w:b/>
      <w:sz w:val="24"/>
      <w:lang w:val="en-US"/>
    </w:rPr>
  </w:style>
  <w:style w:type="paragraph" w:customStyle="1" w:styleId="Par-numberA">
    <w:name w:val="Par-number A."/>
    <w:basedOn w:val="Normal"/>
    <w:next w:val="Normal"/>
    <w:rsid w:val="00653571"/>
    <w:pPr>
      <w:numPr>
        <w:numId w:val="35"/>
      </w:numPr>
      <w:spacing w:after="0" w:line="360" w:lineRule="auto"/>
    </w:pPr>
    <w:rPr>
      <w:rFonts w:ascii="Times New Roman" w:eastAsia="Calibri" w:hAnsi="Times New Roman" w:cs="Arial"/>
      <w:sz w:val="24"/>
      <w:lang w:val="en-US"/>
    </w:rPr>
  </w:style>
  <w:style w:type="paragraph" w:customStyle="1" w:styleId="AC">
    <w:name w:val="AC"/>
    <w:basedOn w:val="Normal"/>
    <w:next w:val="Normal"/>
    <w:rsid w:val="00653571"/>
    <w:pPr>
      <w:spacing w:after="0" w:line="360" w:lineRule="auto"/>
    </w:pPr>
    <w:rPr>
      <w:rFonts w:ascii="Times New Roman" w:eastAsia="Calibri" w:hAnsi="Times New Roman" w:cs="Arial"/>
      <w:b/>
      <w:sz w:val="40"/>
      <w:lang w:val="en-US"/>
    </w:rPr>
  </w:style>
  <w:style w:type="paragraph" w:customStyle="1" w:styleId="Par-numberi">
    <w:name w:val="Par-number (i)"/>
    <w:basedOn w:val="Normal"/>
    <w:next w:val="Normal"/>
    <w:rsid w:val="00653571"/>
    <w:pPr>
      <w:numPr>
        <w:numId w:val="36"/>
      </w:numPr>
      <w:tabs>
        <w:tab w:val="left" w:pos="567"/>
      </w:tabs>
      <w:spacing w:after="0" w:line="360" w:lineRule="auto"/>
    </w:pPr>
    <w:rPr>
      <w:rFonts w:ascii="Times New Roman" w:eastAsia="Calibri" w:hAnsi="Times New Roman" w:cs="Arial"/>
      <w:sz w:val="24"/>
      <w:lang w:val="en-US"/>
    </w:rPr>
  </w:style>
  <w:style w:type="paragraph" w:customStyle="1" w:styleId="Par-numbera0">
    <w:name w:val="Par-number (a)"/>
    <w:basedOn w:val="Normal"/>
    <w:next w:val="Normal"/>
    <w:rsid w:val="00653571"/>
    <w:pPr>
      <w:numPr>
        <w:numId w:val="37"/>
      </w:numPr>
      <w:spacing w:after="0" w:line="360" w:lineRule="auto"/>
    </w:pPr>
    <w:rPr>
      <w:rFonts w:ascii="Times New Roman" w:eastAsia="Calibri" w:hAnsi="Times New Roman" w:cs="Arial"/>
      <w:sz w:val="24"/>
      <w:lang w:val="en-US"/>
    </w:rPr>
  </w:style>
  <w:style w:type="paragraph" w:customStyle="1" w:styleId="AddReference">
    <w:name w:val="Add Reference"/>
    <w:basedOn w:val="Normal"/>
    <w:rsid w:val="00653571"/>
    <w:pPr>
      <w:pBdr>
        <w:top w:val="single" w:sz="4" w:space="1" w:color="auto"/>
        <w:left w:val="single" w:sz="4" w:space="4" w:color="auto"/>
        <w:bottom w:val="single" w:sz="4" w:space="1" w:color="auto"/>
        <w:right w:val="single" w:sz="4" w:space="4" w:color="auto"/>
      </w:pBdr>
      <w:spacing w:after="0" w:line="240" w:lineRule="auto"/>
      <w:ind w:left="7655" w:right="-454"/>
    </w:pPr>
    <w:rPr>
      <w:rFonts w:ascii="Times New Roman" w:eastAsia="Calibri" w:hAnsi="Times New Roman" w:cs="Arial"/>
      <w:i/>
      <w:sz w:val="20"/>
      <w:lang w:val="en-US"/>
    </w:rPr>
  </w:style>
  <w:style w:type="paragraph" w:customStyle="1" w:styleId="ChapterTitle">
    <w:name w:val="ChapterTitle"/>
    <w:basedOn w:val="Normal"/>
    <w:next w:val="Normal"/>
    <w:rsid w:val="00653571"/>
    <w:pPr>
      <w:keepNext/>
      <w:spacing w:before="120" w:after="360" w:line="240" w:lineRule="auto"/>
      <w:jc w:val="center"/>
    </w:pPr>
    <w:rPr>
      <w:rFonts w:ascii="Times New Roman" w:eastAsia="Calibri" w:hAnsi="Times New Roman" w:cs="Times New Roman"/>
      <w:b/>
      <w:sz w:val="32"/>
      <w:lang w:val="en-GB"/>
    </w:rPr>
  </w:style>
  <w:style w:type="paragraph" w:customStyle="1" w:styleId="SectionTitle">
    <w:name w:val="SectionTitle"/>
    <w:basedOn w:val="Normal"/>
    <w:next w:val="Heading1"/>
    <w:rsid w:val="00653571"/>
    <w:pPr>
      <w:keepNext/>
      <w:spacing w:before="120" w:after="360" w:line="240" w:lineRule="auto"/>
      <w:jc w:val="center"/>
    </w:pPr>
    <w:rPr>
      <w:rFonts w:ascii="Times New Roman" w:eastAsia="Calibri" w:hAnsi="Times New Roman" w:cs="Times New Roman"/>
      <w:b/>
      <w:smallCaps/>
      <w:sz w:val="28"/>
      <w:lang w:val="en-GB"/>
    </w:rPr>
  </w:style>
  <w:style w:type="paragraph" w:customStyle="1" w:styleId="ManualNumPar1">
    <w:name w:val="Manual NumPar 1"/>
    <w:basedOn w:val="Normal"/>
    <w:next w:val="Normal"/>
    <w:rsid w:val="00653571"/>
    <w:pPr>
      <w:spacing w:before="120" w:after="120" w:line="240" w:lineRule="auto"/>
      <w:ind w:left="850" w:hanging="850"/>
      <w:jc w:val="both"/>
    </w:pPr>
    <w:rPr>
      <w:rFonts w:ascii="Times New Roman" w:eastAsia="Calibri" w:hAnsi="Times New Roman" w:cs="Times New Roman"/>
      <w:sz w:val="24"/>
      <w:lang w:val="en-GB"/>
    </w:rPr>
  </w:style>
  <w:style w:type="paragraph" w:customStyle="1" w:styleId="Titrearticle">
    <w:name w:val="Titre article"/>
    <w:basedOn w:val="Normal"/>
    <w:next w:val="Normal"/>
    <w:rsid w:val="00653571"/>
    <w:pPr>
      <w:keepNext/>
      <w:spacing w:before="360" w:after="120" w:line="240" w:lineRule="auto"/>
      <w:jc w:val="center"/>
    </w:pPr>
    <w:rPr>
      <w:rFonts w:ascii="Times New Roman" w:eastAsia="Calibri" w:hAnsi="Times New Roman" w:cs="Times New Roman"/>
      <w:i/>
      <w:sz w:val="24"/>
      <w:lang w:val="en-GB"/>
    </w:rPr>
  </w:style>
  <w:style w:type="paragraph" w:customStyle="1" w:styleId="Point2">
    <w:name w:val="Point 2"/>
    <w:basedOn w:val="Normal"/>
    <w:rsid w:val="00653571"/>
    <w:pPr>
      <w:spacing w:before="120" w:after="120" w:line="240" w:lineRule="auto"/>
      <w:ind w:left="1984" w:hanging="567"/>
      <w:jc w:val="both"/>
    </w:pPr>
    <w:rPr>
      <w:rFonts w:ascii="Times New Roman" w:eastAsia="Calibri" w:hAnsi="Times New Roman" w:cs="Times New Roman"/>
      <w:sz w:val="24"/>
      <w:lang w:val="en-GB"/>
    </w:rPr>
  </w:style>
  <w:style w:type="paragraph" w:customStyle="1" w:styleId="Point0number">
    <w:name w:val="Point 0 (number)"/>
    <w:basedOn w:val="Normal"/>
    <w:rsid w:val="00653571"/>
    <w:pPr>
      <w:numPr>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Point1number">
    <w:name w:val="Point 1 (number)"/>
    <w:basedOn w:val="Normal"/>
    <w:rsid w:val="00653571"/>
    <w:pPr>
      <w:numPr>
        <w:ilvl w:val="2"/>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Point2number">
    <w:name w:val="Point 2 (number)"/>
    <w:basedOn w:val="Normal"/>
    <w:rsid w:val="00653571"/>
    <w:pPr>
      <w:numPr>
        <w:ilvl w:val="4"/>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Point3number">
    <w:name w:val="Point 3 (number)"/>
    <w:basedOn w:val="Normal"/>
    <w:rsid w:val="00653571"/>
    <w:pPr>
      <w:numPr>
        <w:ilvl w:val="6"/>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Point0letter">
    <w:name w:val="Point 0 (letter)"/>
    <w:basedOn w:val="Normal"/>
    <w:rsid w:val="00653571"/>
    <w:pPr>
      <w:numPr>
        <w:ilvl w:val="1"/>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Point1letter">
    <w:name w:val="Point 1 (letter)"/>
    <w:basedOn w:val="Normal"/>
    <w:rsid w:val="00653571"/>
    <w:pPr>
      <w:spacing w:before="120" w:after="120" w:line="240" w:lineRule="auto"/>
      <w:jc w:val="both"/>
    </w:pPr>
    <w:rPr>
      <w:rFonts w:ascii="Times New Roman" w:eastAsia="Calibri" w:hAnsi="Times New Roman" w:cs="Times New Roman"/>
      <w:sz w:val="24"/>
      <w:lang w:val="en-GB"/>
    </w:rPr>
  </w:style>
  <w:style w:type="paragraph" w:customStyle="1" w:styleId="Point2letter">
    <w:name w:val="Point 2 (letter)"/>
    <w:basedOn w:val="Normal"/>
    <w:rsid w:val="00653571"/>
    <w:pPr>
      <w:numPr>
        <w:ilvl w:val="5"/>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Point3letter">
    <w:name w:val="Point 3 (letter)"/>
    <w:basedOn w:val="Normal"/>
    <w:rsid w:val="00653571"/>
    <w:pPr>
      <w:numPr>
        <w:ilvl w:val="7"/>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Point4letter">
    <w:name w:val="Point 4 (letter)"/>
    <w:basedOn w:val="Normal"/>
    <w:rsid w:val="00653571"/>
    <w:pPr>
      <w:numPr>
        <w:ilvl w:val="8"/>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Considerant">
    <w:name w:val="Considerant"/>
    <w:basedOn w:val="ListParagraph"/>
    <w:rsid w:val="00653571"/>
    <w:pPr>
      <w:numPr>
        <w:numId w:val="39"/>
      </w:numPr>
      <w:tabs>
        <w:tab w:val="num" w:pos="567"/>
      </w:tabs>
      <w:spacing w:before="0" w:after="200" w:line="276" w:lineRule="auto"/>
      <w:ind w:left="567" w:hanging="567"/>
    </w:pPr>
    <w:rPr>
      <w:rFonts w:eastAsia="Times New Roman"/>
      <w:sz w:val="22"/>
      <w:lang w:eastAsia="en-GB"/>
    </w:rPr>
  </w:style>
  <w:style w:type="paragraph" w:customStyle="1" w:styleId="ManualConsidrant">
    <w:name w:val="Manual Considérant"/>
    <w:basedOn w:val="Normal"/>
    <w:rsid w:val="00653571"/>
    <w:pPr>
      <w:spacing w:before="120" w:after="120" w:line="240" w:lineRule="auto"/>
      <w:ind w:left="709" w:hanging="709"/>
      <w:jc w:val="both"/>
    </w:pPr>
    <w:rPr>
      <w:rFonts w:ascii="Times New Roman" w:eastAsia="Calibri" w:hAnsi="Times New Roman" w:cs="Times New Roman"/>
      <w:sz w:val="24"/>
      <w:lang w:val="en-GB"/>
    </w:rPr>
  </w:style>
  <w:style w:type="paragraph" w:customStyle="1" w:styleId="Default">
    <w:name w:val="Default"/>
    <w:rsid w:val="00653571"/>
    <w:pPr>
      <w:autoSpaceDE w:val="0"/>
      <w:autoSpaceDN w:val="0"/>
      <w:adjustRightInd w:val="0"/>
      <w:spacing w:after="0" w:line="240" w:lineRule="auto"/>
    </w:pPr>
    <w:rPr>
      <w:rFonts w:ascii="Arial" w:eastAsia="Times New Roman" w:hAnsi="Arial" w:cs="Arial"/>
      <w:color w:val="000000"/>
      <w:sz w:val="24"/>
      <w:szCs w:val="24"/>
      <w:lang w:val="en-GB" w:eastAsia="en-GB"/>
    </w:rPr>
  </w:style>
  <w:style w:type="paragraph" w:customStyle="1" w:styleId="CM3">
    <w:name w:val="CM3"/>
    <w:basedOn w:val="Normal"/>
    <w:next w:val="Normal"/>
    <w:uiPriority w:val="99"/>
    <w:rsid w:val="00653571"/>
    <w:pPr>
      <w:autoSpaceDE w:val="0"/>
      <w:autoSpaceDN w:val="0"/>
      <w:adjustRightInd w:val="0"/>
      <w:spacing w:after="0" w:line="240" w:lineRule="auto"/>
    </w:pPr>
    <w:rPr>
      <w:rFonts w:ascii="EUAlbertina" w:eastAsia="Times New Roman" w:hAnsi="EUAlbertina" w:cs="Times New Roman"/>
      <w:sz w:val="24"/>
      <w:szCs w:val="24"/>
      <w:lang w:val="en-GB" w:eastAsia="en-GB"/>
    </w:rPr>
  </w:style>
  <w:style w:type="character" w:customStyle="1" w:styleId="AnnexetitreChar">
    <w:name w:val="Annexe titre Char"/>
    <w:link w:val="Annexetitre"/>
    <w:locked/>
    <w:rsid w:val="00653571"/>
    <w:rPr>
      <w:rFonts w:ascii="Times New Roman" w:eastAsia="Calibri" w:hAnsi="Times New Roman" w:cs="Times New Roman"/>
      <w:b/>
      <w:sz w:val="24"/>
      <w:szCs w:val="20"/>
      <w:u w:val="single"/>
      <w:lang w:val="en-GB" w:eastAsia="en-GB"/>
    </w:rPr>
  </w:style>
  <w:style w:type="paragraph" w:customStyle="1" w:styleId="Annexetitre">
    <w:name w:val="Annexe titre"/>
    <w:basedOn w:val="Normal"/>
    <w:next w:val="Normal"/>
    <w:link w:val="AnnexetitreChar"/>
    <w:rsid w:val="00653571"/>
    <w:pPr>
      <w:spacing w:before="120" w:after="120" w:line="240" w:lineRule="auto"/>
      <w:jc w:val="center"/>
    </w:pPr>
    <w:rPr>
      <w:rFonts w:ascii="Times New Roman" w:eastAsia="Calibri" w:hAnsi="Times New Roman" w:cs="Times New Roman"/>
      <w:b/>
      <w:sz w:val="24"/>
      <w:szCs w:val="20"/>
      <w:u w:val="single"/>
      <w:lang w:val="en-GB" w:eastAsia="en-GB"/>
    </w:rPr>
  </w:style>
  <w:style w:type="paragraph" w:customStyle="1" w:styleId="Pagedecouverture">
    <w:name w:val="Page de couverture"/>
    <w:basedOn w:val="Normal"/>
    <w:next w:val="Normal"/>
    <w:rsid w:val="00653571"/>
    <w:pPr>
      <w:spacing w:after="0" w:line="240" w:lineRule="auto"/>
      <w:jc w:val="both"/>
    </w:pPr>
    <w:rPr>
      <w:rFonts w:ascii="Times New Roman" w:eastAsia="Calibri" w:hAnsi="Times New Roman" w:cs="Times New Roman"/>
      <w:sz w:val="24"/>
      <w:szCs w:val="20"/>
      <w:lang w:val="en-GB" w:eastAsia="en-GB"/>
    </w:rPr>
  </w:style>
  <w:style w:type="character" w:customStyle="1" w:styleId="FooterCoverPageChar">
    <w:name w:val="Footer Cover Page Char"/>
    <w:basedOn w:val="AnnexetitreChar"/>
    <w:link w:val="FooterCoverPage"/>
    <w:locked/>
    <w:rsid w:val="00653571"/>
    <w:rPr>
      <w:rFonts w:ascii="Times New Roman" w:eastAsia="Calibri" w:hAnsi="Times New Roman" w:cs="Times New Roman"/>
      <w:b w:val="0"/>
      <w:sz w:val="24"/>
      <w:szCs w:val="20"/>
      <w:u w:val="single"/>
      <w:lang w:val="en-GB" w:eastAsia="en-GB"/>
    </w:rPr>
  </w:style>
  <w:style w:type="paragraph" w:customStyle="1" w:styleId="FooterCoverPage">
    <w:name w:val="Footer Cover Page"/>
    <w:basedOn w:val="Normal"/>
    <w:link w:val="FooterCoverPageChar"/>
    <w:rsid w:val="00653571"/>
    <w:pPr>
      <w:tabs>
        <w:tab w:val="center" w:pos="4535"/>
        <w:tab w:val="right" w:pos="9071"/>
        <w:tab w:val="right" w:pos="9921"/>
      </w:tabs>
      <w:spacing w:before="360" w:after="0" w:line="240" w:lineRule="auto"/>
      <w:ind w:left="-850" w:right="-850"/>
    </w:pPr>
    <w:rPr>
      <w:rFonts w:ascii="Times New Roman" w:eastAsia="Calibri" w:hAnsi="Times New Roman" w:cs="Times New Roman"/>
      <w:sz w:val="24"/>
      <w:szCs w:val="20"/>
      <w:u w:val="single"/>
      <w:lang w:val="en-GB" w:eastAsia="en-GB"/>
    </w:rPr>
  </w:style>
  <w:style w:type="character" w:customStyle="1" w:styleId="FooterSensitivityChar">
    <w:name w:val="Footer Sensitivity Char"/>
    <w:basedOn w:val="AnnexetitreChar"/>
    <w:link w:val="FooterSensitivity"/>
    <w:locked/>
    <w:rsid w:val="00653571"/>
    <w:rPr>
      <w:rFonts w:ascii="Times New Roman" w:eastAsia="Calibri" w:hAnsi="Times New Roman" w:cs="Times New Roman"/>
      <w:b/>
      <w:sz w:val="32"/>
      <w:szCs w:val="20"/>
      <w:u w:val="single"/>
      <w:lang w:val="en-GB" w:eastAsia="en-GB"/>
    </w:rPr>
  </w:style>
  <w:style w:type="paragraph" w:customStyle="1" w:styleId="FooterSensitivity">
    <w:name w:val="Footer Sensitivity"/>
    <w:basedOn w:val="Normal"/>
    <w:link w:val="FooterSensitivityChar"/>
    <w:rsid w:val="00653571"/>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eastAsia="Calibri" w:hAnsi="Times New Roman" w:cs="Times New Roman"/>
      <w:b/>
      <w:sz w:val="32"/>
      <w:szCs w:val="20"/>
      <w:u w:val="single"/>
      <w:lang w:val="en-GB" w:eastAsia="en-GB"/>
    </w:rPr>
  </w:style>
  <w:style w:type="character" w:customStyle="1" w:styleId="HeaderCoverPageChar">
    <w:name w:val="Header Cover Page Char"/>
    <w:basedOn w:val="AnnexetitreChar"/>
    <w:link w:val="HeaderCoverPage"/>
    <w:locked/>
    <w:rsid w:val="00653571"/>
    <w:rPr>
      <w:rFonts w:ascii="Times New Roman" w:eastAsia="Calibri" w:hAnsi="Times New Roman" w:cs="Times New Roman"/>
      <w:b w:val="0"/>
      <w:sz w:val="24"/>
      <w:szCs w:val="20"/>
      <w:u w:val="single"/>
      <w:lang w:val="en-GB" w:eastAsia="en-GB"/>
    </w:rPr>
  </w:style>
  <w:style w:type="paragraph" w:customStyle="1" w:styleId="HeaderCoverPage">
    <w:name w:val="Header Cover Page"/>
    <w:basedOn w:val="Normal"/>
    <w:link w:val="HeaderCoverPageChar"/>
    <w:rsid w:val="00653571"/>
    <w:pPr>
      <w:tabs>
        <w:tab w:val="center" w:pos="4535"/>
        <w:tab w:val="right" w:pos="9071"/>
      </w:tabs>
      <w:spacing w:after="120" w:line="240" w:lineRule="auto"/>
      <w:jc w:val="both"/>
    </w:pPr>
    <w:rPr>
      <w:rFonts w:ascii="Times New Roman" w:eastAsia="Calibri" w:hAnsi="Times New Roman" w:cs="Times New Roman"/>
      <w:sz w:val="24"/>
      <w:szCs w:val="20"/>
      <w:u w:val="single"/>
      <w:lang w:val="en-GB" w:eastAsia="en-GB"/>
    </w:rPr>
  </w:style>
  <w:style w:type="character" w:customStyle="1" w:styleId="HeaderSensitivityChar">
    <w:name w:val="Header Sensitivity Char"/>
    <w:basedOn w:val="AnnexetitreChar"/>
    <w:link w:val="HeaderSensitivity"/>
    <w:locked/>
    <w:rsid w:val="00653571"/>
    <w:rPr>
      <w:rFonts w:ascii="Times New Roman" w:eastAsia="Calibri" w:hAnsi="Times New Roman" w:cs="Times New Roman"/>
      <w:b/>
      <w:sz w:val="32"/>
      <w:szCs w:val="20"/>
      <w:u w:val="single"/>
      <w:lang w:val="en-GB" w:eastAsia="en-GB"/>
    </w:rPr>
  </w:style>
  <w:style w:type="paragraph" w:customStyle="1" w:styleId="HeaderSensitivity">
    <w:name w:val="Header Sensitivity"/>
    <w:basedOn w:val="Normal"/>
    <w:link w:val="HeaderSensitivityChar"/>
    <w:rsid w:val="00653571"/>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eastAsia="Calibri" w:hAnsi="Times New Roman" w:cs="Times New Roman"/>
      <w:b/>
      <w:sz w:val="32"/>
      <w:szCs w:val="20"/>
      <w:u w:val="single"/>
      <w:lang w:val="en-GB" w:eastAsia="en-GB"/>
    </w:rPr>
  </w:style>
  <w:style w:type="paragraph" w:customStyle="1" w:styleId="CM4">
    <w:name w:val="CM4"/>
    <w:basedOn w:val="Normal"/>
    <w:next w:val="Normal"/>
    <w:uiPriority w:val="99"/>
    <w:rsid w:val="00653571"/>
    <w:pPr>
      <w:autoSpaceDE w:val="0"/>
      <w:autoSpaceDN w:val="0"/>
      <w:adjustRightInd w:val="0"/>
      <w:spacing w:after="0" w:line="240" w:lineRule="auto"/>
    </w:pPr>
    <w:rPr>
      <w:rFonts w:ascii="EUAlbertina" w:eastAsia="Times New Roman" w:hAnsi="EUAlbertina" w:cs="Times New Roman"/>
      <w:sz w:val="24"/>
      <w:szCs w:val="24"/>
      <w:lang w:val="en-GB" w:eastAsia="en-GB"/>
    </w:rPr>
  </w:style>
  <w:style w:type="paragraph" w:customStyle="1" w:styleId="NumPar1">
    <w:name w:val="NumPar 1"/>
    <w:basedOn w:val="Normal"/>
    <w:next w:val="Normal"/>
    <w:rsid w:val="00653571"/>
    <w:pPr>
      <w:spacing w:before="120" w:after="120" w:line="240" w:lineRule="auto"/>
      <w:ind w:left="850"/>
      <w:jc w:val="both"/>
    </w:pPr>
    <w:rPr>
      <w:rFonts w:ascii="Times New Roman" w:hAnsi="Times New Roman" w:cs="Times New Roman"/>
      <w:sz w:val="24"/>
      <w:lang w:val="en-GB" w:eastAsia="en-GB"/>
    </w:rPr>
  </w:style>
  <w:style w:type="paragraph" w:customStyle="1" w:styleId="AddressTL">
    <w:name w:val="AddressTL"/>
    <w:basedOn w:val="Normal"/>
    <w:next w:val="Normal"/>
    <w:rsid w:val="00653571"/>
    <w:pPr>
      <w:spacing w:after="720" w:line="240" w:lineRule="auto"/>
    </w:pPr>
    <w:rPr>
      <w:rFonts w:ascii="Times New Roman" w:eastAsia="Times New Roman" w:hAnsi="Times New Roman" w:cs="Times New Roman"/>
      <w:sz w:val="24"/>
      <w:lang w:val="en-GB" w:eastAsia="en-GB"/>
    </w:rPr>
  </w:style>
  <w:style w:type="paragraph" w:customStyle="1" w:styleId="DoubSign">
    <w:name w:val="DoubSign"/>
    <w:basedOn w:val="Normal"/>
    <w:next w:val="Contact"/>
    <w:rsid w:val="00653571"/>
    <w:pPr>
      <w:tabs>
        <w:tab w:val="left" w:pos="5103"/>
      </w:tabs>
      <w:spacing w:before="1200" w:after="0" w:line="240" w:lineRule="auto"/>
    </w:pPr>
    <w:rPr>
      <w:rFonts w:ascii="Times New Roman" w:eastAsia="Times New Roman" w:hAnsi="Times New Roman" w:cs="Times New Roman"/>
      <w:sz w:val="24"/>
      <w:lang w:val="en-GB" w:eastAsia="en-GB"/>
    </w:rPr>
  </w:style>
  <w:style w:type="paragraph" w:customStyle="1" w:styleId="Subject">
    <w:name w:val="Subject"/>
    <w:basedOn w:val="Normal"/>
    <w:next w:val="Normal"/>
    <w:rsid w:val="00653571"/>
    <w:pPr>
      <w:spacing w:after="480" w:line="240" w:lineRule="auto"/>
      <w:ind w:left="1531" w:hanging="1531"/>
    </w:pPr>
    <w:rPr>
      <w:rFonts w:ascii="Times New Roman" w:eastAsia="Times New Roman" w:hAnsi="Times New Roman" w:cs="Times New Roman"/>
      <w:b/>
      <w:sz w:val="24"/>
      <w:lang w:val="en-GB" w:eastAsia="en-GB"/>
    </w:rPr>
  </w:style>
  <w:style w:type="paragraph" w:customStyle="1" w:styleId="NoteHead">
    <w:name w:val="NoteHead"/>
    <w:basedOn w:val="Normal"/>
    <w:next w:val="Subject"/>
    <w:rsid w:val="00653571"/>
    <w:pPr>
      <w:spacing w:before="720" w:after="720" w:line="240" w:lineRule="auto"/>
      <w:jc w:val="center"/>
    </w:pPr>
    <w:rPr>
      <w:rFonts w:ascii="Times New Roman" w:eastAsia="Times New Roman" w:hAnsi="Times New Roman" w:cs="Times New Roman"/>
      <w:b/>
      <w:smallCaps/>
      <w:sz w:val="24"/>
      <w:lang w:val="en-GB" w:eastAsia="en-GB"/>
    </w:rPr>
  </w:style>
  <w:style w:type="paragraph" w:customStyle="1" w:styleId="NoteList">
    <w:name w:val="NoteList"/>
    <w:basedOn w:val="Normal"/>
    <w:next w:val="Subject"/>
    <w:rsid w:val="00653571"/>
    <w:pPr>
      <w:tabs>
        <w:tab w:val="left" w:pos="5823"/>
      </w:tabs>
      <w:spacing w:before="720" w:after="720" w:line="240" w:lineRule="auto"/>
      <w:ind w:left="5104" w:hanging="3119"/>
    </w:pPr>
    <w:rPr>
      <w:rFonts w:ascii="Times New Roman" w:eastAsia="Times New Roman" w:hAnsi="Times New Roman" w:cs="Times New Roman"/>
      <w:b/>
      <w:smallCaps/>
      <w:sz w:val="24"/>
      <w:lang w:val="en-GB" w:eastAsia="en-GB"/>
    </w:rPr>
  </w:style>
  <w:style w:type="paragraph" w:customStyle="1" w:styleId="YReferences">
    <w:name w:val="YReferences"/>
    <w:basedOn w:val="Normal"/>
    <w:next w:val="Normal"/>
    <w:rsid w:val="00653571"/>
    <w:pPr>
      <w:spacing w:after="480" w:line="240" w:lineRule="auto"/>
      <w:ind w:left="1531" w:hanging="1531"/>
      <w:jc w:val="both"/>
    </w:pPr>
    <w:rPr>
      <w:rFonts w:ascii="Times New Roman" w:eastAsia="Times New Roman" w:hAnsi="Times New Roman" w:cs="Times New Roman"/>
      <w:sz w:val="24"/>
      <w:lang w:val="en-GB" w:eastAsia="en-GB"/>
    </w:rPr>
  </w:style>
  <w:style w:type="paragraph" w:customStyle="1" w:styleId="ListBullet1">
    <w:name w:val="List Bullet 1"/>
    <w:basedOn w:val="Text1"/>
    <w:rsid w:val="00653571"/>
    <w:pPr>
      <w:tabs>
        <w:tab w:val="num" w:pos="765"/>
      </w:tabs>
      <w:spacing w:before="0" w:after="240" w:line="240" w:lineRule="auto"/>
      <w:ind w:left="765" w:hanging="283"/>
      <w:jc w:val="both"/>
    </w:pPr>
    <w:rPr>
      <w:rFonts w:eastAsia="Times New Roman"/>
      <w:lang w:val="en-US" w:eastAsia="en-GB"/>
    </w:rPr>
  </w:style>
  <w:style w:type="paragraph" w:customStyle="1" w:styleId="ListDash">
    <w:name w:val="List Dash"/>
    <w:basedOn w:val="Normal"/>
    <w:rsid w:val="00653571"/>
    <w:pPr>
      <w:numPr>
        <w:numId w:val="40"/>
      </w:numPr>
      <w:spacing w:after="240" w:line="240" w:lineRule="auto"/>
      <w:jc w:val="both"/>
    </w:pPr>
    <w:rPr>
      <w:rFonts w:ascii="Times New Roman" w:eastAsia="Times New Roman" w:hAnsi="Times New Roman" w:cs="Times New Roman"/>
      <w:sz w:val="24"/>
      <w:lang w:val="en-GB" w:eastAsia="en-GB"/>
    </w:rPr>
  </w:style>
  <w:style w:type="paragraph" w:customStyle="1" w:styleId="ListDash1">
    <w:name w:val="List Dash 1"/>
    <w:basedOn w:val="Text1"/>
    <w:rsid w:val="00653571"/>
    <w:pPr>
      <w:numPr>
        <w:numId w:val="41"/>
      </w:numPr>
      <w:tabs>
        <w:tab w:val="clear" w:pos="765"/>
      </w:tabs>
      <w:spacing w:before="0" w:after="240" w:line="240" w:lineRule="auto"/>
      <w:ind w:left="928" w:hanging="360"/>
      <w:jc w:val="both"/>
    </w:pPr>
    <w:rPr>
      <w:rFonts w:eastAsia="Times New Roman"/>
      <w:lang w:val="en-US" w:eastAsia="en-GB"/>
    </w:rPr>
  </w:style>
  <w:style w:type="paragraph" w:customStyle="1" w:styleId="ListDash2">
    <w:name w:val="List Dash 2"/>
    <w:basedOn w:val="Text2"/>
    <w:rsid w:val="00653571"/>
    <w:pPr>
      <w:numPr>
        <w:numId w:val="42"/>
      </w:numPr>
      <w:spacing w:before="0" w:after="240" w:line="240" w:lineRule="auto"/>
      <w:jc w:val="both"/>
    </w:pPr>
    <w:rPr>
      <w:rFonts w:eastAsia="Times New Roman"/>
      <w:lang w:eastAsia="en-GB"/>
    </w:rPr>
  </w:style>
  <w:style w:type="paragraph" w:customStyle="1" w:styleId="ListDash3">
    <w:name w:val="List Dash 3"/>
    <w:basedOn w:val="Text3"/>
    <w:rsid w:val="00653571"/>
    <w:pPr>
      <w:numPr>
        <w:numId w:val="43"/>
      </w:numPr>
      <w:spacing w:before="0" w:after="240" w:line="240" w:lineRule="auto"/>
      <w:jc w:val="both"/>
    </w:pPr>
    <w:rPr>
      <w:rFonts w:eastAsia="Times New Roman"/>
      <w:lang w:eastAsia="en-GB"/>
    </w:rPr>
  </w:style>
  <w:style w:type="paragraph" w:customStyle="1" w:styleId="ListDash4">
    <w:name w:val="List Dash 4"/>
    <w:basedOn w:val="Text4"/>
    <w:rsid w:val="00653571"/>
    <w:pPr>
      <w:numPr>
        <w:numId w:val="44"/>
      </w:numPr>
      <w:spacing w:before="0" w:after="240" w:line="240" w:lineRule="auto"/>
      <w:jc w:val="both"/>
    </w:pPr>
    <w:rPr>
      <w:rFonts w:eastAsia="Times New Roman"/>
      <w:lang w:eastAsia="en-GB"/>
    </w:rPr>
  </w:style>
  <w:style w:type="paragraph" w:customStyle="1" w:styleId="ListNumberLevel2">
    <w:name w:val="List Number (Level 2)"/>
    <w:basedOn w:val="Normal"/>
    <w:rsid w:val="00653571"/>
    <w:pPr>
      <w:numPr>
        <w:ilvl w:val="1"/>
        <w:numId w:val="23"/>
      </w:numPr>
      <w:spacing w:after="240" w:line="240" w:lineRule="auto"/>
      <w:jc w:val="both"/>
    </w:pPr>
    <w:rPr>
      <w:rFonts w:ascii="Times New Roman" w:eastAsia="Times New Roman" w:hAnsi="Times New Roman" w:cs="Times New Roman"/>
      <w:sz w:val="24"/>
      <w:lang w:val="en-GB" w:eastAsia="en-GB"/>
    </w:rPr>
  </w:style>
  <w:style w:type="paragraph" w:customStyle="1" w:styleId="ListNumberLevel3">
    <w:name w:val="List Number (Level 3)"/>
    <w:basedOn w:val="Normal"/>
    <w:rsid w:val="00653571"/>
    <w:pPr>
      <w:numPr>
        <w:ilvl w:val="2"/>
        <w:numId w:val="23"/>
      </w:numPr>
      <w:spacing w:after="240" w:line="240" w:lineRule="auto"/>
      <w:jc w:val="both"/>
    </w:pPr>
    <w:rPr>
      <w:rFonts w:ascii="Times New Roman" w:eastAsia="Times New Roman" w:hAnsi="Times New Roman" w:cs="Times New Roman"/>
      <w:sz w:val="24"/>
      <w:lang w:val="en-GB" w:eastAsia="en-GB"/>
    </w:rPr>
  </w:style>
  <w:style w:type="paragraph" w:customStyle="1" w:styleId="ListNumberLevel4">
    <w:name w:val="List Number (Level 4)"/>
    <w:basedOn w:val="Normal"/>
    <w:rsid w:val="00653571"/>
    <w:pPr>
      <w:numPr>
        <w:ilvl w:val="3"/>
        <w:numId w:val="23"/>
      </w:numPr>
      <w:spacing w:after="240" w:line="240" w:lineRule="auto"/>
      <w:jc w:val="both"/>
    </w:pPr>
    <w:rPr>
      <w:rFonts w:ascii="Times New Roman" w:eastAsia="Times New Roman" w:hAnsi="Times New Roman" w:cs="Times New Roman"/>
      <w:sz w:val="24"/>
      <w:lang w:val="en-GB" w:eastAsia="en-GB"/>
    </w:rPr>
  </w:style>
  <w:style w:type="paragraph" w:customStyle="1" w:styleId="ListNumber1">
    <w:name w:val="List Number 1"/>
    <w:basedOn w:val="Text1"/>
    <w:rsid w:val="00653571"/>
    <w:pPr>
      <w:numPr>
        <w:numId w:val="45"/>
      </w:numPr>
      <w:tabs>
        <w:tab w:val="clear" w:pos="1191"/>
        <w:tab w:val="num" w:pos="2199"/>
      </w:tabs>
      <w:spacing w:before="0" w:after="240" w:line="240" w:lineRule="auto"/>
      <w:ind w:left="2199" w:hanging="283"/>
      <w:jc w:val="both"/>
    </w:pPr>
    <w:rPr>
      <w:rFonts w:eastAsia="Times New Roman"/>
      <w:lang w:val="en-US" w:eastAsia="en-GB"/>
    </w:rPr>
  </w:style>
  <w:style w:type="paragraph" w:customStyle="1" w:styleId="ListNumber1Level2">
    <w:name w:val="List Number 1 (Level 2)"/>
    <w:basedOn w:val="Text1"/>
    <w:rsid w:val="00653571"/>
    <w:pPr>
      <w:numPr>
        <w:ilvl w:val="1"/>
        <w:numId w:val="45"/>
      </w:numPr>
      <w:tabs>
        <w:tab w:val="clear" w:pos="1899"/>
        <w:tab w:val="num" w:pos="2199"/>
      </w:tabs>
      <w:spacing w:before="0" w:after="240" w:line="240" w:lineRule="auto"/>
      <w:ind w:left="2199" w:hanging="283"/>
      <w:jc w:val="both"/>
    </w:pPr>
    <w:rPr>
      <w:rFonts w:eastAsia="Times New Roman"/>
      <w:lang w:val="en-US" w:eastAsia="en-GB"/>
    </w:rPr>
  </w:style>
  <w:style w:type="paragraph" w:customStyle="1" w:styleId="ListNumber1Level3">
    <w:name w:val="List Number 1 (Level 3)"/>
    <w:basedOn w:val="Text1"/>
    <w:rsid w:val="00653571"/>
    <w:pPr>
      <w:numPr>
        <w:ilvl w:val="2"/>
        <w:numId w:val="45"/>
      </w:numPr>
      <w:tabs>
        <w:tab w:val="clear" w:pos="2608"/>
        <w:tab w:val="num" w:pos="2199"/>
      </w:tabs>
      <w:spacing w:before="0" w:after="240" w:line="240" w:lineRule="auto"/>
      <w:ind w:left="2199" w:hanging="283"/>
      <w:jc w:val="both"/>
    </w:pPr>
    <w:rPr>
      <w:rFonts w:eastAsia="Times New Roman"/>
      <w:lang w:val="en-US" w:eastAsia="en-GB"/>
    </w:rPr>
  </w:style>
  <w:style w:type="paragraph" w:customStyle="1" w:styleId="ListNumber1Level4">
    <w:name w:val="List Number 1 (Level 4)"/>
    <w:basedOn w:val="Text1"/>
    <w:rsid w:val="00653571"/>
    <w:pPr>
      <w:numPr>
        <w:ilvl w:val="3"/>
        <w:numId w:val="45"/>
      </w:numPr>
      <w:tabs>
        <w:tab w:val="clear" w:pos="3317"/>
        <w:tab w:val="num" w:pos="2199"/>
      </w:tabs>
      <w:spacing w:before="0" w:after="240" w:line="240" w:lineRule="auto"/>
      <w:ind w:left="2199" w:hanging="283"/>
      <w:jc w:val="both"/>
    </w:pPr>
    <w:rPr>
      <w:rFonts w:eastAsia="Times New Roman"/>
      <w:lang w:val="en-US" w:eastAsia="en-GB"/>
    </w:rPr>
  </w:style>
  <w:style w:type="paragraph" w:customStyle="1" w:styleId="ListNumber2Level2">
    <w:name w:val="List Number 2 (Level 2)"/>
    <w:basedOn w:val="Text2"/>
    <w:rsid w:val="00653571"/>
    <w:pPr>
      <w:numPr>
        <w:ilvl w:val="1"/>
        <w:numId w:val="46"/>
      </w:numPr>
      <w:spacing w:before="0" w:after="240" w:line="240" w:lineRule="auto"/>
      <w:jc w:val="both"/>
    </w:pPr>
    <w:rPr>
      <w:rFonts w:eastAsia="Times New Roman"/>
      <w:lang w:eastAsia="en-GB"/>
    </w:rPr>
  </w:style>
  <w:style w:type="paragraph" w:customStyle="1" w:styleId="ListNumber2Level3">
    <w:name w:val="List Number 2 (Level 3)"/>
    <w:basedOn w:val="Text2"/>
    <w:rsid w:val="00653571"/>
    <w:pPr>
      <w:numPr>
        <w:ilvl w:val="2"/>
        <w:numId w:val="46"/>
      </w:numPr>
      <w:spacing w:before="0" w:after="240" w:line="240" w:lineRule="auto"/>
      <w:jc w:val="both"/>
    </w:pPr>
    <w:rPr>
      <w:rFonts w:eastAsia="Times New Roman"/>
      <w:lang w:eastAsia="en-GB"/>
    </w:rPr>
  </w:style>
  <w:style w:type="paragraph" w:customStyle="1" w:styleId="ListNumber2Level4">
    <w:name w:val="List Number 2 (Level 4)"/>
    <w:basedOn w:val="Text2"/>
    <w:rsid w:val="00653571"/>
    <w:pPr>
      <w:numPr>
        <w:ilvl w:val="3"/>
        <w:numId w:val="46"/>
      </w:numPr>
      <w:spacing w:before="0" w:after="240" w:line="240" w:lineRule="auto"/>
      <w:ind w:left="3901" w:hanging="703"/>
      <w:jc w:val="both"/>
    </w:pPr>
    <w:rPr>
      <w:rFonts w:eastAsia="Times New Roman"/>
      <w:lang w:eastAsia="en-GB"/>
    </w:rPr>
  </w:style>
  <w:style w:type="paragraph" w:customStyle="1" w:styleId="ListNumber3Level2">
    <w:name w:val="List Number 3 (Level 2)"/>
    <w:basedOn w:val="Text3"/>
    <w:rsid w:val="00653571"/>
    <w:pPr>
      <w:numPr>
        <w:ilvl w:val="1"/>
        <w:numId w:val="47"/>
      </w:numPr>
      <w:spacing w:before="0" w:after="240" w:line="240" w:lineRule="auto"/>
      <w:jc w:val="both"/>
    </w:pPr>
    <w:rPr>
      <w:rFonts w:eastAsia="Times New Roman"/>
      <w:lang w:eastAsia="en-GB"/>
    </w:rPr>
  </w:style>
  <w:style w:type="paragraph" w:customStyle="1" w:styleId="ListNumber3Level3">
    <w:name w:val="List Number 3 (Level 3)"/>
    <w:basedOn w:val="Text3"/>
    <w:rsid w:val="00653571"/>
    <w:pPr>
      <w:numPr>
        <w:ilvl w:val="2"/>
        <w:numId w:val="47"/>
      </w:numPr>
      <w:spacing w:before="0" w:after="240" w:line="240" w:lineRule="auto"/>
      <w:jc w:val="both"/>
    </w:pPr>
    <w:rPr>
      <w:rFonts w:eastAsia="Times New Roman"/>
      <w:lang w:eastAsia="en-GB"/>
    </w:rPr>
  </w:style>
  <w:style w:type="paragraph" w:customStyle="1" w:styleId="ListNumber3Level4">
    <w:name w:val="List Number 3 (Level 4)"/>
    <w:basedOn w:val="Text3"/>
    <w:rsid w:val="00653571"/>
    <w:pPr>
      <w:numPr>
        <w:ilvl w:val="3"/>
        <w:numId w:val="47"/>
      </w:numPr>
      <w:spacing w:before="0" w:after="240" w:line="240" w:lineRule="auto"/>
      <w:jc w:val="both"/>
    </w:pPr>
    <w:rPr>
      <w:rFonts w:eastAsia="Times New Roman"/>
      <w:lang w:eastAsia="en-GB"/>
    </w:rPr>
  </w:style>
  <w:style w:type="paragraph" w:customStyle="1" w:styleId="ListNumber4Level2">
    <w:name w:val="List Number 4 (Level 2)"/>
    <w:basedOn w:val="Text4"/>
    <w:rsid w:val="00653571"/>
    <w:pPr>
      <w:numPr>
        <w:ilvl w:val="1"/>
        <w:numId w:val="48"/>
      </w:numPr>
      <w:spacing w:before="0" w:after="240" w:line="240" w:lineRule="auto"/>
      <w:jc w:val="both"/>
    </w:pPr>
    <w:rPr>
      <w:rFonts w:eastAsia="Times New Roman"/>
      <w:lang w:eastAsia="en-GB"/>
    </w:rPr>
  </w:style>
  <w:style w:type="paragraph" w:customStyle="1" w:styleId="ListNumber4Level3">
    <w:name w:val="List Number 4 (Level 3)"/>
    <w:basedOn w:val="Text4"/>
    <w:rsid w:val="00653571"/>
    <w:pPr>
      <w:numPr>
        <w:ilvl w:val="2"/>
        <w:numId w:val="48"/>
      </w:numPr>
      <w:spacing w:before="0" w:after="240" w:line="240" w:lineRule="auto"/>
      <w:jc w:val="both"/>
    </w:pPr>
    <w:rPr>
      <w:rFonts w:eastAsia="Times New Roman"/>
      <w:lang w:eastAsia="en-GB"/>
    </w:rPr>
  </w:style>
  <w:style w:type="paragraph" w:customStyle="1" w:styleId="ListNumber4Level4">
    <w:name w:val="List Number 4 (Level 4)"/>
    <w:basedOn w:val="Text4"/>
    <w:rsid w:val="00653571"/>
    <w:pPr>
      <w:numPr>
        <w:ilvl w:val="3"/>
        <w:numId w:val="48"/>
      </w:numPr>
      <w:spacing w:before="0" w:after="240" w:line="240" w:lineRule="auto"/>
      <w:jc w:val="both"/>
    </w:pPr>
    <w:rPr>
      <w:rFonts w:eastAsia="Times New Roman"/>
      <w:lang w:eastAsia="en-GB"/>
    </w:rPr>
  </w:style>
  <w:style w:type="paragraph" w:customStyle="1" w:styleId="DisclaimerNotice">
    <w:name w:val="Disclaimer Notice"/>
    <w:basedOn w:val="Normal"/>
    <w:next w:val="AddressTR"/>
    <w:rsid w:val="00653571"/>
    <w:pPr>
      <w:spacing w:after="240" w:line="240" w:lineRule="auto"/>
      <w:ind w:left="5103"/>
    </w:pPr>
    <w:rPr>
      <w:rFonts w:ascii="Times New Roman" w:eastAsia="Times New Roman" w:hAnsi="Times New Roman" w:cs="Times New Roman"/>
      <w:i/>
      <w:sz w:val="20"/>
      <w:lang w:val="en-GB" w:eastAsia="en-GB"/>
    </w:rPr>
  </w:style>
  <w:style w:type="paragraph" w:customStyle="1" w:styleId="Disclaimer">
    <w:name w:val="Disclaimer"/>
    <w:basedOn w:val="Normal"/>
    <w:rsid w:val="00653571"/>
    <w:pPr>
      <w:keepLines/>
      <w:pBdr>
        <w:top w:val="single" w:sz="4" w:space="1" w:color="auto"/>
      </w:pBdr>
      <w:spacing w:before="480" w:after="0" w:line="240" w:lineRule="auto"/>
      <w:jc w:val="both"/>
    </w:pPr>
    <w:rPr>
      <w:rFonts w:ascii="Times New Roman" w:eastAsia="Times New Roman" w:hAnsi="Times New Roman" w:cs="Times New Roman"/>
      <w:i/>
      <w:sz w:val="24"/>
      <w:lang w:val="en-GB" w:eastAsia="en-GB"/>
    </w:rPr>
  </w:style>
  <w:style w:type="paragraph" w:customStyle="1" w:styleId="DisclaimerSJ">
    <w:name w:val="Disclaimer_SJ"/>
    <w:basedOn w:val="Normal"/>
    <w:next w:val="Normal"/>
    <w:rsid w:val="00653571"/>
    <w:pPr>
      <w:spacing w:after="0" w:line="240" w:lineRule="auto"/>
      <w:jc w:val="both"/>
    </w:pPr>
    <w:rPr>
      <w:rFonts w:ascii="Arial" w:eastAsia="Times New Roman" w:hAnsi="Arial" w:cs="Times New Roman"/>
      <w:b/>
      <w:sz w:val="16"/>
      <w:lang w:val="en-GB" w:eastAsia="en-GB"/>
    </w:rPr>
  </w:style>
  <w:style w:type="paragraph" w:customStyle="1" w:styleId="StyleHeading3BoldNotItalic">
    <w:name w:val="Style Heading 3 + Bold Not Italic"/>
    <w:basedOn w:val="Heading3"/>
    <w:autoRedefine/>
    <w:rsid w:val="00653571"/>
    <w:pPr>
      <w:numPr>
        <w:numId w:val="49"/>
      </w:numPr>
      <w:tabs>
        <w:tab w:val="num" w:pos="850"/>
      </w:tabs>
      <w:spacing w:before="0" w:after="240"/>
      <w:ind w:left="720" w:hanging="720"/>
    </w:pPr>
    <w:rPr>
      <w:rFonts w:ascii="Times New Roman Bold" w:eastAsia="Times New Roman" w:hAnsi="Times New Roman Bold" w:cs="Times New Roman"/>
      <w:bCs/>
      <w:lang w:val="en-GB" w:eastAsia="en-GB"/>
    </w:rPr>
  </w:style>
  <w:style w:type="paragraph" w:customStyle="1" w:styleId="Annextitle">
    <w:name w:val="Annex title"/>
    <w:basedOn w:val="Normal"/>
    <w:autoRedefine/>
    <w:rsid w:val="00653571"/>
    <w:pPr>
      <w:spacing w:before="120" w:after="240" w:line="240" w:lineRule="auto"/>
      <w:jc w:val="center"/>
    </w:pPr>
    <w:rPr>
      <w:rFonts w:ascii="Times New Roman Bold" w:eastAsia="Times New Roman" w:hAnsi="Times New Roman Bold" w:cs="Times New Roman"/>
      <w:b/>
      <w:iCs/>
      <w:smallCaps/>
      <w:sz w:val="24"/>
      <w:szCs w:val="24"/>
      <w:lang w:val="en-GB" w:eastAsia="en-GB"/>
    </w:rPr>
  </w:style>
  <w:style w:type="paragraph" w:customStyle="1" w:styleId="StyleHeading1Hanging085cm">
    <w:name w:val="Style Heading 1 + Hanging:  0.85 cm"/>
    <w:basedOn w:val="Heading1"/>
    <w:autoRedefine/>
    <w:rsid w:val="00653571"/>
    <w:pPr>
      <w:numPr>
        <w:numId w:val="0"/>
      </w:numPr>
      <w:tabs>
        <w:tab w:val="left" w:pos="1134"/>
        <w:tab w:val="left" w:pos="1560"/>
      </w:tabs>
      <w:spacing w:after="240"/>
    </w:pPr>
    <w:rPr>
      <w:rFonts w:eastAsia="Times New Roman" w:cs="Times New Roman"/>
      <w:i/>
      <w:szCs w:val="24"/>
      <w:lang w:val="en-GB" w:eastAsia="en-GB"/>
    </w:rPr>
  </w:style>
  <w:style w:type="paragraph" w:customStyle="1" w:styleId="StyleHeading1Left0cm">
    <w:name w:val="Style Heading 1 + Left:  0 cm"/>
    <w:basedOn w:val="Heading1"/>
    <w:autoRedefine/>
    <w:rsid w:val="00653571"/>
    <w:pPr>
      <w:numPr>
        <w:numId w:val="50"/>
      </w:numPr>
      <w:tabs>
        <w:tab w:val="left" w:pos="1134"/>
        <w:tab w:val="left" w:pos="1560"/>
      </w:tabs>
      <w:spacing w:after="240"/>
    </w:pPr>
    <w:rPr>
      <w:rFonts w:ascii="Times New Roman Bold" w:eastAsia="Times New Roman" w:hAnsi="Times New Roman Bold" w:cs="Times New Roman"/>
      <w:i/>
      <w:szCs w:val="24"/>
      <w:lang w:val="en-GB" w:eastAsia="en-GB"/>
    </w:rPr>
  </w:style>
  <w:style w:type="paragraph" w:customStyle="1" w:styleId="CM1">
    <w:name w:val="CM1"/>
    <w:basedOn w:val="Default"/>
    <w:next w:val="Default"/>
    <w:uiPriority w:val="99"/>
    <w:rsid w:val="00653571"/>
    <w:pPr>
      <w:spacing w:after="200" w:line="276" w:lineRule="auto"/>
    </w:pPr>
    <w:rPr>
      <w:rFonts w:ascii="EUAlbertina" w:eastAsia="Calibri" w:hAnsi="EUAlbertina" w:cs="Times New Roman"/>
      <w:color w:val="auto"/>
    </w:rPr>
  </w:style>
  <w:style w:type="paragraph" w:customStyle="1" w:styleId="Annextitre">
    <w:name w:val="Annex titre"/>
    <w:basedOn w:val="Normal"/>
    <w:rsid w:val="00653571"/>
    <w:pPr>
      <w:spacing w:before="120" w:after="120" w:line="240" w:lineRule="auto"/>
      <w:jc w:val="both"/>
    </w:pPr>
    <w:rPr>
      <w:rFonts w:ascii="Times New Roman" w:eastAsia="Calibri" w:hAnsi="Times New Roman" w:cs="Times New Roman"/>
      <w:sz w:val="24"/>
      <w:lang w:val="en-GB" w:eastAsia="en-GB"/>
    </w:rPr>
  </w:style>
  <w:style w:type="paragraph" w:customStyle="1" w:styleId="NormalLeft">
    <w:name w:val="Normal Left"/>
    <w:basedOn w:val="Normal"/>
    <w:rsid w:val="00653571"/>
    <w:pPr>
      <w:spacing w:before="120" w:after="120" w:line="240" w:lineRule="auto"/>
    </w:pPr>
    <w:rPr>
      <w:rFonts w:ascii="Times New Roman" w:eastAsia="Calibri" w:hAnsi="Times New Roman" w:cs="Times New Roman"/>
      <w:sz w:val="24"/>
      <w:lang w:val="en-GB" w:eastAsia="en-GB"/>
    </w:rPr>
  </w:style>
  <w:style w:type="paragraph" w:customStyle="1" w:styleId="QuotedText">
    <w:name w:val="Quoted Text"/>
    <w:basedOn w:val="Normal"/>
    <w:rsid w:val="00653571"/>
    <w:pPr>
      <w:spacing w:before="120" w:after="120" w:line="240" w:lineRule="auto"/>
      <w:ind w:left="1417"/>
      <w:jc w:val="both"/>
    </w:pPr>
    <w:rPr>
      <w:rFonts w:ascii="Times New Roman" w:eastAsia="Calibri" w:hAnsi="Times New Roman" w:cs="Times New Roman"/>
      <w:sz w:val="24"/>
      <w:lang w:val="en-GB" w:eastAsia="en-GB"/>
    </w:rPr>
  </w:style>
  <w:style w:type="paragraph" w:customStyle="1" w:styleId="Point0">
    <w:name w:val="Point 0"/>
    <w:basedOn w:val="Normal"/>
    <w:rsid w:val="00653571"/>
    <w:pPr>
      <w:spacing w:before="120" w:after="120" w:line="240" w:lineRule="auto"/>
      <w:ind w:left="850" w:hanging="850"/>
      <w:jc w:val="both"/>
    </w:pPr>
    <w:rPr>
      <w:rFonts w:ascii="Times New Roman" w:eastAsia="Calibri" w:hAnsi="Times New Roman" w:cs="Times New Roman"/>
      <w:sz w:val="24"/>
      <w:lang w:val="en-GB" w:eastAsia="en-GB"/>
    </w:rPr>
  </w:style>
  <w:style w:type="paragraph" w:customStyle="1" w:styleId="Point1">
    <w:name w:val="Point 1"/>
    <w:basedOn w:val="Normal"/>
    <w:rsid w:val="00653571"/>
    <w:pPr>
      <w:spacing w:before="120" w:after="120" w:line="240" w:lineRule="auto"/>
      <w:ind w:left="1417" w:hanging="567"/>
      <w:jc w:val="both"/>
    </w:pPr>
    <w:rPr>
      <w:rFonts w:ascii="Times New Roman" w:eastAsia="Calibri" w:hAnsi="Times New Roman" w:cs="Times New Roman"/>
      <w:sz w:val="24"/>
      <w:lang w:val="en-GB" w:eastAsia="en-GB"/>
    </w:rPr>
  </w:style>
  <w:style w:type="paragraph" w:customStyle="1" w:styleId="Point3">
    <w:name w:val="Point 3"/>
    <w:basedOn w:val="Normal"/>
    <w:rsid w:val="00653571"/>
    <w:pPr>
      <w:spacing w:before="120" w:after="120" w:line="240" w:lineRule="auto"/>
      <w:ind w:left="2551" w:hanging="567"/>
      <w:jc w:val="both"/>
    </w:pPr>
    <w:rPr>
      <w:rFonts w:ascii="Times New Roman" w:eastAsia="Calibri" w:hAnsi="Times New Roman" w:cs="Times New Roman"/>
      <w:sz w:val="24"/>
      <w:lang w:val="en-GB" w:eastAsia="en-GB"/>
    </w:rPr>
  </w:style>
  <w:style w:type="paragraph" w:customStyle="1" w:styleId="Point4">
    <w:name w:val="Point 4"/>
    <w:basedOn w:val="Normal"/>
    <w:rsid w:val="00653571"/>
    <w:pPr>
      <w:spacing w:before="120" w:after="120" w:line="240" w:lineRule="auto"/>
      <w:ind w:left="3118" w:hanging="567"/>
      <w:jc w:val="both"/>
    </w:pPr>
    <w:rPr>
      <w:rFonts w:ascii="Times New Roman" w:eastAsia="Calibri" w:hAnsi="Times New Roman" w:cs="Times New Roman"/>
      <w:sz w:val="24"/>
      <w:lang w:val="en-GB" w:eastAsia="en-GB"/>
    </w:rPr>
  </w:style>
  <w:style w:type="paragraph" w:customStyle="1" w:styleId="Tiret0">
    <w:name w:val="Tiret 0"/>
    <w:basedOn w:val="Point0"/>
    <w:rsid w:val="00653571"/>
    <w:pPr>
      <w:numPr>
        <w:numId w:val="51"/>
      </w:numPr>
    </w:pPr>
  </w:style>
  <w:style w:type="paragraph" w:customStyle="1" w:styleId="Tiret1">
    <w:name w:val="Tiret 1"/>
    <w:basedOn w:val="Point1"/>
    <w:rsid w:val="00653571"/>
    <w:pPr>
      <w:numPr>
        <w:numId w:val="52"/>
      </w:numPr>
    </w:pPr>
  </w:style>
  <w:style w:type="paragraph" w:customStyle="1" w:styleId="Tiret2">
    <w:name w:val="Tiret 2"/>
    <w:basedOn w:val="Point2"/>
    <w:rsid w:val="00653571"/>
    <w:pPr>
      <w:numPr>
        <w:numId w:val="53"/>
      </w:numPr>
    </w:pPr>
    <w:rPr>
      <w:lang w:eastAsia="en-GB"/>
    </w:rPr>
  </w:style>
  <w:style w:type="paragraph" w:customStyle="1" w:styleId="Tiret3">
    <w:name w:val="Tiret 3"/>
    <w:basedOn w:val="Point3"/>
    <w:rsid w:val="00653571"/>
    <w:pPr>
      <w:numPr>
        <w:numId w:val="54"/>
      </w:numPr>
    </w:pPr>
  </w:style>
  <w:style w:type="paragraph" w:customStyle="1" w:styleId="Tiret4">
    <w:name w:val="Tiret 4"/>
    <w:basedOn w:val="Point4"/>
    <w:rsid w:val="00653571"/>
    <w:pPr>
      <w:numPr>
        <w:numId w:val="55"/>
      </w:numPr>
    </w:pPr>
  </w:style>
  <w:style w:type="paragraph" w:customStyle="1" w:styleId="PointDouble0">
    <w:name w:val="PointDouble 0"/>
    <w:basedOn w:val="Normal"/>
    <w:rsid w:val="00653571"/>
    <w:pPr>
      <w:tabs>
        <w:tab w:val="left" w:pos="850"/>
      </w:tabs>
      <w:spacing w:before="120" w:after="120" w:line="240" w:lineRule="auto"/>
      <w:ind w:left="1417" w:hanging="1417"/>
      <w:jc w:val="both"/>
    </w:pPr>
    <w:rPr>
      <w:rFonts w:ascii="Times New Roman" w:eastAsia="Calibri" w:hAnsi="Times New Roman" w:cs="Times New Roman"/>
      <w:sz w:val="24"/>
      <w:lang w:val="en-GB" w:eastAsia="en-GB"/>
    </w:rPr>
  </w:style>
  <w:style w:type="paragraph" w:customStyle="1" w:styleId="PointDouble1">
    <w:name w:val="PointDouble 1"/>
    <w:basedOn w:val="Normal"/>
    <w:rsid w:val="00653571"/>
    <w:pPr>
      <w:tabs>
        <w:tab w:val="left" w:pos="1417"/>
      </w:tabs>
      <w:spacing w:before="120" w:after="120" w:line="240" w:lineRule="auto"/>
      <w:ind w:left="1984" w:hanging="1134"/>
      <w:jc w:val="both"/>
    </w:pPr>
    <w:rPr>
      <w:rFonts w:ascii="Times New Roman" w:eastAsia="Calibri" w:hAnsi="Times New Roman" w:cs="Times New Roman"/>
      <w:sz w:val="24"/>
      <w:lang w:val="en-GB" w:eastAsia="en-GB"/>
    </w:rPr>
  </w:style>
  <w:style w:type="paragraph" w:customStyle="1" w:styleId="PointDouble2">
    <w:name w:val="PointDouble 2"/>
    <w:basedOn w:val="Normal"/>
    <w:rsid w:val="00653571"/>
    <w:pPr>
      <w:tabs>
        <w:tab w:val="left" w:pos="1984"/>
      </w:tabs>
      <w:spacing w:before="120" w:after="120" w:line="240" w:lineRule="auto"/>
      <w:ind w:left="2551" w:hanging="1134"/>
      <w:jc w:val="both"/>
    </w:pPr>
    <w:rPr>
      <w:rFonts w:ascii="Times New Roman" w:eastAsia="Calibri" w:hAnsi="Times New Roman" w:cs="Times New Roman"/>
      <w:sz w:val="24"/>
      <w:lang w:val="en-GB" w:eastAsia="en-GB"/>
    </w:rPr>
  </w:style>
  <w:style w:type="paragraph" w:customStyle="1" w:styleId="PointDouble3">
    <w:name w:val="PointDouble 3"/>
    <w:basedOn w:val="Normal"/>
    <w:rsid w:val="00653571"/>
    <w:pPr>
      <w:tabs>
        <w:tab w:val="left" w:pos="2551"/>
      </w:tabs>
      <w:spacing w:before="120" w:after="120" w:line="240" w:lineRule="auto"/>
      <w:ind w:left="3118" w:hanging="1134"/>
      <w:jc w:val="both"/>
    </w:pPr>
    <w:rPr>
      <w:rFonts w:ascii="Times New Roman" w:eastAsia="Calibri" w:hAnsi="Times New Roman" w:cs="Times New Roman"/>
      <w:sz w:val="24"/>
      <w:lang w:val="en-GB" w:eastAsia="en-GB"/>
    </w:rPr>
  </w:style>
  <w:style w:type="paragraph" w:customStyle="1" w:styleId="PointDouble4">
    <w:name w:val="PointDouble 4"/>
    <w:basedOn w:val="Normal"/>
    <w:rsid w:val="00653571"/>
    <w:pPr>
      <w:tabs>
        <w:tab w:val="left" w:pos="3118"/>
      </w:tabs>
      <w:spacing w:before="120" w:after="120" w:line="240" w:lineRule="auto"/>
      <w:ind w:left="3685" w:hanging="1134"/>
      <w:jc w:val="both"/>
    </w:pPr>
    <w:rPr>
      <w:rFonts w:ascii="Times New Roman" w:eastAsia="Calibri" w:hAnsi="Times New Roman" w:cs="Times New Roman"/>
      <w:sz w:val="24"/>
      <w:lang w:val="en-GB" w:eastAsia="en-GB"/>
    </w:rPr>
  </w:style>
  <w:style w:type="paragraph" w:customStyle="1" w:styleId="PointTriple0">
    <w:name w:val="PointTriple 0"/>
    <w:basedOn w:val="Normal"/>
    <w:rsid w:val="00653571"/>
    <w:pPr>
      <w:tabs>
        <w:tab w:val="left" w:pos="850"/>
        <w:tab w:val="left" w:pos="1417"/>
      </w:tabs>
      <w:spacing w:before="120" w:after="120" w:line="240" w:lineRule="auto"/>
      <w:ind w:left="1984" w:hanging="1984"/>
      <w:jc w:val="both"/>
    </w:pPr>
    <w:rPr>
      <w:rFonts w:ascii="Times New Roman" w:eastAsia="Calibri" w:hAnsi="Times New Roman" w:cs="Times New Roman"/>
      <w:sz w:val="24"/>
      <w:lang w:val="en-GB" w:eastAsia="en-GB"/>
    </w:rPr>
  </w:style>
  <w:style w:type="paragraph" w:customStyle="1" w:styleId="PointTriple1">
    <w:name w:val="PointTriple 1"/>
    <w:basedOn w:val="Normal"/>
    <w:rsid w:val="00653571"/>
    <w:pPr>
      <w:tabs>
        <w:tab w:val="left" w:pos="1417"/>
        <w:tab w:val="left" w:pos="1984"/>
      </w:tabs>
      <w:spacing w:before="120" w:after="120" w:line="240" w:lineRule="auto"/>
      <w:ind w:left="2551" w:hanging="1701"/>
      <w:jc w:val="both"/>
    </w:pPr>
    <w:rPr>
      <w:rFonts w:ascii="Times New Roman" w:eastAsia="Calibri" w:hAnsi="Times New Roman" w:cs="Times New Roman"/>
      <w:sz w:val="24"/>
      <w:lang w:val="en-GB" w:eastAsia="en-GB"/>
    </w:rPr>
  </w:style>
  <w:style w:type="paragraph" w:customStyle="1" w:styleId="PointTriple2">
    <w:name w:val="PointTriple 2"/>
    <w:basedOn w:val="Normal"/>
    <w:rsid w:val="00653571"/>
    <w:pPr>
      <w:tabs>
        <w:tab w:val="left" w:pos="1984"/>
        <w:tab w:val="left" w:pos="2551"/>
      </w:tabs>
      <w:spacing w:before="120" w:after="120" w:line="240" w:lineRule="auto"/>
      <w:ind w:left="3118" w:hanging="1701"/>
      <w:jc w:val="both"/>
    </w:pPr>
    <w:rPr>
      <w:rFonts w:ascii="Times New Roman" w:eastAsia="Calibri" w:hAnsi="Times New Roman" w:cs="Times New Roman"/>
      <w:sz w:val="24"/>
      <w:lang w:val="en-GB" w:eastAsia="en-GB"/>
    </w:rPr>
  </w:style>
  <w:style w:type="paragraph" w:customStyle="1" w:styleId="PointTriple3">
    <w:name w:val="PointTriple 3"/>
    <w:basedOn w:val="Normal"/>
    <w:rsid w:val="00653571"/>
    <w:pPr>
      <w:tabs>
        <w:tab w:val="left" w:pos="2551"/>
        <w:tab w:val="left" w:pos="3118"/>
      </w:tabs>
      <w:spacing w:before="120" w:after="120" w:line="240" w:lineRule="auto"/>
      <w:ind w:left="3685" w:hanging="1701"/>
      <w:jc w:val="both"/>
    </w:pPr>
    <w:rPr>
      <w:rFonts w:ascii="Times New Roman" w:eastAsia="Calibri" w:hAnsi="Times New Roman" w:cs="Times New Roman"/>
      <w:sz w:val="24"/>
      <w:lang w:val="en-GB" w:eastAsia="en-GB"/>
    </w:rPr>
  </w:style>
  <w:style w:type="paragraph" w:customStyle="1" w:styleId="PointTriple4">
    <w:name w:val="PointTriple 4"/>
    <w:basedOn w:val="Normal"/>
    <w:rsid w:val="00653571"/>
    <w:pPr>
      <w:tabs>
        <w:tab w:val="left" w:pos="3118"/>
        <w:tab w:val="left" w:pos="3685"/>
      </w:tabs>
      <w:spacing w:before="120" w:after="120" w:line="240" w:lineRule="auto"/>
      <w:ind w:left="4252" w:hanging="1701"/>
      <w:jc w:val="both"/>
    </w:pPr>
    <w:rPr>
      <w:rFonts w:ascii="Times New Roman" w:eastAsia="Calibri" w:hAnsi="Times New Roman" w:cs="Times New Roman"/>
      <w:sz w:val="24"/>
      <w:lang w:val="en-GB" w:eastAsia="en-GB"/>
    </w:rPr>
  </w:style>
  <w:style w:type="paragraph" w:customStyle="1" w:styleId="NumPar2">
    <w:name w:val="NumPar 2"/>
    <w:basedOn w:val="Normal"/>
    <w:next w:val="Text1"/>
    <w:rsid w:val="00653571"/>
    <w:pPr>
      <w:tabs>
        <w:tab w:val="num" w:pos="850"/>
      </w:tabs>
      <w:spacing w:before="120" w:after="120" w:line="240" w:lineRule="auto"/>
      <w:ind w:left="850" w:hanging="850"/>
      <w:jc w:val="both"/>
    </w:pPr>
    <w:rPr>
      <w:rFonts w:ascii="Times New Roman" w:eastAsia="Calibri" w:hAnsi="Times New Roman" w:cs="Times New Roman"/>
      <w:sz w:val="24"/>
      <w:lang w:val="en-GB" w:eastAsia="en-GB"/>
    </w:rPr>
  </w:style>
  <w:style w:type="paragraph" w:customStyle="1" w:styleId="NumPar3">
    <w:name w:val="NumPar 3"/>
    <w:basedOn w:val="Normal"/>
    <w:next w:val="Text1"/>
    <w:rsid w:val="00653571"/>
    <w:pPr>
      <w:tabs>
        <w:tab w:val="num" w:pos="850"/>
      </w:tabs>
      <w:spacing w:before="120" w:after="120" w:line="240" w:lineRule="auto"/>
      <w:ind w:left="850" w:hanging="850"/>
      <w:jc w:val="both"/>
    </w:pPr>
    <w:rPr>
      <w:rFonts w:ascii="Times New Roman" w:eastAsia="Calibri" w:hAnsi="Times New Roman" w:cs="Times New Roman"/>
      <w:sz w:val="24"/>
      <w:lang w:val="en-GB" w:eastAsia="en-GB"/>
    </w:rPr>
  </w:style>
  <w:style w:type="paragraph" w:customStyle="1" w:styleId="NumPar4">
    <w:name w:val="NumPar 4"/>
    <w:basedOn w:val="Normal"/>
    <w:next w:val="Text1"/>
    <w:rsid w:val="00653571"/>
    <w:pPr>
      <w:tabs>
        <w:tab w:val="num" w:pos="850"/>
      </w:tabs>
      <w:spacing w:before="120" w:after="120" w:line="240" w:lineRule="auto"/>
      <w:ind w:left="850" w:hanging="850"/>
      <w:jc w:val="both"/>
    </w:pPr>
    <w:rPr>
      <w:rFonts w:ascii="Times New Roman" w:eastAsia="Calibri" w:hAnsi="Times New Roman" w:cs="Times New Roman"/>
      <w:sz w:val="24"/>
      <w:lang w:val="en-GB" w:eastAsia="en-GB"/>
    </w:rPr>
  </w:style>
  <w:style w:type="paragraph" w:customStyle="1" w:styleId="ManualNumPar2">
    <w:name w:val="Manual NumPar 2"/>
    <w:basedOn w:val="Normal"/>
    <w:next w:val="Text1"/>
    <w:rsid w:val="00653571"/>
    <w:pPr>
      <w:spacing w:before="120" w:after="120" w:line="240" w:lineRule="auto"/>
      <w:ind w:left="850" w:hanging="850"/>
      <w:jc w:val="both"/>
    </w:pPr>
    <w:rPr>
      <w:rFonts w:ascii="Times New Roman" w:eastAsia="Calibri" w:hAnsi="Times New Roman" w:cs="Times New Roman"/>
      <w:sz w:val="24"/>
      <w:lang w:val="en-GB" w:eastAsia="en-GB"/>
    </w:rPr>
  </w:style>
  <w:style w:type="paragraph" w:customStyle="1" w:styleId="ManualNumPar3">
    <w:name w:val="Manual NumPar 3"/>
    <w:basedOn w:val="Normal"/>
    <w:next w:val="Text1"/>
    <w:rsid w:val="00653571"/>
    <w:pPr>
      <w:spacing w:before="120" w:after="120" w:line="240" w:lineRule="auto"/>
      <w:ind w:left="850" w:hanging="850"/>
      <w:jc w:val="both"/>
    </w:pPr>
    <w:rPr>
      <w:rFonts w:ascii="Times New Roman" w:eastAsia="Calibri" w:hAnsi="Times New Roman" w:cs="Times New Roman"/>
      <w:sz w:val="24"/>
      <w:lang w:val="en-GB" w:eastAsia="en-GB"/>
    </w:rPr>
  </w:style>
  <w:style w:type="paragraph" w:customStyle="1" w:styleId="ManualNumPar4">
    <w:name w:val="Manual NumPar 4"/>
    <w:basedOn w:val="Normal"/>
    <w:next w:val="Text1"/>
    <w:rsid w:val="00653571"/>
    <w:pPr>
      <w:spacing w:before="120" w:after="120" w:line="240" w:lineRule="auto"/>
      <w:ind w:left="850" w:hanging="850"/>
      <w:jc w:val="both"/>
    </w:pPr>
    <w:rPr>
      <w:rFonts w:ascii="Times New Roman" w:eastAsia="Calibri" w:hAnsi="Times New Roman" w:cs="Times New Roman"/>
      <w:sz w:val="24"/>
      <w:lang w:val="en-GB" w:eastAsia="en-GB"/>
    </w:rPr>
  </w:style>
  <w:style w:type="paragraph" w:customStyle="1" w:styleId="QuotedNumPar">
    <w:name w:val="Quoted NumPar"/>
    <w:basedOn w:val="Normal"/>
    <w:rsid w:val="00653571"/>
    <w:pPr>
      <w:spacing w:before="120" w:after="120" w:line="240" w:lineRule="auto"/>
      <w:ind w:left="1417" w:hanging="567"/>
      <w:jc w:val="both"/>
    </w:pPr>
    <w:rPr>
      <w:rFonts w:ascii="Times New Roman" w:eastAsia="Calibri" w:hAnsi="Times New Roman" w:cs="Times New Roman"/>
      <w:sz w:val="24"/>
      <w:lang w:val="en-GB" w:eastAsia="en-GB"/>
    </w:rPr>
  </w:style>
  <w:style w:type="paragraph" w:customStyle="1" w:styleId="ManualHeading1">
    <w:name w:val="Manual Heading 1"/>
    <w:basedOn w:val="Normal"/>
    <w:next w:val="Text1"/>
    <w:rsid w:val="00653571"/>
    <w:pPr>
      <w:keepNext/>
      <w:tabs>
        <w:tab w:val="left" w:pos="850"/>
      </w:tabs>
      <w:spacing w:before="360" w:after="120" w:line="240" w:lineRule="auto"/>
      <w:ind w:left="850" w:hanging="850"/>
      <w:jc w:val="both"/>
      <w:outlineLvl w:val="0"/>
    </w:pPr>
    <w:rPr>
      <w:rFonts w:ascii="Times New Roman" w:eastAsia="Calibri" w:hAnsi="Times New Roman" w:cs="Times New Roman"/>
      <w:b/>
      <w:smallCaps/>
      <w:sz w:val="24"/>
      <w:lang w:val="en-GB" w:eastAsia="en-GB"/>
    </w:rPr>
  </w:style>
  <w:style w:type="paragraph" w:customStyle="1" w:styleId="ManualHeading2">
    <w:name w:val="Manual Heading 2"/>
    <w:basedOn w:val="Normal"/>
    <w:next w:val="Text1"/>
    <w:rsid w:val="00653571"/>
    <w:pPr>
      <w:keepNext/>
      <w:tabs>
        <w:tab w:val="left" w:pos="850"/>
      </w:tabs>
      <w:spacing w:before="120" w:after="120" w:line="240" w:lineRule="auto"/>
      <w:ind w:left="850" w:hanging="850"/>
      <w:jc w:val="both"/>
      <w:outlineLvl w:val="1"/>
    </w:pPr>
    <w:rPr>
      <w:rFonts w:ascii="Times New Roman" w:eastAsia="Calibri" w:hAnsi="Times New Roman" w:cs="Times New Roman"/>
      <w:b/>
      <w:sz w:val="24"/>
      <w:lang w:val="en-GB" w:eastAsia="en-GB"/>
    </w:rPr>
  </w:style>
  <w:style w:type="paragraph" w:customStyle="1" w:styleId="ManualHeading3">
    <w:name w:val="Manual Heading 3"/>
    <w:basedOn w:val="Normal"/>
    <w:next w:val="Text1"/>
    <w:rsid w:val="00653571"/>
    <w:pPr>
      <w:keepNext/>
      <w:tabs>
        <w:tab w:val="left" w:pos="850"/>
      </w:tabs>
      <w:spacing w:before="120" w:after="120" w:line="240" w:lineRule="auto"/>
      <w:ind w:left="850" w:hanging="850"/>
      <w:jc w:val="both"/>
      <w:outlineLvl w:val="2"/>
    </w:pPr>
    <w:rPr>
      <w:rFonts w:ascii="Times New Roman" w:eastAsia="Calibri" w:hAnsi="Times New Roman" w:cs="Times New Roman"/>
      <w:i/>
      <w:sz w:val="24"/>
      <w:lang w:val="en-GB" w:eastAsia="en-GB"/>
    </w:rPr>
  </w:style>
  <w:style w:type="paragraph" w:customStyle="1" w:styleId="ManualHeading4">
    <w:name w:val="Manual Heading 4"/>
    <w:basedOn w:val="Normal"/>
    <w:next w:val="Text1"/>
    <w:rsid w:val="00653571"/>
    <w:pPr>
      <w:keepNext/>
      <w:tabs>
        <w:tab w:val="left" w:pos="850"/>
      </w:tabs>
      <w:spacing w:before="120" w:after="120" w:line="240" w:lineRule="auto"/>
      <w:ind w:left="850" w:hanging="850"/>
      <w:jc w:val="both"/>
      <w:outlineLvl w:val="3"/>
    </w:pPr>
    <w:rPr>
      <w:rFonts w:ascii="Times New Roman" w:eastAsia="Calibri" w:hAnsi="Times New Roman" w:cs="Times New Roman"/>
      <w:sz w:val="24"/>
      <w:lang w:val="en-GB" w:eastAsia="en-GB"/>
    </w:rPr>
  </w:style>
  <w:style w:type="paragraph" w:customStyle="1" w:styleId="PartTitle">
    <w:name w:val="PartTitle"/>
    <w:basedOn w:val="Normal"/>
    <w:next w:val="ChapterTitle"/>
    <w:rsid w:val="00653571"/>
    <w:pPr>
      <w:keepNext/>
      <w:pageBreakBefore/>
      <w:spacing w:before="120" w:after="360" w:line="240" w:lineRule="auto"/>
      <w:jc w:val="center"/>
    </w:pPr>
    <w:rPr>
      <w:rFonts w:ascii="Times New Roman" w:eastAsia="Calibri" w:hAnsi="Times New Roman" w:cs="Times New Roman"/>
      <w:b/>
      <w:sz w:val="36"/>
      <w:lang w:val="en-GB" w:eastAsia="en-GB"/>
    </w:rPr>
  </w:style>
  <w:style w:type="paragraph" w:customStyle="1" w:styleId="TableTitle">
    <w:name w:val="Table Title"/>
    <w:basedOn w:val="Normal"/>
    <w:next w:val="Normal"/>
    <w:rsid w:val="00653571"/>
    <w:pPr>
      <w:spacing w:before="120" w:after="120" w:line="240" w:lineRule="auto"/>
      <w:jc w:val="center"/>
    </w:pPr>
    <w:rPr>
      <w:rFonts w:ascii="Times New Roman" w:eastAsia="Calibri" w:hAnsi="Times New Roman" w:cs="Times New Roman"/>
      <w:b/>
      <w:sz w:val="24"/>
      <w:lang w:val="en-GB" w:eastAsia="en-GB"/>
    </w:rPr>
  </w:style>
  <w:style w:type="paragraph" w:customStyle="1" w:styleId="Bullet0">
    <w:name w:val="Bullet 0"/>
    <w:basedOn w:val="Normal"/>
    <w:rsid w:val="00653571"/>
    <w:pPr>
      <w:numPr>
        <w:numId w:val="56"/>
      </w:numPr>
      <w:spacing w:before="120" w:after="120" w:line="240" w:lineRule="auto"/>
      <w:jc w:val="both"/>
    </w:pPr>
    <w:rPr>
      <w:rFonts w:ascii="Times New Roman" w:eastAsia="Calibri" w:hAnsi="Times New Roman" w:cs="Times New Roman"/>
      <w:sz w:val="24"/>
      <w:lang w:val="en-GB" w:eastAsia="en-GB"/>
    </w:rPr>
  </w:style>
  <w:style w:type="paragraph" w:customStyle="1" w:styleId="Annexetitreexpos">
    <w:name w:val="Annexe titre (exposé)"/>
    <w:basedOn w:val="Normal"/>
    <w:next w:val="Normal"/>
    <w:rsid w:val="00653571"/>
    <w:pPr>
      <w:spacing w:before="120" w:after="120" w:line="240" w:lineRule="auto"/>
      <w:jc w:val="center"/>
    </w:pPr>
    <w:rPr>
      <w:rFonts w:ascii="Times New Roman" w:eastAsia="Calibri" w:hAnsi="Times New Roman" w:cs="Times New Roman"/>
      <w:b/>
      <w:sz w:val="24"/>
      <w:u w:val="single"/>
      <w:lang w:val="en-GB" w:eastAsia="en-GB"/>
    </w:rPr>
  </w:style>
  <w:style w:type="paragraph" w:customStyle="1" w:styleId="Annexetitrefichefinancire">
    <w:name w:val="Annexe titre (fiche financière)"/>
    <w:basedOn w:val="Normal"/>
    <w:next w:val="Normal"/>
    <w:rsid w:val="00653571"/>
    <w:pPr>
      <w:spacing w:before="120" w:after="120" w:line="240" w:lineRule="auto"/>
      <w:jc w:val="center"/>
    </w:pPr>
    <w:rPr>
      <w:rFonts w:ascii="Times New Roman" w:eastAsia="Calibri" w:hAnsi="Times New Roman" w:cs="Times New Roman"/>
      <w:b/>
      <w:sz w:val="24"/>
      <w:u w:val="single"/>
      <w:lang w:val="en-GB" w:eastAsia="en-GB"/>
    </w:rPr>
  </w:style>
  <w:style w:type="paragraph" w:customStyle="1" w:styleId="Fait">
    <w:name w:val="Fait à"/>
    <w:basedOn w:val="Normal"/>
    <w:next w:val="Institutionquisigne"/>
    <w:rsid w:val="00653571"/>
    <w:pPr>
      <w:keepNext/>
      <w:spacing w:before="120" w:after="0" w:line="240" w:lineRule="auto"/>
      <w:jc w:val="both"/>
    </w:pPr>
    <w:rPr>
      <w:rFonts w:ascii="Times New Roman" w:eastAsia="Calibri" w:hAnsi="Times New Roman" w:cs="Times New Roman"/>
      <w:sz w:val="24"/>
      <w:lang w:val="en-GB" w:eastAsia="en-GB"/>
    </w:rPr>
  </w:style>
  <w:style w:type="paragraph" w:customStyle="1" w:styleId="Institutionquisigne">
    <w:name w:val="Institution qui signe"/>
    <w:basedOn w:val="Normal"/>
    <w:next w:val="Personnequisigne"/>
    <w:rsid w:val="00653571"/>
    <w:pPr>
      <w:keepNext/>
      <w:tabs>
        <w:tab w:val="left" w:pos="4252"/>
      </w:tabs>
      <w:spacing w:before="720" w:after="0" w:line="240" w:lineRule="auto"/>
      <w:jc w:val="both"/>
    </w:pPr>
    <w:rPr>
      <w:rFonts w:ascii="Times New Roman" w:eastAsia="Calibri" w:hAnsi="Times New Roman" w:cs="Times New Roman"/>
      <w:i/>
      <w:sz w:val="24"/>
      <w:lang w:val="en-GB" w:eastAsia="en-GB"/>
    </w:rPr>
  </w:style>
  <w:style w:type="paragraph" w:customStyle="1" w:styleId="Personnequisigne">
    <w:name w:val="Personne qui signe"/>
    <w:basedOn w:val="Normal"/>
    <w:next w:val="Institutionquisigne"/>
    <w:rsid w:val="00653571"/>
    <w:pPr>
      <w:tabs>
        <w:tab w:val="left" w:pos="4252"/>
      </w:tabs>
      <w:spacing w:after="0" w:line="240" w:lineRule="auto"/>
    </w:pPr>
    <w:rPr>
      <w:rFonts w:ascii="Times New Roman" w:eastAsia="Calibri" w:hAnsi="Times New Roman" w:cs="Times New Roman"/>
      <w:i/>
      <w:sz w:val="24"/>
      <w:lang w:val="en-GB" w:eastAsia="en-GB"/>
    </w:rPr>
  </w:style>
  <w:style w:type="paragraph" w:customStyle="1" w:styleId="Applicationdirecte">
    <w:name w:val="Application directe"/>
    <w:basedOn w:val="Normal"/>
    <w:next w:val="Fait"/>
    <w:rsid w:val="00653571"/>
    <w:pPr>
      <w:spacing w:before="480" w:after="120" w:line="240" w:lineRule="auto"/>
      <w:jc w:val="both"/>
    </w:pPr>
    <w:rPr>
      <w:rFonts w:ascii="Times New Roman" w:eastAsia="Calibri" w:hAnsi="Times New Roman" w:cs="Times New Roman"/>
      <w:sz w:val="24"/>
      <w:lang w:val="en-GB" w:eastAsia="en-GB"/>
    </w:rPr>
  </w:style>
  <w:style w:type="paragraph" w:customStyle="1" w:styleId="Avertissementtitre">
    <w:name w:val="Avertissement titre"/>
    <w:basedOn w:val="Normal"/>
    <w:next w:val="Normal"/>
    <w:rsid w:val="00653571"/>
    <w:pPr>
      <w:keepNext/>
      <w:spacing w:before="480" w:after="120" w:line="240" w:lineRule="auto"/>
      <w:jc w:val="both"/>
    </w:pPr>
    <w:rPr>
      <w:rFonts w:ascii="Times New Roman" w:eastAsia="Calibri" w:hAnsi="Times New Roman" w:cs="Times New Roman"/>
      <w:sz w:val="24"/>
      <w:u w:val="single"/>
      <w:lang w:val="en-GB" w:eastAsia="en-GB"/>
    </w:rPr>
  </w:style>
  <w:style w:type="paragraph" w:customStyle="1" w:styleId="Confidence">
    <w:name w:val="Confidence"/>
    <w:basedOn w:val="Normal"/>
    <w:next w:val="Normal"/>
    <w:rsid w:val="00653571"/>
    <w:pPr>
      <w:spacing w:before="360" w:after="120" w:line="240" w:lineRule="auto"/>
      <w:jc w:val="center"/>
    </w:pPr>
    <w:rPr>
      <w:rFonts w:ascii="Times New Roman" w:eastAsia="Calibri" w:hAnsi="Times New Roman" w:cs="Times New Roman"/>
      <w:sz w:val="24"/>
      <w:lang w:val="en-GB" w:eastAsia="en-GB"/>
    </w:rPr>
  </w:style>
  <w:style w:type="paragraph" w:customStyle="1" w:styleId="TypedudocumentPagedecouverture">
    <w:name w:val="Type du document (Page de couverture)"/>
    <w:basedOn w:val="Typedudocument"/>
    <w:next w:val="TitreobjetPagedecouverture"/>
    <w:rsid w:val="00653571"/>
  </w:style>
  <w:style w:type="paragraph" w:customStyle="1" w:styleId="Typedudocument">
    <w:name w:val="Type du document"/>
    <w:basedOn w:val="Normal"/>
    <w:next w:val="Titreobjet"/>
    <w:rsid w:val="00653571"/>
    <w:pPr>
      <w:spacing w:before="360" w:after="180" w:line="240" w:lineRule="auto"/>
      <w:jc w:val="center"/>
    </w:pPr>
    <w:rPr>
      <w:rFonts w:ascii="Times New Roman" w:eastAsia="Calibri" w:hAnsi="Times New Roman" w:cs="Times New Roman"/>
      <w:b/>
      <w:sz w:val="24"/>
      <w:lang w:val="en-GB" w:eastAsia="en-GB"/>
    </w:rPr>
  </w:style>
  <w:style w:type="paragraph" w:customStyle="1" w:styleId="Titreobjet">
    <w:name w:val="Titre objet"/>
    <w:basedOn w:val="Normal"/>
    <w:next w:val="Sous-titreobjet"/>
    <w:rsid w:val="00653571"/>
    <w:pPr>
      <w:spacing w:before="180" w:after="180" w:line="240" w:lineRule="auto"/>
      <w:jc w:val="center"/>
    </w:pPr>
    <w:rPr>
      <w:rFonts w:ascii="Times New Roman" w:eastAsia="Calibri" w:hAnsi="Times New Roman" w:cs="Times New Roman"/>
      <w:b/>
      <w:sz w:val="24"/>
      <w:lang w:val="en-GB" w:eastAsia="en-GB"/>
    </w:rPr>
  </w:style>
  <w:style w:type="paragraph" w:customStyle="1" w:styleId="Sous-titreobjet">
    <w:name w:val="Sous-titre objet"/>
    <w:basedOn w:val="Normal"/>
    <w:rsid w:val="00653571"/>
    <w:pPr>
      <w:spacing w:after="0" w:line="240" w:lineRule="auto"/>
      <w:jc w:val="center"/>
    </w:pPr>
    <w:rPr>
      <w:rFonts w:ascii="Times New Roman" w:eastAsia="Calibri" w:hAnsi="Times New Roman" w:cs="Times New Roman"/>
      <w:b/>
      <w:sz w:val="24"/>
      <w:lang w:val="en-GB" w:eastAsia="en-GB"/>
    </w:rPr>
  </w:style>
  <w:style w:type="paragraph" w:customStyle="1" w:styleId="TitreobjetPagedecouverture">
    <w:name w:val="Titre objet (Page de couverture)"/>
    <w:basedOn w:val="Titreobjet"/>
    <w:next w:val="Sous-titreobjetPagedecouverture"/>
    <w:rsid w:val="00653571"/>
  </w:style>
  <w:style w:type="paragraph" w:customStyle="1" w:styleId="Sous-titreobjetPagedecouverture">
    <w:name w:val="Sous-titre objet (Page de couverture)"/>
    <w:basedOn w:val="Sous-titreobjet"/>
    <w:rsid w:val="00653571"/>
  </w:style>
  <w:style w:type="paragraph" w:customStyle="1" w:styleId="Confidentialit">
    <w:name w:val="Confidentialité"/>
    <w:basedOn w:val="Normal"/>
    <w:next w:val="TypedudocumentPagedecouverture"/>
    <w:rsid w:val="00653571"/>
    <w:pPr>
      <w:spacing w:before="240" w:after="240" w:line="240" w:lineRule="auto"/>
      <w:ind w:left="5103"/>
    </w:pPr>
    <w:rPr>
      <w:rFonts w:ascii="Times New Roman" w:eastAsia="Calibri" w:hAnsi="Times New Roman" w:cs="Times New Roman"/>
      <w:i/>
      <w:sz w:val="32"/>
      <w:lang w:val="en-GB" w:eastAsia="en-GB"/>
    </w:rPr>
  </w:style>
  <w:style w:type="paragraph" w:customStyle="1" w:styleId="Considrant">
    <w:name w:val="Considérant"/>
    <w:basedOn w:val="Normal"/>
    <w:rsid w:val="00653571"/>
    <w:pPr>
      <w:numPr>
        <w:numId w:val="57"/>
      </w:numPr>
      <w:spacing w:before="120" w:after="120" w:line="240" w:lineRule="auto"/>
      <w:jc w:val="both"/>
    </w:pPr>
    <w:rPr>
      <w:rFonts w:ascii="Times New Roman" w:eastAsia="Calibri" w:hAnsi="Times New Roman" w:cs="Times New Roman"/>
      <w:sz w:val="24"/>
      <w:lang w:val="en-GB" w:eastAsia="en-GB"/>
    </w:rPr>
  </w:style>
  <w:style w:type="paragraph" w:customStyle="1" w:styleId="Corrigendum">
    <w:name w:val="Corrigendum"/>
    <w:basedOn w:val="Normal"/>
    <w:next w:val="Normal"/>
    <w:rsid w:val="00653571"/>
    <w:pPr>
      <w:spacing w:after="240" w:line="240" w:lineRule="auto"/>
    </w:pPr>
    <w:rPr>
      <w:rFonts w:ascii="Times New Roman" w:eastAsia="Calibri" w:hAnsi="Times New Roman" w:cs="Times New Roman"/>
      <w:sz w:val="24"/>
      <w:lang w:val="en-GB" w:eastAsia="en-GB"/>
    </w:rPr>
  </w:style>
  <w:style w:type="paragraph" w:customStyle="1" w:styleId="Datedadoption">
    <w:name w:val="Date d'adoption"/>
    <w:basedOn w:val="Normal"/>
    <w:next w:val="Titreobjet"/>
    <w:rsid w:val="00653571"/>
    <w:pPr>
      <w:spacing w:before="360" w:after="0" w:line="240" w:lineRule="auto"/>
      <w:jc w:val="center"/>
    </w:pPr>
    <w:rPr>
      <w:rFonts w:ascii="Times New Roman" w:eastAsia="Calibri" w:hAnsi="Times New Roman" w:cs="Times New Roman"/>
      <w:b/>
      <w:sz w:val="24"/>
      <w:lang w:val="en-GB" w:eastAsia="en-GB"/>
    </w:rPr>
  </w:style>
  <w:style w:type="paragraph" w:customStyle="1" w:styleId="Rfrenceinstitutionnelle">
    <w:name w:val="Référence institutionnelle"/>
    <w:basedOn w:val="Normal"/>
    <w:next w:val="Confidentialit"/>
    <w:rsid w:val="00653571"/>
    <w:pPr>
      <w:spacing w:after="240" w:line="240" w:lineRule="auto"/>
      <w:ind w:left="5103"/>
    </w:pPr>
    <w:rPr>
      <w:rFonts w:ascii="Times New Roman" w:eastAsia="Calibri" w:hAnsi="Times New Roman" w:cs="Times New Roman"/>
      <w:sz w:val="24"/>
      <w:lang w:val="en-GB" w:eastAsia="en-GB"/>
    </w:rPr>
  </w:style>
  <w:style w:type="paragraph" w:customStyle="1" w:styleId="Emission">
    <w:name w:val="Emission"/>
    <w:basedOn w:val="Normal"/>
    <w:next w:val="Rfrenceinstitutionnelle"/>
    <w:rsid w:val="00653571"/>
    <w:pPr>
      <w:spacing w:after="0" w:line="240" w:lineRule="auto"/>
      <w:ind w:left="5103"/>
    </w:pPr>
    <w:rPr>
      <w:rFonts w:ascii="Times New Roman" w:eastAsia="Calibri" w:hAnsi="Times New Roman" w:cs="Times New Roman"/>
      <w:sz w:val="24"/>
      <w:lang w:val="en-GB" w:eastAsia="en-GB"/>
    </w:rPr>
  </w:style>
  <w:style w:type="paragraph" w:customStyle="1" w:styleId="Exposdesmotifstitre">
    <w:name w:val="Exposé des motifs titre"/>
    <w:basedOn w:val="Normal"/>
    <w:next w:val="Normal"/>
    <w:rsid w:val="00653571"/>
    <w:pPr>
      <w:spacing w:before="120" w:after="120" w:line="240" w:lineRule="auto"/>
      <w:jc w:val="center"/>
    </w:pPr>
    <w:rPr>
      <w:rFonts w:ascii="Times New Roman" w:eastAsia="Calibri" w:hAnsi="Times New Roman" w:cs="Times New Roman"/>
      <w:b/>
      <w:sz w:val="24"/>
      <w:u w:val="single"/>
      <w:lang w:val="en-GB" w:eastAsia="en-GB"/>
    </w:rPr>
  </w:style>
  <w:style w:type="paragraph" w:customStyle="1" w:styleId="Formuledadoption">
    <w:name w:val="Formule d'adoption"/>
    <w:basedOn w:val="Normal"/>
    <w:next w:val="Titrearticle"/>
    <w:rsid w:val="00653571"/>
    <w:pPr>
      <w:keepNext/>
      <w:spacing w:before="120" w:after="120" w:line="240" w:lineRule="auto"/>
      <w:jc w:val="both"/>
    </w:pPr>
    <w:rPr>
      <w:rFonts w:ascii="Times New Roman" w:eastAsia="Calibri" w:hAnsi="Times New Roman" w:cs="Times New Roman"/>
      <w:sz w:val="24"/>
      <w:lang w:val="en-GB" w:eastAsia="en-GB"/>
    </w:rPr>
  </w:style>
  <w:style w:type="paragraph" w:customStyle="1" w:styleId="Institutionquiagit">
    <w:name w:val="Institution qui agit"/>
    <w:basedOn w:val="Normal"/>
    <w:next w:val="Normal"/>
    <w:rsid w:val="00653571"/>
    <w:pPr>
      <w:keepNext/>
      <w:spacing w:before="600" w:after="120" w:line="240" w:lineRule="auto"/>
      <w:jc w:val="both"/>
    </w:pPr>
    <w:rPr>
      <w:rFonts w:ascii="Times New Roman" w:eastAsia="Calibri" w:hAnsi="Times New Roman" w:cs="Times New Roman"/>
      <w:sz w:val="24"/>
      <w:lang w:val="en-GB" w:eastAsia="en-GB"/>
    </w:rPr>
  </w:style>
  <w:style w:type="paragraph" w:customStyle="1" w:styleId="Rfrenceinterne">
    <w:name w:val="Référence interne"/>
    <w:basedOn w:val="Normal"/>
    <w:next w:val="Rfrenceinterinstitutionnelle"/>
    <w:rsid w:val="00653571"/>
    <w:pPr>
      <w:spacing w:after="0" w:line="240" w:lineRule="auto"/>
      <w:ind w:left="5103"/>
    </w:pPr>
    <w:rPr>
      <w:rFonts w:ascii="Times New Roman" w:eastAsia="Calibri" w:hAnsi="Times New Roman" w:cs="Times New Roman"/>
      <w:sz w:val="24"/>
      <w:lang w:val="en-GB" w:eastAsia="en-GB"/>
    </w:rPr>
  </w:style>
  <w:style w:type="paragraph" w:customStyle="1" w:styleId="Rfrenceinterinstitutionnelle">
    <w:name w:val="Référence interinstitutionnelle"/>
    <w:basedOn w:val="Normal"/>
    <w:next w:val="Statut"/>
    <w:rsid w:val="00653571"/>
    <w:pPr>
      <w:spacing w:after="0" w:line="240" w:lineRule="auto"/>
      <w:ind w:left="5103"/>
    </w:pPr>
    <w:rPr>
      <w:rFonts w:ascii="Times New Roman" w:eastAsia="Calibri" w:hAnsi="Times New Roman" w:cs="Times New Roman"/>
      <w:sz w:val="24"/>
      <w:lang w:val="en-GB" w:eastAsia="en-GB"/>
    </w:rPr>
  </w:style>
  <w:style w:type="paragraph" w:customStyle="1" w:styleId="Statut">
    <w:name w:val="Statut"/>
    <w:basedOn w:val="Normal"/>
    <w:next w:val="Typedudocument"/>
    <w:rsid w:val="00653571"/>
    <w:pPr>
      <w:spacing w:before="360" w:after="0" w:line="240" w:lineRule="auto"/>
      <w:jc w:val="center"/>
    </w:pPr>
    <w:rPr>
      <w:rFonts w:ascii="Times New Roman" w:eastAsia="Calibri" w:hAnsi="Times New Roman" w:cs="Times New Roman"/>
      <w:sz w:val="24"/>
      <w:lang w:val="en-GB" w:eastAsia="en-GB"/>
    </w:rPr>
  </w:style>
  <w:style w:type="paragraph" w:customStyle="1" w:styleId="Langue">
    <w:name w:val="Langue"/>
    <w:basedOn w:val="Normal"/>
    <w:next w:val="Rfrenceinterne"/>
    <w:rsid w:val="00653571"/>
    <w:pPr>
      <w:framePr w:wrap="around" w:vAnchor="page" w:hAnchor="text" w:xAlign="center" w:y="14741"/>
      <w:spacing w:after="600" w:line="240" w:lineRule="auto"/>
      <w:jc w:val="center"/>
    </w:pPr>
    <w:rPr>
      <w:rFonts w:ascii="Times New Roman" w:eastAsia="Calibri" w:hAnsi="Times New Roman" w:cs="Times New Roman"/>
      <w:b/>
      <w:caps/>
      <w:sz w:val="24"/>
      <w:lang w:val="en-GB" w:eastAsia="en-GB"/>
    </w:rPr>
  </w:style>
  <w:style w:type="paragraph" w:customStyle="1" w:styleId="Nomdelinstitution">
    <w:name w:val="Nom de l'institution"/>
    <w:basedOn w:val="Normal"/>
    <w:next w:val="Emission"/>
    <w:rsid w:val="00653571"/>
    <w:pPr>
      <w:spacing w:after="0" w:line="240" w:lineRule="auto"/>
    </w:pPr>
    <w:rPr>
      <w:rFonts w:ascii="Arial" w:eastAsia="Calibri" w:hAnsi="Arial" w:cs="Arial"/>
      <w:sz w:val="24"/>
      <w:lang w:val="en-GB" w:eastAsia="en-GB"/>
    </w:rPr>
  </w:style>
  <w:style w:type="paragraph" w:customStyle="1" w:styleId="Address">
    <w:name w:val="Address"/>
    <w:basedOn w:val="Normal"/>
    <w:next w:val="Normal"/>
    <w:rsid w:val="00653571"/>
    <w:pPr>
      <w:keepLines/>
      <w:spacing w:before="120" w:after="120" w:line="360" w:lineRule="auto"/>
      <w:ind w:left="3402"/>
    </w:pPr>
    <w:rPr>
      <w:rFonts w:ascii="Times New Roman" w:eastAsia="Calibri" w:hAnsi="Times New Roman" w:cs="Times New Roman"/>
      <w:sz w:val="24"/>
      <w:lang w:val="en-GB" w:eastAsia="en-GB"/>
    </w:rPr>
  </w:style>
  <w:style w:type="paragraph" w:customStyle="1" w:styleId="Objetexterne">
    <w:name w:val="Objet externe"/>
    <w:basedOn w:val="Normal"/>
    <w:next w:val="Normal"/>
    <w:rsid w:val="00653571"/>
    <w:pPr>
      <w:spacing w:before="120" w:after="120" w:line="240" w:lineRule="auto"/>
      <w:jc w:val="both"/>
    </w:pPr>
    <w:rPr>
      <w:rFonts w:ascii="Times New Roman" w:eastAsia="Calibri" w:hAnsi="Times New Roman" w:cs="Times New Roman"/>
      <w:i/>
      <w:caps/>
      <w:sz w:val="24"/>
      <w:lang w:val="en-GB" w:eastAsia="en-GB"/>
    </w:rPr>
  </w:style>
  <w:style w:type="paragraph" w:customStyle="1" w:styleId="Supertitre">
    <w:name w:val="Supertitre"/>
    <w:basedOn w:val="Normal"/>
    <w:next w:val="Normal"/>
    <w:rsid w:val="00653571"/>
    <w:pPr>
      <w:spacing w:after="600" w:line="240" w:lineRule="auto"/>
      <w:jc w:val="center"/>
    </w:pPr>
    <w:rPr>
      <w:rFonts w:ascii="Times New Roman" w:eastAsia="Calibri" w:hAnsi="Times New Roman" w:cs="Times New Roman"/>
      <w:b/>
      <w:sz w:val="24"/>
      <w:lang w:val="en-GB" w:eastAsia="en-GB"/>
    </w:rPr>
  </w:style>
  <w:style w:type="paragraph" w:customStyle="1" w:styleId="Languesfaisantfoi">
    <w:name w:val="Langues faisant foi"/>
    <w:basedOn w:val="Normal"/>
    <w:next w:val="Normal"/>
    <w:rsid w:val="00653571"/>
    <w:pPr>
      <w:spacing w:before="360" w:after="0" w:line="240" w:lineRule="auto"/>
      <w:jc w:val="center"/>
    </w:pPr>
    <w:rPr>
      <w:rFonts w:ascii="Times New Roman" w:eastAsia="Calibri" w:hAnsi="Times New Roman" w:cs="Times New Roman"/>
      <w:sz w:val="24"/>
      <w:lang w:val="en-GB" w:eastAsia="en-GB"/>
    </w:rPr>
  </w:style>
  <w:style w:type="paragraph" w:customStyle="1" w:styleId="Rfrencecroise">
    <w:name w:val="Référence croisée"/>
    <w:basedOn w:val="Normal"/>
    <w:rsid w:val="00653571"/>
    <w:pPr>
      <w:spacing w:after="0" w:line="240" w:lineRule="auto"/>
      <w:jc w:val="center"/>
    </w:pPr>
    <w:rPr>
      <w:rFonts w:ascii="Times New Roman" w:eastAsia="Calibri" w:hAnsi="Times New Roman" w:cs="Times New Roman"/>
      <w:sz w:val="24"/>
      <w:lang w:val="en-GB" w:eastAsia="en-GB"/>
    </w:rPr>
  </w:style>
  <w:style w:type="paragraph" w:customStyle="1" w:styleId="Fichefinanciretitre">
    <w:name w:val="Fiche financière titre"/>
    <w:basedOn w:val="Normal"/>
    <w:next w:val="Normal"/>
    <w:rsid w:val="00653571"/>
    <w:pPr>
      <w:spacing w:before="120" w:after="120" w:line="240" w:lineRule="auto"/>
      <w:jc w:val="center"/>
    </w:pPr>
    <w:rPr>
      <w:rFonts w:ascii="Times New Roman" w:eastAsia="Calibri" w:hAnsi="Times New Roman" w:cs="Times New Roman"/>
      <w:b/>
      <w:sz w:val="24"/>
      <w:u w:val="single"/>
      <w:lang w:val="en-GB" w:eastAsia="en-GB"/>
    </w:rPr>
  </w:style>
  <w:style w:type="paragraph" w:customStyle="1" w:styleId="DatedadoptionPagedecouverture">
    <w:name w:val="Date d'adoption (Page de couverture)"/>
    <w:basedOn w:val="Datedadoption"/>
    <w:next w:val="TitreobjetPagedecouverture"/>
    <w:rsid w:val="00653571"/>
  </w:style>
  <w:style w:type="paragraph" w:customStyle="1" w:styleId="RfrenceinterinstitutionnellePagedecouverture">
    <w:name w:val="Référence interinstitutionnelle (Page de couverture)"/>
    <w:basedOn w:val="Rfrenceinterinstitutionnelle"/>
    <w:next w:val="Confidentialit"/>
    <w:rsid w:val="00653571"/>
  </w:style>
  <w:style w:type="paragraph" w:customStyle="1" w:styleId="StatutPagedecouverture">
    <w:name w:val="Statut (Page de couverture)"/>
    <w:basedOn w:val="Statut"/>
    <w:next w:val="TypedudocumentPagedecouverture"/>
    <w:rsid w:val="00653571"/>
  </w:style>
  <w:style w:type="paragraph" w:customStyle="1" w:styleId="Volume">
    <w:name w:val="Volume"/>
    <w:basedOn w:val="Normal"/>
    <w:next w:val="Confidentialit"/>
    <w:rsid w:val="00653571"/>
    <w:pPr>
      <w:spacing w:after="240" w:line="240" w:lineRule="auto"/>
      <w:ind w:left="5103"/>
    </w:pPr>
    <w:rPr>
      <w:rFonts w:ascii="Times New Roman" w:eastAsia="Calibri" w:hAnsi="Times New Roman" w:cs="Times New Roman"/>
      <w:sz w:val="24"/>
      <w:lang w:val="en-GB" w:eastAsia="en-GB"/>
    </w:rPr>
  </w:style>
  <w:style w:type="paragraph" w:customStyle="1" w:styleId="IntrtEEE">
    <w:name w:val="Intérêt EEE"/>
    <w:basedOn w:val="Languesfaisantfoi"/>
    <w:next w:val="Normal"/>
    <w:rsid w:val="00653571"/>
    <w:pPr>
      <w:spacing w:after="240"/>
    </w:pPr>
  </w:style>
  <w:style w:type="paragraph" w:customStyle="1" w:styleId="Typeacteprincipal">
    <w:name w:val="Type acte principal"/>
    <w:basedOn w:val="Normal"/>
    <w:next w:val="Objetacteprincipal"/>
    <w:rsid w:val="00653571"/>
    <w:pPr>
      <w:spacing w:after="240" w:line="240" w:lineRule="auto"/>
      <w:jc w:val="center"/>
    </w:pPr>
    <w:rPr>
      <w:rFonts w:ascii="Times New Roman" w:eastAsia="Calibri" w:hAnsi="Times New Roman" w:cs="Times New Roman"/>
      <w:b/>
      <w:sz w:val="24"/>
      <w:lang w:val="en-GB" w:eastAsia="en-GB"/>
    </w:rPr>
  </w:style>
  <w:style w:type="paragraph" w:customStyle="1" w:styleId="Objetacteprincipal">
    <w:name w:val="Objet acte principal"/>
    <w:basedOn w:val="Normal"/>
    <w:next w:val="Titrearticle"/>
    <w:rsid w:val="00653571"/>
    <w:pPr>
      <w:spacing w:after="360" w:line="240" w:lineRule="auto"/>
      <w:jc w:val="center"/>
    </w:pPr>
    <w:rPr>
      <w:rFonts w:ascii="Times New Roman" w:eastAsia="Calibri" w:hAnsi="Times New Roman" w:cs="Times New Roman"/>
      <w:b/>
      <w:sz w:val="24"/>
      <w:lang w:val="en-GB" w:eastAsia="en-GB"/>
    </w:rPr>
  </w:style>
  <w:style w:type="paragraph" w:customStyle="1" w:styleId="Accompagnant">
    <w:name w:val="Accompagnant"/>
    <w:basedOn w:val="Normal"/>
    <w:next w:val="Typeacteprincipal"/>
    <w:rsid w:val="00653571"/>
    <w:pPr>
      <w:spacing w:before="180" w:after="240" w:line="240" w:lineRule="auto"/>
      <w:jc w:val="center"/>
    </w:pPr>
    <w:rPr>
      <w:rFonts w:ascii="Times New Roman" w:eastAsia="Calibri" w:hAnsi="Times New Roman" w:cs="Times New Roman"/>
      <w:b/>
      <w:sz w:val="24"/>
      <w:lang w:val="en-GB" w:eastAsia="en-GB"/>
    </w:rPr>
  </w:style>
  <w:style w:type="paragraph" w:customStyle="1" w:styleId="IntrtEEEPagedecouverture">
    <w:name w:val="Intérêt EEE (Page de couverture)"/>
    <w:basedOn w:val="IntrtEEE"/>
    <w:next w:val="Rfrencecroise"/>
    <w:rsid w:val="00653571"/>
  </w:style>
  <w:style w:type="paragraph" w:customStyle="1" w:styleId="TypeacteprincipalPagedecouverture">
    <w:name w:val="Type acte principal (Page de couverture)"/>
    <w:basedOn w:val="Typeacteprincipal"/>
    <w:next w:val="ObjetacteprincipalPagedecouverture"/>
    <w:rsid w:val="00653571"/>
  </w:style>
  <w:style w:type="paragraph" w:customStyle="1" w:styleId="ObjetacteprincipalPagedecouverture">
    <w:name w:val="Objet acte principal (Page de couverture)"/>
    <w:basedOn w:val="Objetacteprincipal"/>
    <w:next w:val="Rfrencecroise"/>
    <w:rsid w:val="00653571"/>
  </w:style>
  <w:style w:type="paragraph" w:customStyle="1" w:styleId="AccompagnantPagedecouverture">
    <w:name w:val="Accompagnant (Page de couverture)"/>
    <w:basedOn w:val="Accompagnant"/>
    <w:next w:val="TypeacteprincipalPagedecouverture"/>
    <w:rsid w:val="00653571"/>
  </w:style>
  <w:style w:type="paragraph" w:customStyle="1" w:styleId="LanguesfaisantfoiPagedecouverture">
    <w:name w:val="Langues faisant foi (Page de couverture)"/>
    <w:basedOn w:val="Normal"/>
    <w:next w:val="Normal"/>
    <w:rsid w:val="00653571"/>
    <w:pPr>
      <w:spacing w:before="360" w:after="0" w:line="240" w:lineRule="auto"/>
      <w:jc w:val="center"/>
    </w:pPr>
    <w:rPr>
      <w:rFonts w:ascii="Times New Roman" w:eastAsia="Calibri" w:hAnsi="Times New Roman" w:cs="Times New Roman"/>
      <w:sz w:val="24"/>
      <w:lang w:val="en-GB" w:eastAsia="en-GB"/>
    </w:rPr>
  </w:style>
  <w:style w:type="paragraph" w:customStyle="1" w:styleId="Declassification">
    <w:name w:val="Declassification"/>
    <w:basedOn w:val="Normal"/>
    <w:next w:val="Normal"/>
    <w:rsid w:val="00653571"/>
    <w:pPr>
      <w:spacing w:after="0" w:line="240" w:lineRule="auto"/>
      <w:jc w:val="both"/>
    </w:pPr>
    <w:rPr>
      <w:rFonts w:ascii="Times New Roman" w:hAnsi="Times New Roman" w:cs="Times New Roman"/>
      <w:sz w:val="24"/>
      <w:lang w:val="en-GB"/>
    </w:rPr>
  </w:style>
  <w:style w:type="paragraph" w:customStyle="1" w:styleId="ZDGName">
    <w:name w:val="Z_DGName"/>
    <w:basedOn w:val="Normal"/>
    <w:rsid w:val="00653571"/>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customStyle="1" w:styleId="ZCom">
    <w:name w:val="Z_Com"/>
    <w:basedOn w:val="Normal"/>
    <w:next w:val="ZDGName"/>
    <w:uiPriority w:val="99"/>
    <w:rsid w:val="00653571"/>
    <w:pPr>
      <w:widowControl w:val="0"/>
      <w:autoSpaceDE w:val="0"/>
      <w:autoSpaceDN w:val="0"/>
      <w:spacing w:after="0" w:line="240" w:lineRule="auto"/>
      <w:ind w:right="85"/>
      <w:jc w:val="both"/>
    </w:pPr>
    <w:rPr>
      <w:rFonts w:ascii="Arial" w:eastAsia="Times New Roman" w:hAnsi="Arial" w:cs="Arial"/>
      <w:sz w:val="24"/>
      <w:szCs w:val="24"/>
      <w:lang w:val="en-GB" w:eastAsia="en-GB"/>
    </w:rPr>
  </w:style>
  <w:style w:type="paragraph" w:customStyle="1" w:styleId="EntText">
    <w:name w:val="EntText"/>
    <w:basedOn w:val="Normal"/>
    <w:rsid w:val="00653571"/>
    <w:pPr>
      <w:spacing w:before="120" w:after="120" w:line="360" w:lineRule="auto"/>
    </w:pPr>
    <w:rPr>
      <w:rFonts w:ascii="Times New Roman" w:hAnsi="Times New Roman" w:cs="Times New Roman"/>
      <w:sz w:val="24"/>
      <w:lang w:val="en-GB"/>
    </w:rPr>
  </w:style>
  <w:style w:type="paragraph" w:customStyle="1" w:styleId="Lignefinal">
    <w:name w:val="Ligne final"/>
    <w:basedOn w:val="Normal"/>
    <w:next w:val="Normal"/>
    <w:rsid w:val="00653571"/>
    <w:pPr>
      <w:pBdr>
        <w:bottom w:val="single" w:sz="4" w:space="0" w:color="000000"/>
      </w:pBdr>
      <w:spacing w:before="360" w:after="120" w:line="360" w:lineRule="auto"/>
      <w:ind w:left="3400" w:right="3400"/>
      <w:jc w:val="center"/>
    </w:pPr>
    <w:rPr>
      <w:rFonts w:ascii="Times New Roman" w:hAnsi="Times New Roman" w:cs="Times New Roman"/>
      <w:b/>
      <w:sz w:val="24"/>
      <w:lang w:val="en-GB"/>
    </w:rPr>
  </w:style>
  <w:style w:type="character" w:customStyle="1" w:styleId="pjChar">
    <w:name w:val="p.j. Char"/>
    <w:basedOn w:val="TechnicalBlockChar"/>
    <w:link w:val="pj"/>
    <w:locked/>
    <w:rsid w:val="00653571"/>
    <w:rPr>
      <w:rFonts w:ascii="Times New Roman" w:eastAsia="Calibri" w:hAnsi="Times New Roman" w:cs="Times New Roman"/>
      <w:sz w:val="24"/>
      <w:szCs w:val="20"/>
      <w:lang w:val="en-GB" w:eastAsia="en-GB"/>
    </w:rPr>
  </w:style>
  <w:style w:type="paragraph" w:customStyle="1" w:styleId="pj">
    <w:name w:val="p.j."/>
    <w:basedOn w:val="Normal"/>
    <w:link w:val="pjChar"/>
    <w:rsid w:val="00653571"/>
    <w:pPr>
      <w:spacing w:before="1200" w:after="120" w:line="240" w:lineRule="auto"/>
      <w:ind w:left="1440" w:hanging="1440"/>
    </w:pPr>
    <w:rPr>
      <w:rFonts w:ascii="Times New Roman" w:eastAsia="Calibri" w:hAnsi="Times New Roman" w:cs="Times New Roman"/>
      <w:sz w:val="24"/>
      <w:szCs w:val="20"/>
      <w:lang w:val="en-GB" w:eastAsia="en-GB"/>
    </w:rPr>
  </w:style>
  <w:style w:type="character" w:customStyle="1" w:styleId="nbborderedChar">
    <w:name w:val="nb bordered Char"/>
    <w:basedOn w:val="TechnicalBlockChar"/>
    <w:link w:val="nbbordered"/>
    <w:locked/>
    <w:rsid w:val="00653571"/>
    <w:rPr>
      <w:rFonts w:ascii="Times New Roman" w:eastAsia="Calibri" w:hAnsi="Times New Roman" w:cs="Times New Roman"/>
      <w:b/>
      <w:sz w:val="24"/>
      <w:szCs w:val="20"/>
      <w:lang w:val="en-GB" w:eastAsia="en-GB"/>
    </w:rPr>
  </w:style>
  <w:style w:type="paragraph" w:customStyle="1" w:styleId="nbbordered">
    <w:name w:val="nb bordered"/>
    <w:basedOn w:val="Normal"/>
    <w:link w:val="nbborderedChar"/>
    <w:rsid w:val="00653571"/>
    <w:pPr>
      <w:pBdr>
        <w:top w:val="single" w:sz="4" w:space="1" w:color="auto"/>
        <w:left w:val="single" w:sz="4" w:space="4" w:color="auto"/>
        <w:bottom w:val="single" w:sz="4" w:space="1" w:color="auto"/>
        <w:right w:val="single" w:sz="4" w:space="4" w:color="auto"/>
      </w:pBdr>
      <w:spacing w:before="120" w:after="160" w:line="240" w:lineRule="auto"/>
      <w:ind w:left="480" w:hanging="480"/>
      <w:jc w:val="both"/>
    </w:pPr>
    <w:rPr>
      <w:rFonts w:ascii="Times New Roman" w:eastAsia="Calibri" w:hAnsi="Times New Roman" w:cs="Times New Roman"/>
      <w:b/>
      <w:sz w:val="24"/>
      <w:szCs w:val="20"/>
      <w:lang w:val="en-GB" w:eastAsia="en-GB"/>
    </w:rPr>
  </w:style>
  <w:style w:type="paragraph" w:customStyle="1" w:styleId="default0">
    <w:name w:val="default"/>
    <w:basedOn w:val="Normal"/>
    <w:uiPriority w:val="99"/>
    <w:rsid w:val="00653571"/>
    <w:pPr>
      <w:autoSpaceDE w:val="0"/>
      <w:autoSpaceDN w:val="0"/>
      <w:spacing w:after="0" w:line="240" w:lineRule="auto"/>
    </w:pPr>
    <w:rPr>
      <w:rFonts w:ascii="Times New Roman" w:hAnsi="Times New Roman" w:cs="Times New Roman"/>
      <w:color w:val="000000"/>
      <w:sz w:val="24"/>
      <w:szCs w:val="24"/>
      <w:lang w:val="en-GB" w:eastAsia="en-GB"/>
    </w:rPr>
  </w:style>
  <w:style w:type="paragraph" w:customStyle="1" w:styleId="Char2Char">
    <w:name w:val="Char2 Char"/>
    <w:basedOn w:val="Normal"/>
    <w:rsid w:val="00653571"/>
    <w:pPr>
      <w:autoSpaceDE w:val="0"/>
      <w:autoSpaceDN w:val="0"/>
      <w:adjustRightInd w:val="0"/>
      <w:spacing w:after="160" w:line="240" w:lineRule="exact"/>
    </w:pPr>
    <w:rPr>
      <w:rFonts w:ascii="Tahoma" w:eastAsia="Times New Roman" w:hAnsi="Tahoma" w:cs="Times New Roman"/>
      <w:sz w:val="20"/>
      <w:szCs w:val="20"/>
      <w:lang w:val="en-US"/>
    </w:rPr>
  </w:style>
  <w:style w:type="paragraph" w:customStyle="1" w:styleId="Time">
    <w:name w:val="Time"/>
    <w:basedOn w:val="Normal"/>
    <w:rsid w:val="00653571"/>
    <w:rPr>
      <w:lang w:val="en-GB"/>
    </w:rPr>
  </w:style>
  <w:style w:type="paragraph" w:customStyle="1" w:styleId="Pa0">
    <w:name w:val="Pa0"/>
    <w:basedOn w:val="Default"/>
    <w:next w:val="Default"/>
    <w:uiPriority w:val="99"/>
    <w:rsid w:val="00653571"/>
    <w:pPr>
      <w:spacing w:before="120" w:after="120" w:line="361" w:lineRule="atLeast"/>
    </w:pPr>
    <w:rPr>
      <w:rFonts w:ascii="Verdana" w:hAnsi="Verdana" w:cs="Times New Roman"/>
      <w:color w:val="auto"/>
    </w:rPr>
  </w:style>
  <w:style w:type="paragraph" w:customStyle="1" w:styleId="Pa3">
    <w:name w:val="Pa3"/>
    <w:basedOn w:val="Default"/>
    <w:next w:val="Default"/>
    <w:uiPriority w:val="99"/>
    <w:rsid w:val="00653571"/>
    <w:pPr>
      <w:spacing w:before="120" w:after="120" w:line="240" w:lineRule="atLeast"/>
    </w:pPr>
    <w:rPr>
      <w:rFonts w:ascii="Helvetica Neue" w:hAnsi="Helvetica Neue" w:cs="Times New Roman"/>
      <w:color w:val="auto"/>
    </w:rPr>
  </w:style>
  <w:style w:type="paragraph" w:customStyle="1" w:styleId="TabellenInhalt">
    <w:name w:val="Tabellen Inhalt"/>
    <w:basedOn w:val="Normal"/>
    <w:rsid w:val="00653571"/>
    <w:pPr>
      <w:suppressLineNumbers/>
      <w:suppressAutoHyphens/>
      <w:spacing w:before="120" w:after="120" w:line="240" w:lineRule="auto"/>
      <w:jc w:val="both"/>
    </w:pPr>
    <w:rPr>
      <w:rFonts w:ascii="Times New Roman" w:eastAsia="Times New Roman" w:hAnsi="Times New Roman" w:cs="Times New Roman"/>
      <w:sz w:val="24"/>
      <w:szCs w:val="20"/>
      <w:lang w:val="en-GB" w:eastAsia="ar-SA"/>
    </w:rPr>
  </w:style>
  <w:style w:type="paragraph" w:customStyle="1" w:styleId="Tabellenberschrift">
    <w:name w:val="Tabellen Überschrift"/>
    <w:basedOn w:val="TabellenInhalt"/>
    <w:rsid w:val="00653571"/>
    <w:pPr>
      <w:jc w:val="center"/>
    </w:pPr>
    <w:rPr>
      <w:b/>
      <w:bCs/>
    </w:rPr>
  </w:style>
  <w:style w:type="paragraph" w:customStyle="1" w:styleId="xmsolistparagraph">
    <w:name w:val="x_msolistparagraph"/>
    <w:basedOn w:val="Normal"/>
    <w:rsid w:val="00653571"/>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msonormal">
    <w:name w:val="x_msonormal"/>
    <w:basedOn w:val="Normal"/>
    <w:rsid w:val="00653571"/>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ormal1">
    <w:name w:val="Normal1"/>
    <w:basedOn w:val="Normal"/>
    <w:rsid w:val="00653571"/>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titrearticle0">
    <w:name w:val="titrearticle"/>
    <w:basedOn w:val="Normal"/>
    <w:rsid w:val="00653571"/>
    <w:pPr>
      <w:spacing w:before="100" w:beforeAutospacing="1" w:after="100" w:afterAutospacing="1" w:line="240" w:lineRule="auto"/>
    </w:pPr>
    <w:rPr>
      <w:rFonts w:ascii="Times New Roman" w:hAnsi="Times New Roman" w:cs="Times New Roman"/>
      <w:sz w:val="24"/>
      <w:szCs w:val="24"/>
      <w:lang w:val="en-US"/>
    </w:rPr>
  </w:style>
  <w:style w:type="character" w:customStyle="1" w:styleId="Teksttreci3">
    <w:name w:val="Tekst treści (3)_"/>
    <w:basedOn w:val="DefaultParagraphFont"/>
    <w:link w:val="Teksttreci30"/>
    <w:uiPriority w:val="99"/>
    <w:locked/>
    <w:rsid w:val="00653571"/>
    <w:rPr>
      <w:rFonts w:ascii="Times New Roman" w:hAnsi="Times New Roman" w:cs="Times New Roman"/>
      <w:b/>
      <w:bCs/>
      <w:sz w:val="36"/>
      <w:szCs w:val="36"/>
      <w:shd w:val="clear" w:color="auto" w:fill="FFFFFF"/>
    </w:rPr>
  </w:style>
  <w:style w:type="paragraph" w:customStyle="1" w:styleId="Teksttreci30">
    <w:name w:val="Tekst treści (3)"/>
    <w:basedOn w:val="Normal"/>
    <w:link w:val="Teksttreci3"/>
    <w:uiPriority w:val="99"/>
    <w:rsid w:val="00653571"/>
    <w:pPr>
      <w:widowControl w:val="0"/>
      <w:shd w:val="clear" w:color="auto" w:fill="FFFFFF"/>
      <w:spacing w:after="0" w:line="240" w:lineRule="auto"/>
    </w:pPr>
    <w:rPr>
      <w:rFonts w:ascii="Times New Roman" w:hAnsi="Times New Roman" w:cs="Times New Roman"/>
      <w:b/>
      <w:bCs/>
      <w:sz w:val="36"/>
      <w:szCs w:val="36"/>
      <w:lang w:val="en-US"/>
    </w:rPr>
  </w:style>
  <w:style w:type="character" w:customStyle="1" w:styleId="Inne">
    <w:name w:val="Inne_"/>
    <w:basedOn w:val="DefaultParagraphFont"/>
    <w:link w:val="Inne0"/>
    <w:uiPriority w:val="99"/>
    <w:locked/>
    <w:rsid w:val="00653571"/>
    <w:rPr>
      <w:rFonts w:ascii="Times New Roman" w:hAnsi="Times New Roman" w:cs="Times New Roman"/>
      <w:shd w:val="clear" w:color="auto" w:fill="FFFFFF"/>
    </w:rPr>
  </w:style>
  <w:style w:type="paragraph" w:customStyle="1" w:styleId="Inne0">
    <w:name w:val="Inne"/>
    <w:basedOn w:val="Normal"/>
    <w:link w:val="Inne"/>
    <w:uiPriority w:val="99"/>
    <w:rsid w:val="00653571"/>
    <w:pPr>
      <w:widowControl w:val="0"/>
      <w:shd w:val="clear" w:color="auto" w:fill="FFFFFF"/>
      <w:spacing w:after="100" w:line="360" w:lineRule="auto"/>
    </w:pPr>
    <w:rPr>
      <w:rFonts w:ascii="Times New Roman" w:hAnsi="Times New Roman" w:cs="Times New Roman"/>
      <w:lang w:val="en-US"/>
    </w:rPr>
  </w:style>
  <w:style w:type="character" w:styleId="CommentReference">
    <w:name w:val="annotation reference"/>
    <w:basedOn w:val="DefaultParagraphFont"/>
    <w:uiPriority w:val="99"/>
    <w:semiHidden/>
    <w:unhideWhenUsed/>
    <w:rsid w:val="00653571"/>
    <w:rPr>
      <w:sz w:val="16"/>
      <w:szCs w:val="16"/>
    </w:rPr>
  </w:style>
  <w:style w:type="character" w:customStyle="1" w:styleId="DontTranslate">
    <w:name w:val="DontTranslate"/>
    <w:rsid w:val="00653571"/>
    <w:rPr>
      <w:color w:val="auto"/>
    </w:rPr>
  </w:style>
  <w:style w:type="character" w:customStyle="1" w:styleId="ManualNumPar1Char">
    <w:name w:val="Manual NumPar 1 Char"/>
    <w:rsid w:val="00653571"/>
    <w:rPr>
      <w:rFonts w:ascii="Times New Roman" w:hAnsi="Times New Roman" w:cs="Times New Roman" w:hint="default"/>
      <w:sz w:val="24"/>
      <w:szCs w:val="22"/>
      <w:lang w:eastAsia="en-US"/>
    </w:rPr>
  </w:style>
  <w:style w:type="character" w:customStyle="1" w:styleId="CharacterStyle2">
    <w:name w:val="Character Style 2"/>
    <w:uiPriority w:val="99"/>
    <w:rsid w:val="00653571"/>
    <w:rPr>
      <w:sz w:val="20"/>
      <w:szCs w:val="20"/>
    </w:rPr>
  </w:style>
  <w:style w:type="character" w:customStyle="1" w:styleId="Marker2">
    <w:name w:val="Marker2"/>
    <w:rsid w:val="00653571"/>
    <w:rPr>
      <w:color w:val="FF0000"/>
    </w:rPr>
  </w:style>
  <w:style w:type="character" w:customStyle="1" w:styleId="Added">
    <w:name w:val="Added"/>
    <w:rsid w:val="00653571"/>
    <w:rPr>
      <w:b/>
      <w:bCs w:val="0"/>
      <w:u w:val="single"/>
    </w:rPr>
  </w:style>
  <w:style w:type="character" w:customStyle="1" w:styleId="Deleted">
    <w:name w:val="Deleted"/>
    <w:rsid w:val="00653571"/>
    <w:rPr>
      <w:strike/>
    </w:rPr>
  </w:style>
  <w:style w:type="character" w:customStyle="1" w:styleId="leaf">
    <w:name w:val="leaf"/>
    <w:uiPriority w:val="99"/>
    <w:rsid w:val="00653571"/>
    <w:rPr>
      <w:rFonts w:ascii="Times New Roman" w:hAnsi="Times New Roman" w:cs="Times New Roman" w:hint="default"/>
    </w:rPr>
  </w:style>
  <w:style w:type="character" w:customStyle="1" w:styleId="style221">
    <w:name w:val="style221"/>
    <w:uiPriority w:val="99"/>
    <w:rsid w:val="00653571"/>
    <w:rPr>
      <w:rFonts w:ascii="Times New Roman" w:hAnsi="Times New Roman" w:cs="Times New Roman" w:hint="default"/>
      <w:b/>
      <w:bCs/>
      <w:color w:val="990000"/>
    </w:rPr>
  </w:style>
  <w:style w:type="character" w:customStyle="1" w:styleId="A1">
    <w:name w:val="A1"/>
    <w:uiPriority w:val="99"/>
    <w:rsid w:val="00653571"/>
    <w:rPr>
      <w:b/>
      <w:bCs w:val="0"/>
      <w:color w:val="000000"/>
      <w:sz w:val="80"/>
    </w:rPr>
  </w:style>
  <w:style w:type="character" w:customStyle="1" w:styleId="A2">
    <w:name w:val="A2"/>
    <w:uiPriority w:val="99"/>
    <w:rsid w:val="00653571"/>
    <w:rPr>
      <w:b/>
      <w:bCs w:val="0"/>
      <w:color w:val="000000"/>
      <w:sz w:val="48"/>
    </w:rPr>
  </w:style>
  <w:style w:type="character" w:customStyle="1" w:styleId="A3">
    <w:name w:val="A3"/>
    <w:uiPriority w:val="99"/>
    <w:rsid w:val="00653571"/>
    <w:rPr>
      <w:b/>
      <w:bCs w:val="0"/>
      <w:color w:val="000000"/>
      <w:sz w:val="32"/>
    </w:rPr>
  </w:style>
  <w:style w:type="character" w:customStyle="1" w:styleId="Funotenzeichen">
    <w:name w:val="Fußnotenzeichen"/>
    <w:rsid w:val="00653571"/>
    <w:rPr>
      <w:rFonts w:ascii="Times New Roman" w:hAnsi="Times New Roman" w:cs="Times New Roman" w:hint="default"/>
      <w:vertAlign w:val="superscript"/>
    </w:rPr>
  </w:style>
  <w:style w:type="character" w:customStyle="1" w:styleId="tlid-translation">
    <w:name w:val="tlid-translation"/>
    <w:rsid w:val="00653571"/>
  </w:style>
  <w:style w:type="character" w:customStyle="1" w:styleId="TeksttreciMaelitery">
    <w:name w:val="Tekst treści + Małe litery"/>
    <w:rsid w:val="00653571"/>
    <w:rPr>
      <w:rFonts w:ascii="AngsanaUPC" w:eastAsia="AngsanaUPC" w:hAnsi="AngsanaUPC" w:cs="AngsanaUPC" w:hint="default"/>
      <w:b w:val="0"/>
      <w:bCs w:val="0"/>
      <w:i w:val="0"/>
      <w:iCs w:val="0"/>
      <w:smallCaps/>
      <w:color w:val="000000"/>
      <w:spacing w:val="0"/>
      <w:w w:val="100"/>
      <w:position w:val="0"/>
      <w:sz w:val="34"/>
      <w:szCs w:val="34"/>
      <w:u w:val="single"/>
      <w:lang w:val="pl-PL"/>
    </w:rPr>
  </w:style>
  <w:style w:type="character" w:customStyle="1" w:styleId="apple-tab-span">
    <w:name w:val="apple-tab-span"/>
    <w:basedOn w:val="DefaultParagraphFont"/>
    <w:rsid w:val="00653571"/>
  </w:style>
  <w:style w:type="table" w:customStyle="1" w:styleId="TableGrid2">
    <w:name w:val="Table Grid2"/>
    <w:basedOn w:val="TableNormal"/>
    <w:next w:val="TableGrid"/>
    <w:uiPriority w:val="59"/>
    <w:rsid w:val="00653571"/>
    <w:pPr>
      <w:spacing w:after="0" w:line="240" w:lineRule="auto"/>
    </w:pPr>
    <w:rPr>
      <w:rFonts w:ascii="Calibri" w:eastAsia="Calibri"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653571"/>
    <w:pPr>
      <w:spacing w:after="0" w:line="240" w:lineRule="auto"/>
    </w:pPr>
    <w:rPr>
      <w:rFonts w:ascii="Calibri" w:eastAsia="Calibri" w:hAnsi="Calibri" w:cs="Arial"/>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3">
    <w:name w:val="Table Grid3"/>
    <w:basedOn w:val="TableNormal"/>
    <w:uiPriority w:val="59"/>
    <w:rsid w:val="00653571"/>
    <w:pPr>
      <w:spacing w:after="0" w:line="240" w:lineRule="auto"/>
    </w:pPr>
    <w:rPr>
      <w:rFonts w:ascii="Calibri" w:eastAsia="Calibri"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uiPriority w:val="59"/>
    <w:rsid w:val="0065357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uiPriority w:val="59"/>
    <w:rsid w:val="00653571"/>
    <w:pPr>
      <w:spacing w:before="120"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1">
    <w:name w:val="Table Grid Light11"/>
    <w:basedOn w:val="TableNormal"/>
    <w:uiPriority w:val="40"/>
    <w:rsid w:val="00653571"/>
    <w:pPr>
      <w:spacing w:after="0" w:line="240" w:lineRule="auto"/>
    </w:p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5">
    <w:name w:val="Table Grid5"/>
    <w:basedOn w:val="TableNormal"/>
    <w:uiPriority w:val="59"/>
    <w:rsid w:val="00653571"/>
    <w:pPr>
      <w:spacing w:before="120"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2">
    <w:name w:val="Table Grid Light12"/>
    <w:basedOn w:val="TableNormal"/>
    <w:uiPriority w:val="40"/>
    <w:rsid w:val="00653571"/>
    <w:pPr>
      <w:spacing w:after="0" w:line="240" w:lineRule="auto"/>
    </w:p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15">
    <w:name w:val="Table Grid15"/>
    <w:basedOn w:val="TableNormal"/>
    <w:uiPriority w:val="59"/>
    <w:rsid w:val="00653571"/>
    <w:pPr>
      <w:spacing w:after="0" w:line="240" w:lineRule="auto"/>
    </w:pPr>
    <w:rPr>
      <w:rFonts w:ascii="Calibri" w:eastAsia="Calibri"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uiPriority w:val="59"/>
    <w:rsid w:val="00653571"/>
    <w:pPr>
      <w:spacing w:after="0" w:line="240" w:lineRule="auto"/>
    </w:pPr>
    <w:rPr>
      <w:rFonts w:ascii="Calibri" w:eastAsia="Calibri"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4">
    <w:name w:val="List Number 4"/>
    <w:basedOn w:val="Text4"/>
    <w:semiHidden/>
    <w:unhideWhenUsed/>
    <w:rsid w:val="00653571"/>
    <w:pPr>
      <w:numPr>
        <w:numId w:val="48"/>
      </w:numPr>
      <w:spacing w:before="0" w:after="240" w:line="240" w:lineRule="auto"/>
      <w:jc w:val="both"/>
    </w:pPr>
    <w:rPr>
      <w:rFonts w:eastAsia="Times New Roman"/>
      <w:lang w:eastAsia="en-GB"/>
    </w:rPr>
  </w:style>
  <w:style w:type="paragraph" w:styleId="ListNumber2">
    <w:name w:val="List Number 2"/>
    <w:basedOn w:val="Text2"/>
    <w:semiHidden/>
    <w:unhideWhenUsed/>
    <w:rsid w:val="00653571"/>
    <w:pPr>
      <w:numPr>
        <w:numId w:val="46"/>
      </w:numPr>
      <w:spacing w:before="0" w:after="240" w:line="240" w:lineRule="auto"/>
      <w:jc w:val="both"/>
    </w:pPr>
    <w:rPr>
      <w:rFonts w:eastAsia="Times New Roman"/>
      <w:lang w:eastAsia="en-GB"/>
    </w:rPr>
  </w:style>
  <w:style w:type="paragraph" w:styleId="ListNumber3">
    <w:name w:val="List Number 3"/>
    <w:basedOn w:val="Text3"/>
    <w:semiHidden/>
    <w:unhideWhenUsed/>
    <w:rsid w:val="00653571"/>
    <w:pPr>
      <w:numPr>
        <w:numId w:val="47"/>
      </w:numPr>
      <w:spacing w:before="0" w:after="240" w:line="240" w:lineRule="auto"/>
      <w:jc w:val="both"/>
    </w:pPr>
    <w:rPr>
      <w:rFonts w:eastAsia="Times New Roman"/>
      <w:lang w:eastAsia="en-GB"/>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653571"/>
    <w:pPr>
      <w:spacing w:before="240" w:after="160" w:line="240" w:lineRule="exact"/>
      <w:jc w:val="both"/>
    </w:pPr>
    <w:rPr>
      <w:b/>
      <w:vertAlign w:val="superscript"/>
      <w:lang w:val="en-US"/>
    </w:rPr>
  </w:style>
  <w:style w:type="paragraph" w:customStyle="1" w:styleId="Focus">
    <w:name w:val="Focus"/>
    <w:basedOn w:val="Normal"/>
    <w:link w:val="FocusChar"/>
    <w:qFormat/>
    <w:rsid w:val="00653571"/>
    <w:pPr>
      <w:keepNext/>
      <w:spacing w:before="120" w:after="120" w:line="259" w:lineRule="auto"/>
      <w:jc w:val="both"/>
    </w:pPr>
    <w:rPr>
      <w:rFonts w:ascii="Calibri" w:eastAsia="SimSun" w:hAnsi="Calibri" w:cs="Cambria"/>
      <w:b/>
      <w:bCs/>
      <w:caps/>
      <w:color w:val="44546A"/>
      <w:sz w:val="24"/>
      <w:lang w:val="lt-LT"/>
    </w:rPr>
  </w:style>
  <w:style w:type="character" w:customStyle="1" w:styleId="FocusChar">
    <w:name w:val="Focus Char"/>
    <w:link w:val="Focus"/>
    <w:rsid w:val="00653571"/>
    <w:rPr>
      <w:rFonts w:ascii="Calibri" w:eastAsia="SimSun" w:hAnsi="Calibri" w:cs="Cambria"/>
      <w:b/>
      <w:bCs/>
      <w:caps/>
      <w:color w:val="44546A"/>
      <w:sz w:val="24"/>
      <w:lang w:val="lt-LT"/>
    </w:rPr>
  </w:style>
  <w:style w:type="character" w:customStyle="1" w:styleId="italic">
    <w:name w:val="italic"/>
    <w:basedOn w:val="DefaultParagraphFont"/>
    <w:rsid w:val="00653571"/>
  </w:style>
  <w:style w:type="character" w:customStyle="1" w:styleId="strike">
    <w:name w:val="strike"/>
    <w:basedOn w:val="DefaultParagraphFont"/>
    <w:rsid w:val="00653571"/>
  </w:style>
  <w:style w:type="character" w:customStyle="1" w:styleId="UnresolvedMention1">
    <w:name w:val="Unresolved Mention1"/>
    <w:basedOn w:val="DefaultParagraphFont"/>
    <w:uiPriority w:val="99"/>
    <w:semiHidden/>
    <w:unhideWhenUsed/>
    <w:rsid w:val="00653571"/>
    <w:rPr>
      <w:color w:val="605E5C"/>
      <w:shd w:val="clear" w:color="auto" w:fill="E1DFDD"/>
    </w:rPr>
  </w:style>
  <w:style w:type="paragraph" w:customStyle="1" w:styleId="CharChar6CharCharCharCharCharCharCharChar">
    <w:name w:val="Char Char6 Char Char Char Char Char Char Char Char"/>
    <w:basedOn w:val="Normal"/>
    <w:rsid w:val="00653571"/>
    <w:pPr>
      <w:spacing w:after="0" w:line="240" w:lineRule="auto"/>
    </w:pPr>
    <w:rPr>
      <w:rFonts w:ascii="Times New Roman" w:eastAsia="Times New Roman" w:hAnsi="Times New Roman" w:cs="Times New Roman"/>
      <w:sz w:val="24"/>
      <w:szCs w:val="24"/>
      <w:lang w:val="pl-PL" w:eastAsia="pl-PL"/>
    </w:rPr>
  </w:style>
  <w:style w:type="character" w:customStyle="1" w:styleId="MeniuneNerezolvat1">
    <w:name w:val="Mențiune Nerezolvat1"/>
    <w:basedOn w:val="DefaultParagraphFont"/>
    <w:uiPriority w:val="99"/>
    <w:semiHidden/>
    <w:unhideWhenUsed/>
    <w:rsid w:val="00653571"/>
    <w:rPr>
      <w:color w:val="605E5C"/>
      <w:shd w:val="clear" w:color="auto" w:fill="E1DFDD"/>
    </w:rPr>
  </w:style>
  <w:style w:type="paragraph" w:customStyle="1" w:styleId="yiv2613107325gmail-msocommenttext">
    <w:name w:val="yiv2613107325gmail-msocommenttext"/>
    <w:basedOn w:val="Normal"/>
    <w:rsid w:val="00653571"/>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yiv2613107325msonormal">
    <w:name w:val="yiv2613107325msonormal"/>
    <w:basedOn w:val="Normal"/>
    <w:rsid w:val="0065357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Revision">
    <w:name w:val="Revision"/>
    <w:hidden/>
    <w:uiPriority w:val="99"/>
    <w:semiHidden/>
    <w:rsid w:val="00653571"/>
    <w:pPr>
      <w:spacing w:after="0" w:line="240" w:lineRule="auto"/>
    </w:pPr>
    <w:rPr>
      <w:lang w:val="ro-RO"/>
    </w:rPr>
  </w:style>
  <w:style w:type="paragraph" w:styleId="TOCHeading">
    <w:name w:val="TOC Heading"/>
    <w:basedOn w:val="Heading1"/>
    <w:next w:val="Normal"/>
    <w:uiPriority w:val="39"/>
    <w:unhideWhenUsed/>
    <w:qFormat/>
    <w:rsid w:val="00E631AE"/>
    <w:pPr>
      <w:keepLines/>
      <w:numPr>
        <w:numId w:val="0"/>
      </w:numPr>
      <w:spacing w:before="240" w:after="0" w:line="259" w:lineRule="auto"/>
      <w:jc w:val="left"/>
      <w:outlineLvl w:val="9"/>
    </w:pPr>
    <w:rPr>
      <w:rFonts w:asciiTheme="majorHAnsi" w:eastAsiaTheme="majorEastAsia" w:hAnsiTheme="majorHAnsi" w:cstheme="majorBidi"/>
      <w:b w:val="0"/>
      <w:smallCaps w:val="0"/>
      <w:color w:val="2F5496" w:themeColor="accent1" w:themeShade="BF"/>
      <w:sz w:val="32"/>
      <w:szCs w:val="32"/>
    </w:rPr>
  </w:style>
  <w:style w:type="paragraph" w:styleId="TOC2">
    <w:name w:val="toc 2"/>
    <w:basedOn w:val="Normal"/>
    <w:next w:val="Normal"/>
    <w:autoRedefine/>
    <w:uiPriority w:val="39"/>
    <w:unhideWhenUsed/>
    <w:rsid w:val="00E631AE"/>
    <w:pPr>
      <w:spacing w:after="100" w:line="259" w:lineRule="auto"/>
      <w:ind w:left="220"/>
    </w:pPr>
    <w:rPr>
      <w:rFonts w:eastAsiaTheme="minorEastAsia" w:cs="Times New Roman"/>
      <w:lang w:val="en-US"/>
    </w:rPr>
  </w:style>
  <w:style w:type="paragraph" w:styleId="TOC1">
    <w:name w:val="toc 1"/>
    <w:basedOn w:val="Normal"/>
    <w:next w:val="Normal"/>
    <w:autoRedefine/>
    <w:uiPriority w:val="39"/>
    <w:unhideWhenUsed/>
    <w:rsid w:val="00E631AE"/>
    <w:pPr>
      <w:spacing w:after="100" w:line="259" w:lineRule="auto"/>
    </w:pPr>
    <w:rPr>
      <w:rFonts w:eastAsiaTheme="minorEastAsia" w:cs="Times New Roman"/>
      <w:lang w:val="en-US"/>
    </w:rPr>
  </w:style>
  <w:style w:type="paragraph" w:styleId="TOC3">
    <w:name w:val="toc 3"/>
    <w:basedOn w:val="Normal"/>
    <w:next w:val="Normal"/>
    <w:autoRedefine/>
    <w:uiPriority w:val="39"/>
    <w:unhideWhenUsed/>
    <w:rsid w:val="00E631AE"/>
    <w:pPr>
      <w:spacing w:after="100" w:line="259" w:lineRule="auto"/>
      <w:ind w:left="440"/>
    </w:pPr>
    <w:rPr>
      <w:rFonts w:eastAsiaTheme="minorEastAsia" w:cs="Times New Roman"/>
      <w:lang w:val="en-US"/>
    </w:rPr>
  </w:style>
  <w:style w:type="paragraph" w:styleId="HTMLPreformatted">
    <w:name w:val="HTML Preformatted"/>
    <w:basedOn w:val="Normal"/>
    <w:link w:val="HTMLPreformattedChar"/>
    <w:uiPriority w:val="99"/>
    <w:unhideWhenUsed/>
    <w:rsid w:val="002463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rsid w:val="002463EC"/>
    <w:rPr>
      <w:rFonts w:ascii="Courier New" w:eastAsia="Times New Roman" w:hAnsi="Courier New" w:cs="Courier New"/>
      <w:sz w:val="20"/>
      <w:szCs w:val="20"/>
      <w:lang w:val="ro-RO" w:eastAsia="en-GB"/>
    </w:rPr>
  </w:style>
  <w:style w:type="character" w:customStyle="1" w:styleId="UnresolvedMention2">
    <w:name w:val="Unresolved Mention2"/>
    <w:basedOn w:val="DefaultParagraphFont"/>
    <w:uiPriority w:val="99"/>
    <w:semiHidden/>
    <w:unhideWhenUsed/>
    <w:rsid w:val="00D21C64"/>
    <w:rPr>
      <w:color w:val="605E5C"/>
      <w:shd w:val="clear" w:color="auto" w:fill="E1DFDD"/>
    </w:rPr>
  </w:style>
  <w:style w:type="character" w:styleId="FollowedHyperlink">
    <w:name w:val="FollowedHyperlink"/>
    <w:basedOn w:val="DefaultParagraphFont"/>
    <w:uiPriority w:val="99"/>
    <w:semiHidden/>
    <w:unhideWhenUsed/>
    <w:rsid w:val="00C16DD3"/>
    <w:rPr>
      <w:color w:val="954F72" w:themeColor="followedHyperlink"/>
      <w:u w:val="single"/>
    </w:rPr>
  </w:style>
  <w:style w:type="character" w:customStyle="1" w:styleId="UnresolvedMention3">
    <w:name w:val="Unresolved Mention3"/>
    <w:basedOn w:val="DefaultParagraphFont"/>
    <w:uiPriority w:val="99"/>
    <w:semiHidden/>
    <w:unhideWhenUsed/>
    <w:rsid w:val="00A31282"/>
    <w:rPr>
      <w:color w:val="605E5C"/>
      <w:shd w:val="clear" w:color="auto" w:fill="E1DFDD"/>
    </w:rPr>
  </w:style>
  <w:style w:type="character" w:customStyle="1" w:styleId="BulletChar">
    <w:name w:val="Bullet Char"/>
    <w:basedOn w:val="DefaultParagraphFont"/>
    <w:link w:val="Bullet"/>
    <w:rsid w:val="00481CE8"/>
    <w:rPr>
      <w:rFonts w:ascii="Times New Roman" w:hAnsi="Times New Roman" w:cs="Times New Roman"/>
      <w:sz w:val="24"/>
      <w:lang w:val="en-GB"/>
    </w:rPr>
  </w:style>
  <w:style w:type="character" w:styleId="UnresolvedMention">
    <w:name w:val="Unresolved Mention"/>
    <w:basedOn w:val="DefaultParagraphFont"/>
    <w:uiPriority w:val="99"/>
    <w:semiHidden/>
    <w:unhideWhenUsed/>
    <w:rsid w:val="00A531B5"/>
    <w:rPr>
      <w:color w:val="605E5C"/>
      <w:shd w:val="clear" w:color="auto" w:fill="E1DFDD"/>
    </w:rPr>
  </w:style>
  <w:style w:type="character" w:customStyle="1" w:styleId="FootnoteTextChar1">
    <w:name w:val="Footnote Text Char1"/>
    <w:aliases w:val="single space Char1,Fußnote Char1,Footnote Text Char Char Char1,FOOTNOTES Char1,fn Char2,Podrozdział Char1,fn Char Char Char Char1,fn Char Char Char2,fn Char Char2,Fußnote Char Char Char Char2,Fußnote Char Char Char Char Char,ft Char"/>
    <w:uiPriority w:val="99"/>
    <w:locked/>
    <w:rsid w:val="00076758"/>
    <w:rPr>
      <w:rFonts w:ascii="Calibri" w:hAnsi="Calibri" w:cs="Times New Roman"/>
      <w:lang w:val="en-GB" w:eastAsia="en-US" w:bidi="ar-SA"/>
    </w:rPr>
  </w:style>
  <w:style w:type="paragraph" w:styleId="Caption">
    <w:name w:val="caption"/>
    <w:aliases w:val="JR|Beschriftung"/>
    <w:basedOn w:val="Normal"/>
    <w:next w:val="Normal"/>
    <w:qFormat/>
    <w:rsid w:val="00076758"/>
    <w:pPr>
      <w:spacing w:before="120" w:after="120" w:line="240" w:lineRule="auto"/>
      <w:ind w:firstLine="709"/>
    </w:pPr>
    <w:rPr>
      <w:rFonts w:ascii="Calibri" w:eastAsia="Times New Roman" w:hAnsi="Calibri" w:cs="Times New Roman"/>
      <w:b/>
      <w:bCs/>
      <w:sz w:val="20"/>
      <w:szCs w:val="20"/>
      <w:lang w:eastAsia="ro-RO"/>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uiPriority w:val="99"/>
    <w:qFormat/>
    <w:rsid w:val="00053954"/>
    <w:pPr>
      <w:spacing w:after="160" w:line="240" w:lineRule="exact"/>
    </w:pPr>
    <w:rPr>
      <w:rFonts w:eastAsia="SimSun" w:cs="Cambria"/>
      <w:vertAlign w:val="superscript"/>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390450">
      <w:bodyDiv w:val="1"/>
      <w:marLeft w:val="0"/>
      <w:marRight w:val="0"/>
      <w:marTop w:val="0"/>
      <w:marBottom w:val="0"/>
      <w:divBdr>
        <w:top w:val="none" w:sz="0" w:space="0" w:color="auto"/>
        <w:left w:val="none" w:sz="0" w:space="0" w:color="auto"/>
        <w:bottom w:val="none" w:sz="0" w:space="0" w:color="auto"/>
        <w:right w:val="none" w:sz="0" w:space="0" w:color="auto"/>
      </w:divBdr>
    </w:div>
    <w:div w:id="273751324">
      <w:bodyDiv w:val="1"/>
      <w:marLeft w:val="0"/>
      <w:marRight w:val="0"/>
      <w:marTop w:val="0"/>
      <w:marBottom w:val="0"/>
      <w:divBdr>
        <w:top w:val="none" w:sz="0" w:space="0" w:color="auto"/>
        <w:left w:val="none" w:sz="0" w:space="0" w:color="auto"/>
        <w:bottom w:val="none" w:sz="0" w:space="0" w:color="auto"/>
        <w:right w:val="none" w:sz="0" w:space="0" w:color="auto"/>
      </w:divBdr>
    </w:div>
    <w:div w:id="405346643">
      <w:bodyDiv w:val="1"/>
      <w:marLeft w:val="0"/>
      <w:marRight w:val="0"/>
      <w:marTop w:val="0"/>
      <w:marBottom w:val="0"/>
      <w:divBdr>
        <w:top w:val="none" w:sz="0" w:space="0" w:color="auto"/>
        <w:left w:val="none" w:sz="0" w:space="0" w:color="auto"/>
        <w:bottom w:val="none" w:sz="0" w:space="0" w:color="auto"/>
        <w:right w:val="none" w:sz="0" w:space="0" w:color="auto"/>
      </w:divBdr>
    </w:div>
    <w:div w:id="551232429">
      <w:bodyDiv w:val="1"/>
      <w:marLeft w:val="0"/>
      <w:marRight w:val="0"/>
      <w:marTop w:val="0"/>
      <w:marBottom w:val="0"/>
      <w:divBdr>
        <w:top w:val="none" w:sz="0" w:space="0" w:color="auto"/>
        <w:left w:val="none" w:sz="0" w:space="0" w:color="auto"/>
        <w:bottom w:val="none" w:sz="0" w:space="0" w:color="auto"/>
        <w:right w:val="none" w:sz="0" w:space="0" w:color="auto"/>
      </w:divBdr>
    </w:div>
    <w:div w:id="665789116">
      <w:bodyDiv w:val="1"/>
      <w:marLeft w:val="0"/>
      <w:marRight w:val="0"/>
      <w:marTop w:val="0"/>
      <w:marBottom w:val="0"/>
      <w:divBdr>
        <w:top w:val="none" w:sz="0" w:space="0" w:color="auto"/>
        <w:left w:val="none" w:sz="0" w:space="0" w:color="auto"/>
        <w:bottom w:val="none" w:sz="0" w:space="0" w:color="auto"/>
        <w:right w:val="none" w:sz="0" w:space="0" w:color="auto"/>
      </w:divBdr>
    </w:div>
    <w:div w:id="701904477">
      <w:bodyDiv w:val="1"/>
      <w:marLeft w:val="0"/>
      <w:marRight w:val="0"/>
      <w:marTop w:val="0"/>
      <w:marBottom w:val="0"/>
      <w:divBdr>
        <w:top w:val="none" w:sz="0" w:space="0" w:color="auto"/>
        <w:left w:val="none" w:sz="0" w:space="0" w:color="auto"/>
        <w:bottom w:val="none" w:sz="0" w:space="0" w:color="auto"/>
        <w:right w:val="none" w:sz="0" w:space="0" w:color="auto"/>
      </w:divBdr>
    </w:div>
    <w:div w:id="855844351">
      <w:bodyDiv w:val="1"/>
      <w:marLeft w:val="0"/>
      <w:marRight w:val="0"/>
      <w:marTop w:val="0"/>
      <w:marBottom w:val="0"/>
      <w:divBdr>
        <w:top w:val="none" w:sz="0" w:space="0" w:color="auto"/>
        <w:left w:val="none" w:sz="0" w:space="0" w:color="auto"/>
        <w:bottom w:val="none" w:sz="0" w:space="0" w:color="auto"/>
        <w:right w:val="none" w:sz="0" w:space="0" w:color="auto"/>
      </w:divBdr>
    </w:div>
    <w:div w:id="969021725">
      <w:bodyDiv w:val="1"/>
      <w:marLeft w:val="0"/>
      <w:marRight w:val="0"/>
      <w:marTop w:val="0"/>
      <w:marBottom w:val="0"/>
      <w:divBdr>
        <w:top w:val="none" w:sz="0" w:space="0" w:color="auto"/>
        <w:left w:val="none" w:sz="0" w:space="0" w:color="auto"/>
        <w:bottom w:val="none" w:sz="0" w:space="0" w:color="auto"/>
        <w:right w:val="none" w:sz="0" w:space="0" w:color="auto"/>
      </w:divBdr>
    </w:div>
    <w:div w:id="1011755928">
      <w:bodyDiv w:val="1"/>
      <w:marLeft w:val="0"/>
      <w:marRight w:val="0"/>
      <w:marTop w:val="0"/>
      <w:marBottom w:val="0"/>
      <w:divBdr>
        <w:top w:val="none" w:sz="0" w:space="0" w:color="auto"/>
        <w:left w:val="none" w:sz="0" w:space="0" w:color="auto"/>
        <w:bottom w:val="none" w:sz="0" w:space="0" w:color="auto"/>
        <w:right w:val="none" w:sz="0" w:space="0" w:color="auto"/>
      </w:divBdr>
    </w:div>
    <w:div w:id="1044524789">
      <w:bodyDiv w:val="1"/>
      <w:marLeft w:val="0"/>
      <w:marRight w:val="0"/>
      <w:marTop w:val="0"/>
      <w:marBottom w:val="0"/>
      <w:divBdr>
        <w:top w:val="none" w:sz="0" w:space="0" w:color="auto"/>
        <w:left w:val="none" w:sz="0" w:space="0" w:color="auto"/>
        <w:bottom w:val="none" w:sz="0" w:space="0" w:color="auto"/>
        <w:right w:val="none" w:sz="0" w:space="0" w:color="auto"/>
      </w:divBdr>
    </w:div>
    <w:div w:id="1133018318">
      <w:bodyDiv w:val="1"/>
      <w:marLeft w:val="0"/>
      <w:marRight w:val="0"/>
      <w:marTop w:val="0"/>
      <w:marBottom w:val="0"/>
      <w:divBdr>
        <w:top w:val="none" w:sz="0" w:space="0" w:color="auto"/>
        <w:left w:val="none" w:sz="0" w:space="0" w:color="auto"/>
        <w:bottom w:val="none" w:sz="0" w:space="0" w:color="auto"/>
        <w:right w:val="none" w:sz="0" w:space="0" w:color="auto"/>
      </w:divBdr>
    </w:div>
    <w:div w:id="1250388739">
      <w:bodyDiv w:val="1"/>
      <w:marLeft w:val="0"/>
      <w:marRight w:val="0"/>
      <w:marTop w:val="0"/>
      <w:marBottom w:val="0"/>
      <w:divBdr>
        <w:top w:val="none" w:sz="0" w:space="0" w:color="auto"/>
        <w:left w:val="none" w:sz="0" w:space="0" w:color="auto"/>
        <w:bottom w:val="none" w:sz="0" w:space="0" w:color="auto"/>
        <w:right w:val="none" w:sz="0" w:space="0" w:color="auto"/>
      </w:divBdr>
    </w:div>
    <w:div w:id="1283272010">
      <w:bodyDiv w:val="1"/>
      <w:marLeft w:val="0"/>
      <w:marRight w:val="0"/>
      <w:marTop w:val="0"/>
      <w:marBottom w:val="0"/>
      <w:divBdr>
        <w:top w:val="none" w:sz="0" w:space="0" w:color="auto"/>
        <w:left w:val="none" w:sz="0" w:space="0" w:color="auto"/>
        <w:bottom w:val="none" w:sz="0" w:space="0" w:color="auto"/>
        <w:right w:val="none" w:sz="0" w:space="0" w:color="auto"/>
      </w:divBdr>
    </w:div>
    <w:div w:id="1384405846">
      <w:bodyDiv w:val="1"/>
      <w:marLeft w:val="0"/>
      <w:marRight w:val="0"/>
      <w:marTop w:val="0"/>
      <w:marBottom w:val="0"/>
      <w:divBdr>
        <w:top w:val="none" w:sz="0" w:space="0" w:color="auto"/>
        <w:left w:val="none" w:sz="0" w:space="0" w:color="auto"/>
        <w:bottom w:val="none" w:sz="0" w:space="0" w:color="auto"/>
        <w:right w:val="none" w:sz="0" w:space="0" w:color="auto"/>
      </w:divBdr>
    </w:div>
    <w:div w:id="1407460232">
      <w:bodyDiv w:val="1"/>
      <w:marLeft w:val="0"/>
      <w:marRight w:val="0"/>
      <w:marTop w:val="0"/>
      <w:marBottom w:val="0"/>
      <w:divBdr>
        <w:top w:val="none" w:sz="0" w:space="0" w:color="auto"/>
        <w:left w:val="none" w:sz="0" w:space="0" w:color="auto"/>
        <w:bottom w:val="none" w:sz="0" w:space="0" w:color="auto"/>
        <w:right w:val="none" w:sz="0" w:space="0" w:color="auto"/>
      </w:divBdr>
    </w:div>
    <w:div w:id="1407651360">
      <w:bodyDiv w:val="1"/>
      <w:marLeft w:val="0"/>
      <w:marRight w:val="0"/>
      <w:marTop w:val="0"/>
      <w:marBottom w:val="0"/>
      <w:divBdr>
        <w:top w:val="none" w:sz="0" w:space="0" w:color="auto"/>
        <w:left w:val="none" w:sz="0" w:space="0" w:color="auto"/>
        <w:bottom w:val="none" w:sz="0" w:space="0" w:color="auto"/>
        <w:right w:val="none" w:sz="0" w:space="0" w:color="auto"/>
      </w:divBdr>
    </w:div>
    <w:div w:id="1478961426">
      <w:bodyDiv w:val="1"/>
      <w:marLeft w:val="0"/>
      <w:marRight w:val="0"/>
      <w:marTop w:val="0"/>
      <w:marBottom w:val="0"/>
      <w:divBdr>
        <w:top w:val="none" w:sz="0" w:space="0" w:color="auto"/>
        <w:left w:val="none" w:sz="0" w:space="0" w:color="auto"/>
        <w:bottom w:val="none" w:sz="0" w:space="0" w:color="auto"/>
        <w:right w:val="none" w:sz="0" w:space="0" w:color="auto"/>
      </w:divBdr>
    </w:div>
    <w:div w:id="1499930347">
      <w:bodyDiv w:val="1"/>
      <w:marLeft w:val="0"/>
      <w:marRight w:val="0"/>
      <w:marTop w:val="0"/>
      <w:marBottom w:val="0"/>
      <w:divBdr>
        <w:top w:val="none" w:sz="0" w:space="0" w:color="auto"/>
        <w:left w:val="none" w:sz="0" w:space="0" w:color="auto"/>
        <w:bottom w:val="none" w:sz="0" w:space="0" w:color="auto"/>
        <w:right w:val="none" w:sz="0" w:space="0" w:color="auto"/>
      </w:divBdr>
    </w:div>
    <w:div w:id="1718237308">
      <w:bodyDiv w:val="1"/>
      <w:marLeft w:val="0"/>
      <w:marRight w:val="0"/>
      <w:marTop w:val="0"/>
      <w:marBottom w:val="0"/>
      <w:divBdr>
        <w:top w:val="none" w:sz="0" w:space="0" w:color="auto"/>
        <w:left w:val="none" w:sz="0" w:space="0" w:color="auto"/>
        <w:bottom w:val="none" w:sz="0" w:space="0" w:color="auto"/>
        <w:right w:val="none" w:sz="0" w:space="0" w:color="auto"/>
      </w:divBdr>
    </w:div>
    <w:div w:id="1763602585">
      <w:bodyDiv w:val="1"/>
      <w:marLeft w:val="0"/>
      <w:marRight w:val="0"/>
      <w:marTop w:val="0"/>
      <w:marBottom w:val="0"/>
      <w:divBdr>
        <w:top w:val="none" w:sz="0" w:space="0" w:color="auto"/>
        <w:left w:val="none" w:sz="0" w:space="0" w:color="auto"/>
        <w:bottom w:val="none" w:sz="0" w:space="0" w:color="auto"/>
        <w:right w:val="none" w:sz="0" w:space="0" w:color="auto"/>
      </w:divBdr>
    </w:div>
    <w:div w:id="1768117754">
      <w:bodyDiv w:val="1"/>
      <w:marLeft w:val="0"/>
      <w:marRight w:val="0"/>
      <w:marTop w:val="0"/>
      <w:marBottom w:val="0"/>
      <w:divBdr>
        <w:top w:val="none" w:sz="0" w:space="0" w:color="auto"/>
        <w:left w:val="none" w:sz="0" w:space="0" w:color="auto"/>
        <w:bottom w:val="none" w:sz="0" w:space="0" w:color="auto"/>
        <w:right w:val="none" w:sz="0" w:space="0" w:color="auto"/>
      </w:divBdr>
    </w:div>
    <w:div w:id="1781874090">
      <w:bodyDiv w:val="1"/>
      <w:marLeft w:val="0"/>
      <w:marRight w:val="0"/>
      <w:marTop w:val="0"/>
      <w:marBottom w:val="0"/>
      <w:divBdr>
        <w:top w:val="none" w:sz="0" w:space="0" w:color="auto"/>
        <w:left w:val="none" w:sz="0" w:space="0" w:color="auto"/>
        <w:bottom w:val="none" w:sz="0" w:space="0" w:color="auto"/>
        <w:right w:val="none" w:sz="0" w:space="0" w:color="auto"/>
      </w:divBdr>
      <w:divsChild>
        <w:div w:id="960265254">
          <w:marLeft w:val="0"/>
          <w:marRight w:val="0"/>
          <w:marTop w:val="0"/>
          <w:marBottom w:val="0"/>
          <w:divBdr>
            <w:top w:val="none" w:sz="0" w:space="0" w:color="auto"/>
            <w:left w:val="none" w:sz="0" w:space="0" w:color="auto"/>
            <w:bottom w:val="none" w:sz="0" w:space="0" w:color="auto"/>
            <w:right w:val="none" w:sz="0" w:space="0" w:color="auto"/>
          </w:divBdr>
        </w:div>
      </w:divsChild>
    </w:div>
    <w:div w:id="1850287395">
      <w:bodyDiv w:val="1"/>
      <w:marLeft w:val="0"/>
      <w:marRight w:val="0"/>
      <w:marTop w:val="0"/>
      <w:marBottom w:val="0"/>
      <w:divBdr>
        <w:top w:val="none" w:sz="0" w:space="0" w:color="auto"/>
        <w:left w:val="none" w:sz="0" w:space="0" w:color="auto"/>
        <w:bottom w:val="none" w:sz="0" w:space="0" w:color="auto"/>
        <w:right w:val="none" w:sz="0" w:space="0" w:color="auto"/>
      </w:divBdr>
    </w:div>
    <w:div w:id="1865708322">
      <w:bodyDiv w:val="1"/>
      <w:marLeft w:val="0"/>
      <w:marRight w:val="0"/>
      <w:marTop w:val="0"/>
      <w:marBottom w:val="0"/>
      <w:divBdr>
        <w:top w:val="none" w:sz="0" w:space="0" w:color="auto"/>
        <w:left w:val="none" w:sz="0" w:space="0" w:color="auto"/>
        <w:bottom w:val="none" w:sz="0" w:space="0" w:color="auto"/>
        <w:right w:val="none" w:sz="0" w:space="0" w:color="auto"/>
      </w:divBdr>
    </w:div>
    <w:div w:id="1914851029">
      <w:bodyDiv w:val="1"/>
      <w:marLeft w:val="0"/>
      <w:marRight w:val="0"/>
      <w:marTop w:val="0"/>
      <w:marBottom w:val="0"/>
      <w:divBdr>
        <w:top w:val="none" w:sz="0" w:space="0" w:color="auto"/>
        <w:left w:val="none" w:sz="0" w:space="0" w:color="auto"/>
        <w:bottom w:val="none" w:sz="0" w:space="0" w:color="auto"/>
        <w:right w:val="none" w:sz="0" w:space="0" w:color="auto"/>
      </w:divBdr>
    </w:div>
    <w:div w:id="1916469953">
      <w:bodyDiv w:val="1"/>
      <w:marLeft w:val="0"/>
      <w:marRight w:val="0"/>
      <w:marTop w:val="0"/>
      <w:marBottom w:val="0"/>
      <w:divBdr>
        <w:top w:val="none" w:sz="0" w:space="0" w:color="auto"/>
        <w:left w:val="none" w:sz="0" w:space="0" w:color="auto"/>
        <w:bottom w:val="none" w:sz="0" w:space="0" w:color="auto"/>
        <w:right w:val="none" w:sz="0" w:space="0" w:color="auto"/>
      </w:divBdr>
    </w:div>
    <w:div w:id="1978608591">
      <w:bodyDiv w:val="1"/>
      <w:marLeft w:val="0"/>
      <w:marRight w:val="0"/>
      <w:marTop w:val="0"/>
      <w:marBottom w:val="0"/>
      <w:divBdr>
        <w:top w:val="none" w:sz="0" w:space="0" w:color="auto"/>
        <w:left w:val="none" w:sz="0" w:space="0" w:color="auto"/>
        <w:bottom w:val="none" w:sz="0" w:space="0" w:color="auto"/>
        <w:right w:val="none" w:sz="0" w:space="0" w:color="auto"/>
      </w:divBdr>
    </w:div>
    <w:div w:id="2064791222">
      <w:bodyDiv w:val="1"/>
      <w:marLeft w:val="0"/>
      <w:marRight w:val="0"/>
      <w:marTop w:val="0"/>
      <w:marBottom w:val="0"/>
      <w:divBdr>
        <w:top w:val="none" w:sz="0" w:space="0" w:color="auto"/>
        <w:left w:val="none" w:sz="0" w:space="0" w:color="auto"/>
        <w:bottom w:val="none" w:sz="0" w:space="0" w:color="auto"/>
        <w:right w:val="none" w:sz="0" w:space="0" w:color="auto"/>
      </w:divBdr>
    </w:div>
    <w:div w:id="2077976077">
      <w:bodyDiv w:val="1"/>
      <w:marLeft w:val="0"/>
      <w:marRight w:val="0"/>
      <w:marTop w:val="0"/>
      <w:marBottom w:val="0"/>
      <w:divBdr>
        <w:top w:val="none" w:sz="0" w:space="0" w:color="auto"/>
        <w:left w:val="none" w:sz="0" w:space="0" w:color="auto"/>
        <w:bottom w:val="none" w:sz="0" w:space="0" w:color="auto"/>
        <w:right w:val="none" w:sz="0" w:space="0" w:color="auto"/>
      </w:divBdr>
    </w:div>
    <w:div w:id="2134596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nord-vest.ro" TargetMode="Externa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footer" Target="footer8.xml"/></Relationships>
</file>

<file path=word/_rels/footnotes.xml.rels><?xml version="1.0" encoding="UTF-8" standalone="yes"?>
<Relationships xmlns="http://schemas.openxmlformats.org/package/2006/relationships"><Relationship Id="rId8" Type="http://schemas.openxmlformats.org/officeDocument/2006/relationships/hyperlink" Target="https://www.edu.ro/sites/default/files/Strategie%20SMIE%2023.04.2018.pdf" TargetMode="External"/><Relationship Id="rId13" Type="http://schemas.openxmlformats.org/officeDocument/2006/relationships/hyperlink" Target="https://www.nord-vest.ro/wp-content/uploads/2018/07/RIS3-NV-190301.pdf" TargetMode="External"/><Relationship Id="rId3" Type="http://schemas.openxmlformats.org/officeDocument/2006/relationships/hyperlink" Target="https://appsso.eurostat.ec.europa.eu/nui/setupDownloads.do" TargetMode="External"/><Relationship Id="rId7" Type="http://schemas.openxmlformats.org/officeDocument/2006/relationships/hyperlink" Target="http://documents1.worldbank.org/curated/en/857001468293738087/pdf/882420WP0P1430085232B00OUO0900Atlas.pdf" TargetMode="External"/><Relationship Id="rId12" Type="http://schemas.openxmlformats.org/officeDocument/2006/relationships/hyperlink" Target="https://www.europarl.europa.eu/doceo/document/TA-8-2019-0303_RO.html" TargetMode="External"/><Relationship Id="rId2" Type="http://schemas.openxmlformats.org/officeDocument/2006/relationships/hyperlink" Target="https://ec.europa.eu/regional_policy/en/information/maps/regional_competitiveness/" TargetMode="External"/><Relationship Id="rId1" Type="http://schemas.openxmlformats.org/officeDocument/2006/relationships/hyperlink" Target="https://appsso.eurostat.ec.europa.eu/nui/setupDownloads.do" TargetMode="External"/><Relationship Id="rId6" Type="http://schemas.openxmlformats.org/officeDocument/2006/relationships/hyperlink" Target="https://www.nord-vest.ro/wp-content/uploads/2020/02/0.-Profil-socio-economic-Regiunea-Nord-Vest-draft-1.pdf" TargetMode="External"/><Relationship Id="rId11" Type="http://schemas.openxmlformats.org/officeDocument/2006/relationships/hyperlink" Target="https://www.europarl.europa.eu/doceo/document/TA-8-2019-0303_RO.html" TargetMode="External"/><Relationship Id="rId5" Type="http://schemas.openxmlformats.org/officeDocument/2006/relationships/hyperlink" Target="https://www.nord-vest.ro/wp-content/uploads/2018/07/RIS3-NV-190301.pdf" TargetMode="External"/><Relationship Id="rId10" Type="http://schemas.openxmlformats.org/officeDocument/2006/relationships/hyperlink" Target="https://doi.org/10.1787/9b71c8d8-en" TargetMode="External"/><Relationship Id="rId4" Type="http://schemas.openxmlformats.org/officeDocument/2006/relationships/hyperlink" Target="https://ec.europa.eu/regional_policy/sources/docgener/work/rci2019_scorecards.pdf" TargetMode="External"/><Relationship Id="rId9" Type="http://schemas.openxmlformats.org/officeDocument/2006/relationships/hyperlink" Target="https://danube-region.eu/wp-content/uploads/2020/04/EUSDR-ACTION-PLAN-SWD202059-final.pdf" TargetMode="External"/><Relationship Id="rId14" Type="http://schemas.openxmlformats.org/officeDocument/2006/relationships/hyperlink" Target="https://ec.europa.eu/docsroom/documents/3593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ABA3E0-721D-4826-B226-FEF2EE883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104</Pages>
  <Words>33997</Words>
  <Characters>193783</Characters>
  <Application>Microsoft Office Word</Application>
  <DocSecurity>0</DocSecurity>
  <Lines>1614</Lines>
  <Paragraphs>454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227326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Michaela Mihailescu</dc:creator>
  <cp:lastModifiedBy>Michaela Mihailescu</cp:lastModifiedBy>
  <cp:revision>10</cp:revision>
  <cp:lastPrinted>2020-09-29T17:35:00Z</cp:lastPrinted>
  <dcterms:created xsi:type="dcterms:W3CDTF">2020-09-29T16:57:00Z</dcterms:created>
  <dcterms:modified xsi:type="dcterms:W3CDTF">2020-09-29T17:42:00Z</dcterms:modified>
</cp:coreProperties>
</file>